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248285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133350</wp:posOffset>
            </wp:positionV>
            <wp:extent cx="187833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w:t>
      </w:r>
    </w:p>
    <w:p>
      <w:pPr>
        <w:jc w:val="center"/>
        <w:spacing w:after="0"/>
        <w:rPr>
          <w:sz w:val="20"/>
          <w:szCs w:val="20"/>
          <w:color w:val="auto"/>
        </w:rPr>
      </w:pPr>
      <w:r>
        <w:rPr>
          <w:rFonts w:ascii="Arial" w:cs="Arial" w:eastAsia="Arial" w:hAnsi="Arial"/>
          <w:sz w:val="22"/>
          <w:szCs w:val="22"/>
          <w:b w:val="1"/>
          <w:bCs w:val="1"/>
          <w:color w:val="auto"/>
        </w:rPr>
        <w:t>Securities Exchange Act of 1934</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February 12, 2007</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700" w:type="dxa"/>
            <w:vAlign w:val="bottom"/>
          </w:tcPr>
          <w:p>
            <w:pPr>
              <w:jc w:val="center"/>
              <w:spacing w:after="0"/>
              <w:rPr>
                <w:sz w:val="20"/>
                <w:szCs w:val="20"/>
                <w:color w:val="auto"/>
              </w:rPr>
            </w:pPr>
            <w:r>
              <w:rPr>
                <w:rFonts w:ascii="Arial" w:cs="Arial" w:eastAsia="Arial" w:hAnsi="Arial"/>
                <w:sz w:val="14"/>
                <w:szCs w:val="14"/>
                <w:color w:val="auto"/>
                <w:w w:val="93"/>
              </w:rPr>
              <w:t>Exact Name of Registrant as Specified</w:t>
            </w:r>
          </w:p>
        </w:tc>
        <w:tc>
          <w:tcPr>
            <w:tcW w:w="56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49"/>
        </w:trPr>
        <w:tc>
          <w:tcPr>
            <w:tcW w:w="2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700" w:type="dxa"/>
            <w:vAlign w:val="bottom"/>
          </w:tcPr>
          <w:p>
            <w:pPr>
              <w:jc w:val="center"/>
              <w:spacing w:after="0" w:line="149" w:lineRule="exact"/>
              <w:rPr>
                <w:sz w:val="20"/>
                <w:szCs w:val="20"/>
                <w:color w:val="auto"/>
              </w:rPr>
            </w:pPr>
            <w:r>
              <w:rPr>
                <w:rFonts w:ascii="Arial" w:cs="Arial" w:eastAsia="Arial" w:hAnsi="Arial"/>
                <w:sz w:val="14"/>
                <w:szCs w:val="14"/>
                <w:color w:val="auto"/>
                <w:w w:val="94"/>
              </w:rPr>
              <w:t>in Charter; State of Incorporation;</w:t>
            </w:r>
          </w:p>
        </w:tc>
        <w:tc>
          <w:tcPr>
            <w:tcW w:w="560" w:type="dxa"/>
            <w:vAlign w:val="bottom"/>
          </w:tcPr>
          <w:p>
            <w:pPr>
              <w:spacing w:after="0"/>
              <w:rPr>
                <w:sz w:val="12"/>
                <w:szCs w:val="12"/>
                <w:color w:val="auto"/>
              </w:rPr>
            </w:pPr>
          </w:p>
        </w:tc>
        <w:tc>
          <w:tcPr>
            <w:tcW w:w="2280" w:type="dxa"/>
            <w:vAlign w:val="bottom"/>
          </w:tcPr>
          <w:p>
            <w:pPr>
              <w:jc w:val="center"/>
              <w:spacing w:after="0" w:line="149" w:lineRule="exact"/>
              <w:rPr>
                <w:sz w:val="20"/>
                <w:szCs w:val="20"/>
                <w:color w:val="auto"/>
              </w:rPr>
            </w:pPr>
            <w:r>
              <w:rPr>
                <w:rFonts w:ascii="Arial" w:cs="Arial" w:eastAsia="Arial" w:hAnsi="Arial"/>
                <w:sz w:val="14"/>
                <w:szCs w:val="14"/>
                <w:color w:val="auto"/>
                <w:w w:val="97"/>
              </w:rPr>
              <w:t>IRS Employer</w:t>
            </w:r>
          </w:p>
        </w:tc>
      </w:tr>
      <w:tr>
        <w:trPr>
          <w:trHeight w:val="167"/>
        </w:trPr>
        <w:tc>
          <w:tcPr>
            <w:tcW w:w="2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Commission File Number</w:t>
            </w:r>
          </w:p>
        </w:tc>
        <w:tc>
          <w:tcPr>
            <w:tcW w:w="580" w:type="dxa"/>
            <w:vAlign w:val="bottom"/>
          </w:tcPr>
          <w:p>
            <w:pPr>
              <w:spacing w:after="0"/>
              <w:rPr>
                <w:sz w:val="14"/>
                <w:szCs w:val="14"/>
                <w:color w:val="auto"/>
              </w:rPr>
            </w:pPr>
          </w:p>
        </w:tc>
        <w:tc>
          <w:tcPr>
            <w:tcW w:w="57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Address and Telephone Number</w:t>
            </w:r>
          </w:p>
        </w:tc>
        <w:tc>
          <w:tcPr>
            <w:tcW w:w="560" w:type="dxa"/>
            <w:vAlign w:val="bottom"/>
          </w:tcPr>
          <w:p>
            <w:pPr>
              <w:spacing w:after="0"/>
              <w:rPr>
                <w:sz w:val="14"/>
                <w:szCs w:val="14"/>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Identification Number</w:t>
            </w:r>
          </w:p>
        </w:tc>
      </w:tr>
      <w:tr>
        <w:trPr>
          <w:trHeight w:val="411"/>
        </w:trPr>
        <w:tc>
          <w:tcPr>
            <w:tcW w:w="2300" w:type="dxa"/>
            <w:vAlign w:val="bottom"/>
          </w:tcPr>
          <w:p>
            <w:pPr>
              <w:jc w:val="center"/>
              <w:spacing w:after="0"/>
              <w:rPr>
                <w:sz w:val="20"/>
                <w:szCs w:val="20"/>
                <w:color w:val="auto"/>
              </w:rPr>
            </w:pPr>
            <w:r>
              <w:rPr>
                <w:rFonts w:ascii="Arial" w:cs="Arial" w:eastAsia="Arial" w:hAnsi="Arial"/>
                <w:sz w:val="18"/>
                <w:szCs w:val="18"/>
                <w:color w:val="auto"/>
                <w:w w:val="92"/>
              </w:rPr>
              <w:t>1-8962</w:t>
            </w:r>
          </w:p>
        </w:tc>
        <w:tc>
          <w:tcPr>
            <w:tcW w:w="580" w:type="dxa"/>
            <w:vAlign w:val="bottom"/>
          </w:tcPr>
          <w:p>
            <w:pPr>
              <w:spacing w:after="0"/>
              <w:rPr>
                <w:sz w:val="24"/>
                <w:szCs w:val="24"/>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Pinnacle West Capital Corporation</w:t>
            </w:r>
          </w:p>
        </w:tc>
        <w:tc>
          <w:tcPr>
            <w:tcW w:w="2840" w:type="dxa"/>
            <w:vAlign w:val="bottom"/>
            <w:gridSpan w:val="2"/>
          </w:tcPr>
          <w:p>
            <w:pPr>
              <w:jc w:val="center"/>
              <w:ind w:left="470"/>
              <w:spacing w:after="0"/>
              <w:rPr>
                <w:sz w:val="20"/>
                <w:szCs w:val="20"/>
                <w:color w:val="auto"/>
              </w:rPr>
            </w:pPr>
            <w:r>
              <w:rPr>
                <w:rFonts w:ascii="Arial" w:cs="Arial" w:eastAsia="Arial" w:hAnsi="Arial"/>
                <w:sz w:val="18"/>
                <w:szCs w:val="18"/>
                <w:color w:val="auto"/>
                <w:w w:val="91"/>
              </w:rPr>
              <w:t>86-0512431</w:t>
            </w:r>
          </w:p>
        </w:tc>
      </w:tr>
      <w:tr>
        <w:trPr>
          <w:trHeight w:val="216"/>
        </w:trPr>
        <w:tc>
          <w:tcPr>
            <w:tcW w:w="2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(an Arizona corporation)</w:t>
            </w:r>
          </w:p>
        </w:tc>
        <w:tc>
          <w:tcPr>
            <w:tcW w:w="560" w:type="dxa"/>
            <w:vAlign w:val="bottom"/>
          </w:tcPr>
          <w:p>
            <w:pPr>
              <w:spacing w:after="0"/>
              <w:rPr>
                <w:sz w:val="18"/>
                <w:szCs w:val="18"/>
                <w:color w:val="auto"/>
              </w:rPr>
            </w:pPr>
          </w:p>
        </w:tc>
        <w:tc>
          <w:tcPr>
            <w:tcW w:w="2280" w:type="dxa"/>
            <w:vAlign w:val="bottom"/>
          </w:tcPr>
          <w:p>
            <w:pPr>
              <w:spacing w:after="0"/>
              <w:rPr>
                <w:sz w:val="18"/>
                <w:szCs w:val="18"/>
                <w:color w:val="auto"/>
              </w:rPr>
            </w:pPr>
          </w:p>
        </w:tc>
      </w:tr>
      <w:tr>
        <w:trPr>
          <w:trHeight w:val="216"/>
        </w:trPr>
        <w:tc>
          <w:tcPr>
            <w:tcW w:w="2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400 North Fifth Street, P.O. Box 53999</w:t>
            </w:r>
          </w:p>
        </w:tc>
        <w:tc>
          <w:tcPr>
            <w:tcW w:w="560" w:type="dxa"/>
            <w:vAlign w:val="bottom"/>
          </w:tcPr>
          <w:p>
            <w:pPr>
              <w:spacing w:after="0"/>
              <w:rPr>
                <w:sz w:val="18"/>
                <w:szCs w:val="18"/>
                <w:color w:val="auto"/>
              </w:rPr>
            </w:pPr>
          </w:p>
        </w:tc>
        <w:tc>
          <w:tcPr>
            <w:tcW w:w="2280" w:type="dxa"/>
            <w:vAlign w:val="bottom"/>
          </w:tcPr>
          <w:p>
            <w:pPr>
              <w:spacing w:after="0"/>
              <w:rPr>
                <w:sz w:val="18"/>
                <w:szCs w:val="18"/>
                <w:color w:val="auto"/>
              </w:rPr>
            </w:pPr>
          </w:p>
        </w:tc>
      </w:tr>
      <w:tr>
        <w:trPr>
          <w:trHeight w:val="216"/>
        </w:trPr>
        <w:tc>
          <w:tcPr>
            <w:tcW w:w="2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Phoenix, AZ 85072-3999</w:t>
            </w:r>
          </w:p>
        </w:tc>
        <w:tc>
          <w:tcPr>
            <w:tcW w:w="560" w:type="dxa"/>
            <w:vAlign w:val="bottom"/>
          </w:tcPr>
          <w:p>
            <w:pPr>
              <w:spacing w:after="0"/>
              <w:rPr>
                <w:sz w:val="18"/>
                <w:szCs w:val="18"/>
                <w:color w:val="auto"/>
              </w:rPr>
            </w:pPr>
          </w:p>
        </w:tc>
        <w:tc>
          <w:tcPr>
            <w:tcW w:w="2280" w:type="dxa"/>
            <w:vAlign w:val="bottom"/>
          </w:tcPr>
          <w:p>
            <w:pPr>
              <w:spacing w:after="0"/>
              <w:rPr>
                <w:sz w:val="18"/>
                <w:szCs w:val="18"/>
                <w:color w:val="auto"/>
              </w:rPr>
            </w:pPr>
          </w:p>
        </w:tc>
      </w:tr>
      <w:tr>
        <w:trPr>
          <w:trHeight w:val="230"/>
        </w:trPr>
        <w:tc>
          <w:tcPr>
            <w:tcW w:w="2300" w:type="dxa"/>
            <w:vAlign w:val="bottom"/>
          </w:tcPr>
          <w:p>
            <w:pPr>
              <w:spacing w:after="0"/>
              <w:rPr>
                <w:sz w:val="20"/>
                <w:szCs w:val="20"/>
                <w:color w:val="auto"/>
              </w:rPr>
            </w:pPr>
          </w:p>
        </w:tc>
        <w:tc>
          <w:tcPr>
            <w:tcW w:w="6280" w:type="dxa"/>
            <w:vAlign w:val="bottom"/>
            <w:gridSpan w:val="2"/>
          </w:tcPr>
          <w:p>
            <w:pPr>
              <w:ind w:left="580"/>
              <w:spacing w:after="0"/>
              <w:rPr>
                <w:sz w:val="20"/>
                <w:szCs w:val="20"/>
                <w:color w:val="auto"/>
              </w:rPr>
            </w:pPr>
            <w:r>
              <w:rPr>
                <w:rFonts w:ascii="Arial" w:cs="Arial" w:eastAsia="Arial" w:hAnsi="Arial"/>
                <w:sz w:val="18"/>
                <w:szCs w:val="18"/>
                <w:color w:val="auto"/>
              </w:rPr>
              <w:t>(602) 250-1000</w:t>
            </w: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18"/>
        </w:trPr>
        <w:tc>
          <w:tcPr>
            <w:tcW w:w="2300" w:type="dxa"/>
            <w:vAlign w:val="bottom"/>
          </w:tcPr>
          <w:p>
            <w:pPr>
              <w:jc w:val="center"/>
              <w:spacing w:after="0"/>
              <w:rPr>
                <w:sz w:val="20"/>
                <w:szCs w:val="20"/>
                <w:color w:val="auto"/>
              </w:rPr>
            </w:pPr>
            <w:r>
              <w:rPr>
                <w:rFonts w:ascii="Arial" w:cs="Arial" w:eastAsia="Arial" w:hAnsi="Arial"/>
                <w:sz w:val="18"/>
                <w:szCs w:val="18"/>
                <w:color w:val="auto"/>
                <w:w w:val="92"/>
              </w:rPr>
              <w:t>1-4473</w:t>
            </w:r>
          </w:p>
        </w:tc>
        <w:tc>
          <w:tcPr>
            <w:tcW w:w="580" w:type="dxa"/>
            <w:vAlign w:val="bottom"/>
          </w:tcPr>
          <w:p>
            <w:pPr>
              <w:spacing w:after="0"/>
              <w:rPr>
                <w:sz w:val="24"/>
                <w:szCs w:val="24"/>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Arizona Public Service Company</w:t>
            </w:r>
          </w:p>
        </w:tc>
        <w:tc>
          <w:tcPr>
            <w:tcW w:w="2840" w:type="dxa"/>
            <w:vAlign w:val="bottom"/>
            <w:gridSpan w:val="2"/>
          </w:tcPr>
          <w:p>
            <w:pPr>
              <w:jc w:val="center"/>
              <w:ind w:left="470"/>
              <w:spacing w:after="0"/>
              <w:rPr>
                <w:sz w:val="20"/>
                <w:szCs w:val="20"/>
                <w:color w:val="auto"/>
              </w:rPr>
            </w:pPr>
            <w:r>
              <w:rPr>
                <w:rFonts w:ascii="Arial" w:cs="Arial" w:eastAsia="Arial" w:hAnsi="Arial"/>
                <w:sz w:val="18"/>
                <w:szCs w:val="18"/>
                <w:color w:val="auto"/>
                <w:w w:val="87"/>
              </w:rPr>
              <w:t>86-0011170</w:t>
            </w:r>
          </w:p>
        </w:tc>
      </w:tr>
      <w:tr>
        <w:trPr>
          <w:trHeight w:val="230"/>
        </w:trPr>
        <w:tc>
          <w:tcPr>
            <w:tcW w:w="23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(an Arizona corporation)</w:t>
            </w: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r>
    </w:tbl>
    <w:p>
      <w:pPr>
        <w:ind w:left="2880"/>
        <w:spacing w:after="0"/>
        <w:rPr>
          <w:sz w:val="20"/>
          <w:szCs w:val="20"/>
          <w:color w:val="auto"/>
        </w:rPr>
      </w:pPr>
      <w:r>
        <w:rPr>
          <w:rFonts w:ascii="Arial" w:cs="Arial" w:eastAsia="Arial" w:hAnsi="Arial"/>
          <w:sz w:val="18"/>
          <w:szCs w:val="18"/>
          <w:color w:val="auto"/>
        </w:rPr>
        <w:t>400 North Fifth Street, P.O. Box 53999</w:t>
      </w:r>
    </w:p>
    <w:p>
      <w:pPr>
        <w:spacing w:after="0" w:line="9" w:lineRule="exact"/>
        <w:rPr>
          <w:sz w:val="20"/>
          <w:szCs w:val="20"/>
          <w:color w:val="auto"/>
        </w:rPr>
      </w:pPr>
    </w:p>
    <w:p>
      <w:pPr>
        <w:ind w:left="2880"/>
        <w:spacing w:after="0"/>
        <w:rPr>
          <w:sz w:val="20"/>
          <w:szCs w:val="20"/>
          <w:color w:val="auto"/>
        </w:rPr>
      </w:pPr>
      <w:r>
        <w:rPr>
          <w:rFonts w:ascii="Arial" w:cs="Arial" w:eastAsia="Arial" w:hAnsi="Arial"/>
          <w:sz w:val="18"/>
          <w:szCs w:val="18"/>
          <w:color w:val="auto"/>
        </w:rPr>
        <w:t>Phoenix, AZ 85072-3999</w:t>
      </w:r>
    </w:p>
    <w:p>
      <w:pPr>
        <w:spacing w:after="0" w:line="9" w:lineRule="exact"/>
        <w:rPr>
          <w:sz w:val="20"/>
          <w:szCs w:val="20"/>
          <w:color w:val="auto"/>
        </w:rPr>
      </w:pPr>
    </w:p>
    <w:p>
      <w:pPr>
        <w:ind w:left="2880"/>
        <w:spacing w:after="0"/>
        <w:rPr>
          <w:sz w:val="20"/>
          <w:szCs w:val="20"/>
          <w:color w:val="auto"/>
        </w:rPr>
      </w:pPr>
      <w:r>
        <w:rPr>
          <w:rFonts w:ascii="Arial" w:cs="Arial" w:eastAsia="Arial" w:hAnsi="Arial"/>
          <w:sz w:val="18"/>
          <w:szCs w:val="18"/>
          <w:color w:val="auto"/>
        </w:rPr>
        <w:t>(602) 250-1000</w:t>
      </w:r>
    </w:p>
    <w:p>
      <w:pPr>
        <w:spacing w:after="0" w:line="103" w:lineRule="exact"/>
        <w:rPr>
          <w:sz w:val="20"/>
          <w:szCs w:val="20"/>
          <w:color w:val="auto"/>
        </w:rPr>
      </w:pPr>
    </w:p>
    <w:p>
      <w:pPr>
        <w:ind w:right="640" w:firstLine="225"/>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0"/>
          <w:szCs w:val="20"/>
          <w:color w:val="auto"/>
        </w:rPr>
      </w:pPr>
    </w:p>
    <w:p>
      <w:pPr>
        <w:ind w:left="300" w:hanging="292"/>
        <w:spacing w:after="0"/>
        <w:tabs>
          <w:tab w:leader="none" w:pos="30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Arial" w:cs="Arial" w:eastAsia="Arial" w:hAnsi="Arial"/>
          <w:sz w:val="18"/>
          <w:szCs w:val="18"/>
          <w:color w:val="auto"/>
        </w:rPr>
      </w:pPr>
    </w:p>
    <w:p>
      <w:pPr>
        <w:ind w:left="300" w:hanging="292"/>
        <w:spacing w:after="0"/>
        <w:tabs>
          <w:tab w:leader="none" w:pos="30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Arial" w:cs="Arial" w:eastAsia="Arial" w:hAnsi="Arial"/>
          <w:sz w:val="18"/>
          <w:szCs w:val="18"/>
          <w:color w:val="auto"/>
        </w:rPr>
      </w:pPr>
    </w:p>
    <w:p>
      <w:pPr>
        <w:ind w:left="300" w:hanging="292"/>
        <w:spacing w:after="0"/>
        <w:tabs>
          <w:tab w:leader="none" w:pos="3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Arial" w:cs="Arial" w:eastAsia="Arial" w:hAnsi="Arial"/>
          <w:sz w:val="18"/>
          <w:szCs w:val="18"/>
          <w:color w:val="auto"/>
        </w:rPr>
      </w:pPr>
    </w:p>
    <w:p>
      <w:pPr>
        <w:ind w:left="300" w:hanging="292"/>
        <w:spacing w:after="0"/>
        <w:tabs>
          <w:tab w:leader="none" w:pos="3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17" w:lineRule="exact"/>
        <w:rPr>
          <w:sz w:val="20"/>
          <w:szCs w:val="20"/>
          <w:color w:val="auto"/>
        </w:rPr>
      </w:pPr>
    </w:p>
    <w:p>
      <w:pPr>
        <w:ind w:right="300" w:firstLine="222"/>
        <w:spacing w:after="0" w:line="259" w:lineRule="auto"/>
        <w:rPr>
          <w:sz w:val="20"/>
          <w:szCs w:val="20"/>
          <w:color w:val="auto"/>
        </w:rPr>
      </w:pPr>
      <w:r>
        <w:rPr>
          <w:rFonts w:ascii="Arial" w:cs="Arial" w:eastAsia="Arial" w:hAnsi="Arial"/>
          <w:sz w:val="18"/>
          <w:szCs w:val="18"/>
          <w:color w:val="auto"/>
        </w:rPr>
        <w:t>This combined Form 8-K is separately filed by Pinnacle West Capital Corporation and Arizona Public Service Company. Each registrant is filing on its own behalf all of the information contained in this Form 8-K that relates to such registrant and, where required, its subsidiaries. Except as stated in the preceding sentence, neither registrant is filing any information that does not relate to such registrant, and therefore makes no representation as to any such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546100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2" w:right="239" w:bottom="1440" w:gutter="0" w:footer="0" w:header="0"/>
        </w:sectPr>
      </w:pPr>
    </w:p>
    <w:bookmarkStart w:id="2" w:name="page3"/>
    <w:bookmarkEnd w:id="2"/>
    <w:p>
      <w:pPr>
        <w:ind w:left="3980"/>
        <w:spacing w:after="0"/>
        <w:rPr>
          <w:sz w:val="20"/>
          <w:szCs w:val="20"/>
          <w:color w:val="auto"/>
        </w:rPr>
      </w:pPr>
      <w:r>
        <w:rPr>
          <w:rFonts w:ascii="Arial" w:cs="Arial" w:eastAsia="Arial" w:hAnsi="Arial"/>
          <w:sz w:val="22"/>
          <w:szCs w:val="22"/>
          <w:b w:val="1"/>
          <w:bCs w:val="1"/>
          <w:u w:val="single" w:color="auto"/>
          <w:color w:val="auto"/>
        </w:rPr>
        <w:t>TABLE OF CONTENTS</w:t>
      </w:r>
    </w:p>
    <w:p>
      <w:pPr>
        <w:spacing w:after="0" w:line="213" w:lineRule="exact"/>
        <w:rPr>
          <w:sz w:val="20"/>
          <w:szCs w:val="20"/>
          <w:color w:val="auto"/>
        </w:rPr>
      </w:pPr>
    </w:p>
    <w:p>
      <w:pPr>
        <w:ind w:left="320" w:right="1679"/>
        <w:spacing w:after="0" w:line="239" w:lineRule="auto"/>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Item 5.04 Temporary Suspension of Trading Under Registrant’s Employee Benefit Plans</w:t>
        </w:r>
      </w:hyperlink>
      <w:r>
        <w:rPr>
          <w:rFonts w:ascii="Arial" w:cs="Arial" w:eastAsia="Arial" w:hAnsi="Arial"/>
          <w:sz w:val="22"/>
          <w:szCs w:val="22"/>
          <w:u w:val="single" w:color="auto"/>
          <w:color w:val="0000EE"/>
        </w:rPr>
        <w:t xml:space="preserve"> </w:t>
      </w:r>
      <w:hyperlink w:anchor="page4">
        <w:r>
          <w:rPr>
            <w:rFonts w:ascii="Arial" w:cs="Arial" w:eastAsia="Arial" w:hAnsi="Arial"/>
            <w:sz w:val="22"/>
            <w:szCs w:val="22"/>
            <w:u w:val="single" w:color="auto"/>
            <w:color w:val="0000EE"/>
          </w:rPr>
          <w:t>Item 9.01 Financial Statements and Exhibits</w:t>
        </w:r>
      </w:hyperlink>
    </w:p>
    <w:p>
      <w:pPr>
        <w:spacing w:after="0" w:line="230" w:lineRule="auto"/>
        <w:rPr>
          <w:rFonts w:ascii="Arial" w:cs="Arial" w:eastAsia="Arial" w:hAnsi="Arial"/>
          <w:sz w:val="22"/>
          <w:szCs w:val="22"/>
          <w:u w:val="single" w:color="auto"/>
          <w:color w:val="0000EE"/>
        </w:rPr>
      </w:pPr>
      <w:hyperlink w:anchor="page5">
        <w:r>
          <w:rPr>
            <w:rFonts w:ascii="Arial" w:cs="Arial" w:eastAsia="Arial" w:hAnsi="Arial"/>
            <w:sz w:val="22"/>
            <w:szCs w:val="22"/>
            <w:u w:val="single" w:color="auto"/>
            <w:color w:val="0000EE"/>
          </w:rPr>
          <w:t>SIGNATURES</w:t>
        </w:r>
      </w:hyperlink>
    </w:p>
    <w:p>
      <w:pPr>
        <w:spacing w:after="0" w:line="231" w:lineRule="auto"/>
        <w:rPr>
          <w:rFonts w:ascii="Arial" w:cs="Arial" w:eastAsia="Arial" w:hAnsi="Arial"/>
          <w:sz w:val="22"/>
          <w:szCs w:val="22"/>
          <w:u w:val="single" w:color="auto"/>
          <w:color w:val="0000EE"/>
        </w:rPr>
      </w:pPr>
      <w:hyperlink w:anchor="page6">
        <w:r>
          <w:rPr>
            <w:rFonts w:ascii="Arial" w:cs="Arial" w:eastAsia="Arial" w:hAnsi="Arial"/>
            <w:sz w:val="22"/>
            <w:szCs w:val="22"/>
            <w:u w:val="single" w:color="auto"/>
            <w:color w:val="0000EE"/>
          </w:rPr>
          <w:t>EX-99.1</w:t>
        </w:r>
      </w:hyperlink>
    </w:p>
    <w:p>
      <w:pPr>
        <w:spacing w:after="0" w:line="1" w:lineRule="exact"/>
        <w:rPr>
          <w:sz w:val="20"/>
          <w:szCs w:val="20"/>
          <w:color w:val="auto"/>
        </w:rPr>
      </w:pPr>
    </w:p>
    <w:p>
      <w:pPr>
        <w:spacing w:after="0"/>
        <w:rPr>
          <w:rFonts w:ascii="Arial" w:cs="Arial" w:eastAsia="Arial" w:hAnsi="Arial"/>
          <w:sz w:val="22"/>
          <w:szCs w:val="22"/>
          <w:u w:val="single" w:color="auto"/>
          <w:color w:val="0000EE"/>
        </w:rPr>
      </w:pPr>
      <w:hyperlink w:anchor="page7">
        <w:r>
          <w:rPr>
            <w:rFonts w:ascii="Arial" w:cs="Arial" w:eastAsia="Arial" w:hAnsi="Arial"/>
            <w:sz w:val="22"/>
            <w:szCs w:val="22"/>
            <w:u w:val="single" w:color="auto"/>
            <w:color w:val="0000EE"/>
          </w:rPr>
          <w:t>EX-99.2</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-364490</wp:posOffset>
            </wp:positionH>
            <wp:positionV relativeFrom="paragraph">
              <wp:posOffset>130810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639"/>
          </w:cols>
          <w:pgMar w:left="820" w:top="111" w:right="1440"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5.04 Temporary Suspension of Trading Under Registrant’s Employee Benefit Plans</w:t>
      </w:r>
    </w:p>
    <w:p>
      <w:pPr>
        <w:spacing w:after="0" w:line="121" w:lineRule="exact"/>
        <w:rPr>
          <w:sz w:val="20"/>
          <w:szCs w:val="20"/>
          <w:color w:val="auto"/>
        </w:rPr>
      </w:pPr>
    </w:p>
    <w:p>
      <w:pPr>
        <w:ind w:right="20" w:firstLine="225"/>
        <w:spacing w:after="0" w:line="257" w:lineRule="auto"/>
        <w:rPr>
          <w:sz w:val="20"/>
          <w:szCs w:val="20"/>
          <w:color w:val="auto"/>
        </w:rPr>
      </w:pPr>
      <w:r>
        <w:rPr>
          <w:rFonts w:ascii="Arial" w:cs="Arial" w:eastAsia="Arial" w:hAnsi="Arial"/>
          <w:sz w:val="18"/>
          <w:szCs w:val="18"/>
          <w:color w:val="auto"/>
        </w:rPr>
        <w:t>On or about February 7, 2007, Pinnacle West Capital Corporation (“Pinnacle West” or the “Company”) sent a notice to participants in the Pinnacle West Capital Corporation Savings Plan (the “Plan”) informing them that the Plan would be changing its recordkeeper. This notice indicated that, as a result of the conversion, from a period beginning at 3 p.m. Central time on March 20, 2007 and ending the week of April 1, 2007 (the “blackout period”), Plan participants will temporarily be unable to direct or diversify investments in the Plan or to obtain a loan or distribution from the Plan. A copy of the notice is attached hereto as Exhibit 99.1 and is incorporated herein by reference.</w:t>
      </w:r>
    </w:p>
    <w:p>
      <w:pPr>
        <w:spacing w:after="0" w:line="80" w:lineRule="exact"/>
        <w:rPr>
          <w:sz w:val="20"/>
          <w:szCs w:val="20"/>
          <w:color w:val="auto"/>
        </w:rPr>
      </w:pPr>
    </w:p>
    <w:p>
      <w:pPr>
        <w:ind w:right="280" w:firstLine="225"/>
        <w:spacing w:after="0" w:line="264" w:lineRule="auto"/>
        <w:rPr>
          <w:sz w:val="20"/>
          <w:szCs w:val="20"/>
          <w:color w:val="auto"/>
        </w:rPr>
      </w:pPr>
      <w:r>
        <w:rPr>
          <w:rFonts w:ascii="Arial" w:cs="Arial" w:eastAsia="Arial" w:hAnsi="Arial"/>
          <w:sz w:val="18"/>
          <w:szCs w:val="18"/>
          <w:color w:val="auto"/>
        </w:rPr>
        <w:t>In connection with the foregoing, on February 12, 2007, the Company sent a notice to its directors and executive officers pursuant to Section 306 of the Sarbanes-Oxley Act of 2002 and the Securities and Exchange Commission rules promulgated thereunder. A copy of the notice is attached hereto as Exhibit 99.2 and is incorporated herein by reference.</w:t>
      </w:r>
    </w:p>
    <w:p>
      <w:pPr>
        <w:spacing w:after="0" w:line="73" w:lineRule="exact"/>
        <w:rPr>
          <w:sz w:val="20"/>
          <w:szCs w:val="20"/>
          <w:color w:val="auto"/>
        </w:rPr>
      </w:pPr>
    </w:p>
    <w:p>
      <w:pPr>
        <w:ind w:right="80" w:firstLine="225"/>
        <w:spacing w:after="0" w:line="259" w:lineRule="auto"/>
        <w:rPr>
          <w:sz w:val="20"/>
          <w:szCs w:val="20"/>
          <w:color w:val="auto"/>
        </w:rPr>
      </w:pPr>
      <w:r>
        <w:rPr>
          <w:rFonts w:ascii="Arial" w:cs="Arial" w:eastAsia="Arial" w:hAnsi="Arial"/>
          <w:sz w:val="18"/>
          <w:szCs w:val="18"/>
          <w:color w:val="auto"/>
        </w:rPr>
        <w:t>During the blackout period and for a period of two years after the ending date of the blackout period, a Plan participant, a Pinnacle West security holder or any other interested persons may obtain information regarding the actual ending date of the blackout period. To obtain such information, without charge, and for all other inquiries regarding the blackout period, contact Pinnacle West Capital Corporation, Employee Benefits Department, PO Box 53999, MS 8467, Phoenix, Arizona 85072-3999 or by telephone at 602-250-2324.</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(d)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Exhibit No.</w:t>
            </w:r>
          </w:p>
        </w:tc>
        <w:tc>
          <w:tcPr>
            <w:tcW w:w="200" w:type="dxa"/>
            <w:vAlign w:val="bottom"/>
          </w:tcPr>
          <w:p>
            <w:pPr>
              <w:spacing w:after="0"/>
              <w:rPr>
                <w:sz w:val="14"/>
                <w:szCs w:val="14"/>
                <w:color w:val="auto"/>
              </w:rPr>
            </w:pPr>
          </w:p>
        </w:tc>
        <w:tc>
          <w:tcPr>
            <w:tcW w:w="2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220" w:type="dxa"/>
            <w:vAlign w:val="bottom"/>
          </w:tcPr>
          <w:p>
            <w:pPr>
              <w:spacing w:after="0"/>
              <w:rPr>
                <w:sz w:val="14"/>
                <w:szCs w:val="14"/>
                <w:color w:val="auto"/>
              </w:rPr>
            </w:pPr>
          </w:p>
        </w:tc>
        <w:tc>
          <w:tcPr>
            <w:tcW w:w="7900" w:type="dxa"/>
            <w:vAlign w:val="bottom"/>
            <w:tcBorders>
              <w:bottom w:val="single" w:sz="8" w:color="auto"/>
            </w:tcBorders>
          </w:tcPr>
          <w:p>
            <w:pPr>
              <w:ind w:left="3600"/>
              <w:spacing w:after="0"/>
              <w:rPr>
                <w:sz w:val="20"/>
                <w:szCs w:val="20"/>
                <w:color w:val="auto"/>
              </w:rPr>
            </w:pPr>
            <w:r>
              <w:rPr>
                <w:rFonts w:ascii="Arial" w:cs="Arial" w:eastAsia="Arial" w:hAnsi="Arial"/>
                <w:sz w:val="14"/>
                <w:szCs w:val="14"/>
                <w:b w:val="1"/>
                <w:bCs w:val="1"/>
                <w:color w:val="auto"/>
              </w:rPr>
              <w:t>Description</w:t>
            </w:r>
          </w:p>
        </w:tc>
      </w:tr>
      <w:tr>
        <w:trPr>
          <w:trHeight w:val="411"/>
        </w:trPr>
        <w:tc>
          <w:tcPr>
            <w:tcW w:w="720" w:type="dxa"/>
            <w:vAlign w:val="bottom"/>
          </w:tcPr>
          <w:p>
            <w:pPr>
              <w:jc w:val="center"/>
              <w:spacing w:after="0"/>
              <w:rPr>
                <w:sz w:val="20"/>
                <w:szCs w:val="20"/>
                <w:color w:val="auto"/>
              </w:rPr>
            </w:pPr>
            <w:r>
              <w:rPr>
                <w:rFonts w:ascii="Arial" w:cs="Arial" w:eastAsia="Arial" w:hAnsi="Arial"/>
                <w:sz w:val="18"/>
                <w:szCs w:val="18"/>
                <w:color w:val="auto"/>
                <w:w w:val="91"/>
              </w:rPr>
              <w:t>99.1</w:t>
            </w:r>
          </w:p>
        </w:tc>
        <w:tc>
          <w:tcPr>
            <w:tcW w:w="200" w:type="dxa"/>
            <w:vAlign w:val="bottom"/>
          </w:tcPr>
          <w:p>
            <w:pPr>
              <w:spacing w:after="0"/>
              <w:rPr>
                <w:sz w:val="24"/>
                <w:szCs w:val="24"/>
                <w:color w:val="auto"/>
              </w:rPr>
            </w:pPr>
          </w:p>
        </w:tc>
        <w:tc>
          <w:tcPr>
            <w:tcW w:w="23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8120" w:type="dxa"/>
            <w:vAlign w:val="bottom"/>
            <w:gridSpan w:val="2"/>
          </w:tcPr>
          <w:p>
            <w:pPr>
              <w:ind w:left="220"/>
              <w:spacing w:after="0"/>
              <w:rPr>
                <w:sz w:val="20"/>
                <w:szCs w:val="20"/>
                <w:color w:val="auto"/>
              </w:rPr>
            </w:pPr>
            <w:r>
              <w:rPr>
                <w:rFonts w:ascii="Arial" w:cs="Arial" w:eastAsia="Arial" w:hAnsi="Arial"/>
                <w:sz w:val="18"/>
                <w:szCs w:val="18"/>
                <w:color w:val="auto"/>
              </w:rPr>
              <w:t>Notice to Plan Participants regarding a Blackout Period and Trading Restrictions</w:t>
            </w:r>
          </w:p>
        </w:tc>
      </w:tr>
      <w:tr>
        <w:trPr>
          <w:trHeight w:val="216"/>
        </w:trPr>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80" w:type="dxa"/>
            <w:vAlign w:val="bottom"/>
          </w:tcPr>
          <w:p>
            <w:pPr>
              <w:jc w:val="center"/>
              <w:spacing w:after="0"/>
              <w:rPr>
                <w:sz w:val="20"/>
                <w:szCs w:val="20"/>
                <w:color w:val="auto"/>
              </w:rPr>
            </w:pPr>
            <w:r>
              <w:rPr>
                <w:rFonts w:ascii="Arial" w:cs="Arial" w:eastAsia="Arial" w:hAnsi="Arial"/>
                <w:sz w:val="18"/>
                <w:szCs w:val="18"/>
                <w:color w:val="auto"/>
                <w:w w:val="93"/>
              </w:rPr>
              <w:t>Arizona Public</w:t>
            </w:r>
          </w:p>
        </w:tc>
        <w:tc>
          <w:tcPr>
            <w:tcW w:w="220" w:type="dxa"/>
            <w:vAlign w:val="bottom"/>
          </w:tcPr>
          <w:p>
            <w:pPr>
              <w:spacing w:after="0"/>
              <w:rPr>
                <w:sz w:val="18"/>
                <w:szCs w:val="18"/>
                <w:color w:val="auto"/>
              </w:rPr>
            </w:pPr>
          </w:p>
        </w:tc>
        <w:tc>
          <w:tcPr>
            <w:tcW w:w="7900" w:type="dxa"/>
            <w:vAlign w:val="bottom"/>
          </w:tcPr>
          <w:p>
            <w:pPr>
              <w:spacing w:after="0"/>
              <w:rPr>
                <w:sz w:val="18"/>
                <w:szCs w:val="18"/>
                <w:color w:val="auto"/>
              </w:rPr>
            </w:pPr>
          </w:p>
        </w:tc>
      </w:tr>
      <w:tr>
        <w:trPr>
          <w:trHeight w:val="230"/>
        </w:trPr>
        <w:tc>
          <w:tcPr>
            <w:tcW w:w="7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80" w:type="dxa"/>
            <w:vAlign w:val="bottom"/>
          </w:tcPr>
          <w:p>
            <w:pPr>
              <w:jc w:val="center"/>
              <w:spacing w:after="0"/>
              <w:rPr>
                <w:sz w:val="20"/>
                <w:szCs w:val="20"/>
                <w:color w:val="auto"/>
              </w:rPr>
            </w:pPr>
            <w:r>
              <w:rPr>
                <w:rFonts w:ascii="Arial" w:cs="Arial" w:eastAsia="Arial" w:hAnsi="Arial"/>
                <w:sz w:val="18"/>
                <w:szCs w:val="18"/>
                <w:color w:val="auto"/>
                <w:w w:val="90"/>
              </w:rPr>
              <w:t>Service Company</w:t>
            </w:r>
          </w:p>
        </w:tc>
        <w:tc>
          <w:tcPr>
            <w:tcW w:w="220" w:type="dxa"/>
            <w:vAlign w:val="bottom"/>
          </w:tcPr>
          <w:p>
            <w:pPr>
              <w:spacing w:after="0"/>
              <w:rPr>
                <w:sz w:val="20"/>
                <w:szCs w:val="20"/>
                <w:color w:val="auto"/>
              </w:rPr>
            </w:pPr>
          </w:p>
        </w:tc>
        <w:tc>
          <w:tcPr>
            <w:tcW w:w="7900" w:type="dxa"/>
            <w:vAlign w:val="bottom"/>
          </w:tcPr>
          <w:p>
            <w:pPr>
              <w:spacing w:after="0"/>
              <w:rPr>
                <w:sz w:val="20"/>
                <w:szCs w:val="20"/>
                <w:color w:val="auto"/>
              </w:rPr>
            </w:pPr>
          </w:p>
        </w:tc>
      </w:tr>
      <w:tr>
        <w:trPr>
          <w:trHeight w:val="418"/>
        </w:trPr>
        <w:tc>
          <w:tcPr>
            <w:tcW w:w="720" w:type="dxa"/>
            <w:vAlign w:val="bottom"/>
          </w:tcPr>
          <w:p>
            <w:pPr>
              <w:jc w:val="center"/>
              <w:spacing w:after="0"/>
              <w:rPr>
                <w:sz w:val="20"/>
                <w:szCs w:val="20"/>
                <w:color w:val="auto"/>
              </w:rPr>
            </w:pPr>
            <w:r>
              <w:rPr>
                <w:rFonts w:ascii="Arial" w:cs="Arial" w:eastAsia="Arial" w:hAnsi="Arial"/>
                <w:sz w:val="18"/>
                <w:szCs w:val="18"/>
                <w:color w:val="auto"/>
                <w:w w:val="91"/>
              </w:rPr>
              <w:t>99.2</w:t>
            </w:r>
          </w:p>
        </w:tc>
        <w:tc>
          <w:tcPr>
            <w:tcW w:w="200" w:type="dxa"/>
            <w:vAlign w:val="bottom"/>
          </w:tcPr>
          <w:p>
            <w:pPr>
              <w:spacing w:after="0"/>
              <w:rPr>
                <w:sz w:val="24"/>
                <w:szCs w:val="24"/>
                <w:color w:val="auto"/>
              </w:rPr>
            </w:pPr>
          </w:p>
        </w:tc>
        <w:tc>
          <w:tcPr>
            <w:tcW w:w="23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8120" w:type="dxa"/>
            <w:vAlign w:val="bottom"/>
            <w:gridSpan w:val="2"/>
          </w:tcPr>
          <w:p>
            <w:pPr>
              <w:ind w:left="220"/>
              <w:spacing w:after="0"/>
              <w:rPr>
                <w:sz w:val="20"/>
                <w:szCs w:val="20"/>
                <w:color w:val="auto"/>
              </w:rPr>
            </w:pPr>
            <w:r>
              <w:rPr>
                <w:rFonts w:ascii="Arial" w:cs="Arial" w:eastAsia="Arial" w:hAnsi="Arial"/>
                <w:sz w:val="18"/>
                <w:szCs w:val="18"/>
                <w:color w:val="auto"/>
                <w:w w:val="99"/>
              </w:rPr>
              <w:t>Notice to Executive Officers and Directors of the Company regarding a Blackout Period and Trading</w:t>
            </w:r>
          </w:p>
        </w:tc>
      </w:tr>
      <w:tr>
        <w:trPr>
          <w:trHeight w:val="216"/>
        </w:trPr>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80" w:type="dxa"/>
            <w:vAlign w:val="bottom"/>
          </w:tcPr>
          <w:p>
            <w:pPr>
              <w:jc w:val="center"/>
              <w:spacing w:after="0"/>
              <w:rPr>
                <w:sz w:val="20"/>
                <w:szCs w:val="20"/>
                <w:color w:val="auto"/>
              </w:rPr>
            </w:pPr>
            <w:r>
              <w:rPr>
                <w:rFonts w:ascii="Arial" w:cs="Arial" w:eastAsia="Arial" w:hAnsi="Arial"/>
                <w:sz w:val="18"/>
                <w:szCs w:val="18"/>
                <w:color w:val="auto"/>
                <w:w w:val="93"/>
              </w:rPr>
              <w:t>Arizona Public</w:t>
            </w:r>
          </w:p>
        </w:tc>
        <w:tc>
          <w:tcPr>
            <w:tcW w:w="8120" w:type="dxa"/>
            <w:vAlign w:val="bottom"/>
            <w:gridSpan w:val="2"/>
          </w:tcPr>
          <w:p>
            <w:pPr>
              <w:ind w:left="220"/>
              <w:spacing w:after="0"/>
              <w:rPr>
                <w:sz w:val="20"/>
                <w:szCs w:val="20"/>
                <w:color w:val="auto"/>
              </w:rPr>
            </w:pPr>
            <w:r>
              <w:rPr>
                <w:rFonts w:ascii="Arial" w:cs="Arial" w:eastAsia="Arial" w:hAnsi="Arial"/>
                <w:sz w:val="18"/>
                <w:szCs w:val="18"/>
                <w:color w:val="auto"/>
              </w:rPr>
              <w:t>Restrictions</w:t>
            </w:r>
          </w:p>
        </w:tc>
      </w:tr>
      <w:tr>
        <w:trPr>
          <w:trHeight w:val="230"/>
        </w:trPr>
        <w:tc>
          <w:tcPr>
            <w:tcW w:w="7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80" w:type="dxa"/>
            <w:vAlign w:val="bottom"/>
          </w:tcPr>
          <w:p>
            <w:pPr>
              <w:jc w:val="center"/>
              <w:spacing w:after="0"/>
              <w:rPr>
                <w:sz w:val="20"/>
                <w:szCs w:val="20"/>
                <w:color w:val="auto"/>
              </w:rPr>
            </w:pPr>
            <w:r>
              <w:rPr>
                <w:rFonts w:ascii="Arial" w:cs="Arial" w:eastAsia="Arial" w:hAnsi="Arial"/>
                <w:sz w:val="18"/>
                <w:szCs w:val="18"/>
                <w:color w:val="auto"/>
                <w:w w:val="90"/>
              </w:rPr>
              <w:t>Service Company</w:t>
            </w:r>
          </w:p>
        </w:tc>
        <w:tc>
          <w:tcPr>
            <w:tcW w:w="220" w:type="dxa"/>
            <w:vAlign w:val="bottom"/>
          </w:tcPr>
          <w:p>
            <w:pPr>
              <w:spacing w:after="0"/>
              <w:rPr>
                <w:sz w:val="20"/>
                <w:szCs w:val="20"/>
                <w:color w:val="auto"/>
              </w:rPr>
            </w:pPr>
          </w:p>
        </w:tc>
        <w:tc>
          <w:tcPr>
            <w:tcW w:w="7900" w:type="dxa"/>
            <w:vAlign w:val="bottom"/>
          </w:tcPr>
          <w:p>
            <w:pPr>
              <w:spacing w:after="0"/>
              <w:rPr>
                <w:sz w:val="20"/>
                <w:szCs w:val="20"/>
                <w:color w:val="auto"/>
              </w:rPr>
            </w:pPr>
          </w:p>
        </w:tc>
      </w:tr>
      <w:tr>
        <w:trPr>
          <w:trHeight w:val="632"/>
        </w:trPr>
        <w:tc>
          <w:tcPr>
            <w:tcW w:w="720" w:type="dxa"/>
            <w:vAlign w:val="bottom"/>
            <w:tcBorders>
              <w:bottom w:val="single" w:sz="8" w:color="808080"/>
            </w:tcBorders>
          </w:tcPr>
          <w:p>
            <w:pPr>
              <w:spacing w:after="0"/>
              <w:rPr>
                <w:sz w:val="24"/>
                <w:szCs w:val="24"/>
                <w:color w:val="auto"/>
              </w:rPr>
            </w:pPr>
          </w:p>
        </w:tc>
        <w:tc>
          <w:tcPr>
            <w:tcW w:w="200" w:type="dxa"/>
            <w:vAlign w:val="bottom"/>
            <w:tcBorders>
              <w:bottom w:val="single" w:sz="8" w:color="808080"/>
            </w:tcBorders>
          </w:tcPr>
          <w:p>
            <w:pPr>
              <w:spacing w:after="0"/>
              <w:rPr>
                <w:sz w:val="24"/>
                <w:szCs w:val="24"/>
                <w:color w:val="auto"/>
              </w:rPr>
            </w:pPr>
          </w:p>
        </w:tc>
        <w:tc>
          <w:tcPr>
            <w:tcW w:w="2380" w:type="dxa"/>
            <w:vAlign w:val="bottom"/>
            <w:tcBorders>
              <w:bottom w:val="single" w:sz="8" w:color="808080"/>
            </w:tcBorders>
          </w:tcPr>
          <w:p>
            <w:pPr>
              <w:spacing w:after="0"/>
              <w:rPr>
                <w:sz w:val="24"/>
                <w:szCs w:val="24"/>
                <w:color w:val="auto"/>
              </w:rPr>
            </w:pPr>
          </w:p>
        </w:tc>
        <w:tc>
          <w:tcPr>
            <w:tcW w:w="220" w:type="dxa"/>
            <w:vAlign w:val="bottom"/>
            <w:tcBorders>
              <w:bottom w:val="single" w:sz="8" w:color="808080"/>
            </w:tcBorders>
          </w:tcPr>
          <w:p>
            <w:pPr>
              <w:spacing w:after="0"/>
              <w:rPr>
                <w:sz w:val="24"/>
                <w:szCs w:val="24"/>
                <w:color w:val="auto"/>
              </w:rPr>
            </w:pPr>
          </w:p>
        </w:tc>
        <w:tc>
          <w:tcPr>
            <w:tcW w:w="790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SIGNATURES</w:t>
      </w:r>
    </w:p>
    <w:p>
      <w:pPr>
        <w:spacing w:after="0" w:line="117"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00" w:type="dxa"/>
            <w:vAlign w:val="bottom"/>
          </w:tcPr>
          <w:p>
            <w:pPr>
              <w:spacing w:after="0"/>
              <w:rPr>
                <w:sz w:val="18"/>
                <w:szCs w:val="18"/>
                <w:color w:val="auto"/>
              </w:rPr>
            </w:pPr>
          </w:p>
        </w:tc>
        <w:tc>
          <w:tcPr>
            <w:tcW w:w="6140" w:type="dxa"/>
            <w:vAlign w:val="bottom"/>
            <w:gridSpan w:val="2"/>
          </w:tcPr>
          <w:p>
            <w:pPr>
              <w:ind w:left="1760"/>
              <w:spacing w:after="0"/>
              <w:rPr>
                <w:sz w:val="20"/>
                <w:szCs w:val="20"/>
                <w:color w:val="auto"/>
              </w:rPr>
            </w:pPr>
            <w:r>
              <w:rPr>
                <w:rFonts w:ascii="Arial" w:cs="Arial" w:eastAsia="Arial" w:hAnsi="Arial"/>
                <w:sz w:val="18"/>
                <w:szCs w:val="18"/>
                <w:color w:val="auto"/>
              </w:rPr>
              <w:t>PINNACLE WEST CAPITAL CORPORATION</w:t>
            </w:r>
          </w:p>
        </w:tc>
      </w:tr>
      <w:tr>
        <w:trPr>
          <w:trHeight w:val="230"/>
        </w:trPr>
        <w:tc>
          <w:tcPr>
            <w:tcW w:w="3600" w:type="dxa"/>
            <w:vAlign w:val="bottom"/>
          </w:tcPr>
          <w:p>
            <w:pPr>
              <w:spacing w:after="0"/>
              <w:rPr>
                <w:sz w:val="20"/>
                <w:szCs w:val="20"/>
                <w:color w:val="auto"/>
              </w:rPr>
            </w:pPr>
          </w:p>
        </w:tc>
        <w:tc>
          <w:tcPr>
            <w:tcW w:w="6140" w:type="dxa"/>
            <w:vAlign w:val="bottom"/>
            <w:gridSpan w:val="2"/>
          </w:tcPr>
          <w:p>
            <w:pPr>
              <w:ind w:left="1760"/>
              <w:spacing w:after="0"/>
              <w:rPr>
                <w:sz w:val="20"/>
                <w:szCs w:val="20"/>
                <w:color w:val="auto"/>
              </w:rPr>
            </w:pPr>
            <w:r>
              <w:rPr>
                <w:rFonts w:ascii="Arial" w:cs="Arial" w:eastAsia="Arial" w:hAnsi="Arial"/>
                <w:sz w:val="18"/>
                <w:szCs w:val="18"/>
                <w:color w:val="auto"/>
              </w:rPr>
              <w:t>(Registrant)</w:t>
            </w:r>
          </w:p>
        </w:tc>
      </w:tr>
      <w:tr>
        <w:trPr>
          <w:trHeight w:val="432"/>
        </w:trPr>
        <w:tc>
          <w:tcPr>
            <w:tcW w:w="3600" w:type="dxa"/>
            <w:vAlign w:val="bottom"/>
          </w:tcPr>
          <w:p>
            <w:pPr>
              <w:spacing w:after="0"/>
              <w:rPr>
                <w:sz w:val="20"/>
                <w:szCs w:val="20"/>
                <w:color w:val="auto"/>
              </w:rPr>
            </w:pPr>
            <w:r>
              <w:rPr>
                <w:rFonts w:ascii="Arial" w:cs="Arial" w:eastAsia="Arial" w:hAnsi="Arial"/>
                <w:sz w:val="18"/>
                <w:szCs w:val="18"/>
                <w:color w:val="auto"/>
              </w:rPr>
              <w:t>Dated: February 12, 2007</w:t>
            </w:r>
          </w:p>
        </w:tc>
        <w:tc>
          <w:tcPr>
            <w:tcW w:w="6140" w:type="dxa"/>
            <w:vAlign w:val="bottom"/>
            <w:gridSpan w:val="2"/>
          </w:tcPr>
          <w:p>
            <w:pPr>
              <w:ind w:left="1760"/>
              <w:spacing w:after="0"/>
              <w:rPr>
                <w:sz w:val="20"/>
                <w:szCs w:val="20"/>
                <w:color w:val="auto"/>
              </w:rPr>
            </w:pPr>
            <w:r>
              <w:rPr>
                <w:rFonts w:ascii="Arial" w:cs="Arial" w:eastAsia="Arial" w:hAnsi="Arial"/>
                <w:sz w:val="18"/>
                <w:szCs w:val="18"/>
                <w:color w:val="auto"/>
              </w:rPr>
              <w:t>By: /s/ Nancy C. Loftin</w:t>
            </w:r>
          </w:p>
        </w:tc>
      </w:tr>
      <w:tr>
        <w:trPr>
          <w:trHeight w:val="195"/>
        </w:trPr>
        <w:tc>
          <w:tcPr>
            <w:tcW w:w="3600" w:type="dxa"/>
            <w:vAlign w:val="bottom"/>
          </w:tcPr>
          <w:p>
            <w:pPr>
              <w:spacing w:after="0"/>
              <w:rPr>
                <w:sz w:val="16"/>
                <w:szCs w:val="16"/>
                <w:color w:val="auto"/>
              </w:rPr>
            </w:pPr>
          </w:p>
        </w:tc>
        <w:tc>
          <w:tcPr>
            <w:tcW w:w="2100" w:type="dxa"/>
            <w:vAlign w:val="bottom"/>
          </w:tcPr>
          <w:p>
            <w:pPr>
              <w:spacing w:after="0"/>
              <w:rPr>
                <w:sz w:val="16"/>
                <w:szCs w:val="16"/>
                <w:color w:val="auto"/>
              </w:rPr>
            </w:pPr>
          </w:p>
        </w:tc>
        <w:tc>
          <w:tcPr>
            <w:tcW w:w="40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Nancy C. Loftin</w:t>
            </w:r>
          </w:p>
        </w:tc>
      </w:tr>
      <w:tr>
        <w:trPr>
          <w:trHeight w:val="230"/>
        </w:trPr>
        <w:tc>
          <w:tcPr>
            <w:tcW w:w="360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Vice President, General Counsel and Secretary</w:t>
            </w:r>
          </w:p>
        </w:tc>
      </w:tr>
      <w:tr>
        <w:trPr>
          <w:trHeight w:val="418"/>
        </w:trPr>
        <w:tc>
          <w:tcPr>
            <w:tcW w:w="3600" w:type="dxa"/>
            <w:vAlign w:val="bottom"/>
          </w:tcPr>
          <w:p>
            <w:pPr>
              <w:spacing w:after="0"/>
              <w:rPr>
                <w:sz w:val="24"/>
                <w:szCs w:val="24"/>
                <w:color w:val="auto"/>
              </w:rPr>
            </w:pPr>
          </w:p>
        </w:tc>
        <w:tc>
          <w:tcPr>
            <w:tcW w:w="6140" w:type="dxa"/>
            <w:vAlign w:val="bottom"/>
            <w:gridSpan w:val="2"/>
          </w:tcPr>
          <w:p>
            <w:pPr>
              <w:ind w:left="1760"/>
              <w:spacing w:after="0"/>
              <w:rPr>
                <w:sz w:val="20"/>
                <w:szCs w:val="20"/>
                <w:color w:val="auto"/>
              </w:rPr>
            </w:pPr>
            <w:r>
              <w:rPr>
                <w:rFonts w:ascii="Arial" w:cs="Arial" w:eastAsia="Arial" w:hAnsi="Arial"/>
                <w:sz w:val="18"/>
                <w:szCs w:val="18"/>
                <w:color w:val="auto"/>
              </w:rPr>
              <w:t>ARIZONA PUBLIC SERVICE COMPANY</w:t>
            </w:r>
          </w:p>
        </w:tc>
      </w:tr>
      <w:tr>
        <w:trPr>
          <w:trHeight w:val="230"/>
        </w:trPr>
        <w:tc>
          <w:tcPr>
            <w:tcW w:w="3600" w:type="dxa"/>
            <w:vAlign w:val="bottom"/>
          </w:tcPr>
          <w:p>
            <w:pPr>
              <w:spacing w:after="0"/>
              <w:rPr>
                <w:sz w:val="20"/>
                <w:szCs w:val="20"/>
                <w:color w:val="auto"/>
              </w:rPr>
            </w:pPr>
          </w:p>
        </w:tc>
        <w:tc>
          <w:tcPr>
            <w:tcW w:w="6140" w:type="dxa"/>
            <w:vAlign w:val="bottom"/>
            <w:gridSpan w:val="2"/>
          </w:tcPr>
          <w:p>
            <w:pPr>
              <w:ind w:left="1760"/>
              <w:spacing w:after="0"/>
              <w:rPr>
                <w:sz w:val="20"/>
                <w:szCs w:val="20"/>
                <w:color w:val="auto"/>
              </w:rPr>
            </w:pPr>
            <w:r>
              <w:rPr>
                <w:rFonts w:ascii="Arial" w:cs="Arial" w:eastAsia="Arial" w:hAnsi="Arial"/>
                <w:sz w:val="18"/>
                <w:szCs w:val="18"/>
                <w:color w:val="auto"/>
              </w:rPr>
              <w:t>(Registrant)</w:t>
            </w:r>
          </w:p>
        </w:tc>
      </w:tr>
      <w:tr>
        <w:trPr>
          <w:trHeight w:val="432"/>
        </w:trPr>
        <w:tc>
          <w:tcPr>
            <w:tcW w:w="3600" w:type="dxa"/>
            <w:vAlign w:val="bottom"/>
          </w:tcPr>
          <w:p>
            <w:pPr>
              <w:spacing w:after="0"/>
              <w:rPr>
                <w:sz w:val="20"/>
                <w:szCs w:val="20"/>
                <w:color w:val="auto"/>
              </w:rPr>
            </w:pPr>
            <w:r>
              <w:rPr>
                <w:rFonts w:ascii="Arial" w:cs="Arial" w:eastAsia="Arial" w:hAnsi="Arial"/>
                <w:sz w:val="18"/>
                <w:szCs w:val="18"/>
                <w:color w:val="auto"/>
              </w:rPr>
              <w:t>Dated: February 12, 2007</w:t>
            </w:r>
          </w:p>
        </w:tc>
        <w:tc>
          <w:tcPr>
            <w:tcW w:w="6140" w:type="dxa"/>
            <w:vAlign w:val="bottom"/>
            <w:gridSpan w:val="2"/>
          </w:tcPr>
          <w:p>
            <w:pPr>
              <w:ind w:left="1760"/>
              <w:spacing w:after="0"/>
              <w:rPr>
                <w:sz w:val="20"/>
                <w:szCs w:val="20"/>
                <w:color w:val="auto"/>
              </w:rPr>
            </w:pPr>
            <w:r>
              <w:rPr>
                <w:rFonts w:ascii="Arial" w:cs="Arial" w:eastAsia="Arial" w:hAnsi="Arial"/>
                <w:sz w:val="18"/>
                <w:szCs w:val="18"/>
                <w:color w:val="auto"/>
              </w:rPr>
              <w:t>By: /s/ Nancy C. Loftin</w:t>
            </w:r>
          </w:p>
        </w:tc>
      </w:tr>
      <w:tr>
        <w:trPr>
          <w:trHeight w:val="195"/>
        </w:trPr>
        <w:tc>
          <w:tcPr>
            <w:tcW w:w="3600" w:type="dxa"/>
            <w:vAlign w:val="bottom"/>
          </w:tcPr>
          <w:p>
            <w:pPr>
              <w:spacing w:after="0"/>
              <w:rPr>
                <w:sz w:val="16"/>
                <w:szCs w:val="16"/>
                <w:color w:val="auto"/>
              </w:rPr>
            </w:pPr>
          </w:p>
        </w:tc>
        <w:tc>
          <w:tcPr>
            <w:tcW w:w="2100" w:type="dxa"/>
            <w:vAlign w:val="bottom"/>
          </w:tcPr>
          <w:p>
            <w:pPr>
              <w:spacing w:after="0"/>
              <w:rPr>
                <w:sz w:val="16"/>
                <w:szCs w:val="16"/>
                <w:color w:val="auto"/>
              </w:rPr>
            </w:pPr>
          </w:p>
        </w:tc>
        <w:tc>
          <w:tcPr>
            <w:tcW w:w="40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Nancy C. Loftin</w:t>
            </w:r>
          </w:p>
        </w:tc>
      </w:tr>
      <w:tr>
        <w:trPr>
          <w:trHeight w:val="230"/>
        </w:trPr>
        <w:tc>
          <w:tcPr>
            <w:tcW w:w="360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Vice President, General Counsel and Secretary</w:t>
            </w:r>
          </w:p>
        </w:tc>
      </w:tr>
      <w:tr>
        <w:trPr>
          <w:trHeight w:val="621"/>
        </w:trPr>
        <w:tc>
          <w:tcPr>
            <w:tcW w:w="3600" w:type="dxa"/>
            <w:vAlign w:val="bottom"/>
          </w:tcPr>
          <w:p>
            <w:pPr>
              <w:spacing w:after="0"/>
              <w:rPr>
                <w:sz w:val="24"/>
                <w:szCs w:val="24"/>
                <w:color w:val="auto"/>
              </w:rPr>
            </w:pPr>
          </w:p>
        </w:tc>
        <w:tc>
          <w:tcPr>
            <w:tcW w:w="6140" w:type="dxa"/>
            <w:vAlign w:val="bottom"/>
            <w:gridSpan w:val="2"/>
          </w:tcPr>
          <w:p>
            <w:pPr>
              <w:ind w:left="2060"/>
              <w:spacing w:after="0"/>
              <w:rPr>
                <w:sz w:val="20"/>
                <w:szCs w:val="20"/>
                <w:color w:val="auto"/>
              </w:rPr>
            </w:pPr>
            <w:r>
              <w:rPr>
                <w:rFonts w:ascii="Arial" w:cs="Arial" w:eastAsia="Arial" w:hAnsi="Arial"/>
                <w:sz w:val="18"/>
                <w:szCs w:val="18"/>
                <w:color w:val="auto"/>
              </w:rPr>
              <w:t>2</w:t>
            </w:r>
          </w:p>
        </w:tc>
      </w:tr>
    </w:tbl>
    <w:p>
      <w:pPr>
        <w:sectPr>
          <w:pgSz w:w="11900" w:h="16838" w:orient="portrait"/>
          <w:cols w:equalWidth="0" w:num="1">
            <w:col w:w="10620"/>
          </w:cols>
          <w:pgMar w:left="240" w:top="419" w:right="10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color w:val="auto"/>
        </w:rPr>
        <w:t>Exhibit 99.1</w:t>
      </w:r>
    </w:p>
    <w:p>
      <w:pPr>
        <w:spacing w:after="0" w:line="240" w:lineRule="exact"/>
        <w:rPr>
          <w:sz w:val="20"/>
          <w:szCs w:val="20"/>
          <w:color w:val="auto"/>
        </w:rPr>
      </w:pPr>
    </w:p>
    <w:p>
      <w:pPr>
        <w:spacing w:after="0"/>
        <w:rPr>
          <w:sz w:val="20"/>
          <w:szCs w:val="20"/>
          <w:color w:val="auto"/>
        </w:rPr>
      </w:pPr>
      <w:r>
        <w:rPr>
          <w:sz w:val="1"/>
          <w:szCs w:val="1"/>
          <w:color w:val="auto"/>
        </w:rPr>
        <w:drawing>
          <wp:inline distT="0" distB="0" distL="0" distR="0">
            <wp:extent cx="1089025" cy="360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089025" cy="360045"/>
                    </a:xfrm>
                    <a:prstGeom prst="rect">
                      <a:avLst/>
                    </a:prstGeom>
                    <a:noFill/>
                    <a:ln>
                      <a:noFill/>
                    </a:ln>
                  </pic:spPr>
                </pic:pic>
              </a:graphicData>
            </a:graphic>
          </wp:inline>
        </w:drawing>
      </w:r>
      <w:r>
        <w:rPr>
          <w:rFonts w:ascii="Arial" w:cs="Arial" w:eastAsia="Arial" w:hAnsi="Arial"/>
          <w:sz w:val="18"/>
          <w:szCs w:val="18"/>
          <w:i w:val="1"/>
          <w:iCs w:val="1"/>
          <w:color w:val="auto"/>
        </w:rPr>
        <w:t xml:space="preserve"> A subsidiary of Pinnacle West Capital Corporation</w:t>
      </w:r>
    </w:p>
    <w:p>
      <w:pPr>
        <w:spacing w:after="0" w:line="31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Important notice concerning the</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Pinnacle West Capital Corporation Savings Plan</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color w:val="auto"/>
        </w:rPr>
        <w:t>February 7, 2007</w:t>
      </w:r>
    </w:p>
    <w:p>
      <w:pPr>
        <w:spacing w:after="0" w:line="117"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This notice is being sent to all participants with a balance in the Pinnacle West Capital Corporation Savings Plan (the “Plan”) and employees who are eligible but are not currently participating in the Plan.</w:t>
      </w:r>
    </w:p>
    <w:p>
      <w:pPr>
        <w:spacing w:after="0" w:line="62"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We want to inform you that a new recordkeeper, JPMorgan Retirement Plan Services, has been selected for the Pinnacle West Capital Corporation Savings Plan. As a result, the responsibility for keeping track of your account in the Plan will transition from Wells Fargo to JPMorgan Retirement Plan Services beginning at 3 p.m. Central Time, March 20, 2007.</w:t>
      </w:r>
    </w:p>
    <w:p>
      <w:pPr>
        <w:spacing w:after="0" w:line="73" w:lineRule="exact"/>
        <w:rPr>
          <w:sz w:val="20"/>
          <w:szCs w:val="20"/>
          <w:color w:val="auto"/>
        </w:rPr>
      </w:pPr>
    </w:p>
    <w:p>
      <w:pPr>
        <w:jc w:val="both"/>
        <w:ind w:right="280"/>
        <w:spacing w:after="0" w:line="259" w:lineRule="auto"/>
        <w:rPr>
          <w:sz w:val="20"/>
          <w:szCs w:val="20"/>
          <w:color w:val="auto"/>
        </w:rPr>
      </w:pPr>
      <w:r>
        <w:rPr>
          <w:rFonts w:ascii="Arial" w:cs="Arial" w:eastAsia="Arial" w:hAnsi="Arial"/>
          <w:sz w:val="18"/>
          <w:szCs w:val="18"/>
          <w:color w:val="auto"/>
        </w:rPr>
        <w:t>During this transition, you temporarily will be unable to direct or diversify investments in the Pinnacle West Capital Corporation Savings Plan, or obtain a loan or distribution. This period, during which you will be unable to exercise these rights otherwise available under the Plan, is called a “blackout period.” Whether or not you are planning retirement in the near future, we encourage you to carefully consider how this blackout period may affect your retirement planning, as well as your overall financial plan.</w:t>
      </w:r>
    </w:p>
    <w:p>
      <w:pPr>
        <w:spacing w:after="0" w:line="79" w:lineRule="exact"/>
        <w:rPr>
          <w:sz w:val="20"/>
          <w:szCs w:val="20"/>
          <w:color w:val="auto"/>
        </w:rPr>
      </w:pPr>
    </w:p>
    <w:p>
      <w:pPr>
        <w:ind w:right="420"/>
        <w:spacing w:after="0" w:line="342" w:lineRule="auto"/>
        <w:rPr>
          <w:sz w:val="20"/>
          <w:szCs w:val="20"/>
          <w:color w:val="auto"/>
        </w:rPr>
      </w:pPr>
      <w:r>
        <w:rPr>
          <w:rFonts w:ascii="Arial" w:cs="Arial" w:eastAsia="Arial" w:hAnsi="Arial"/>
          <w:sz w:val="16"/>
          <w:szCs w:val="16"/>
          <w:color w:val="auto"/>
        </w:rPr>
        <w:t xml:space="preserve">The blackout period will begin at 3 p.m. Central time on March 20, 2007, and end during the week of April 1, 2007. During this time, you can determine whether the blackout period has started or ended by visiting </w:t>
      </w:r>
      <w:r>
        <w:rPr>
          <w:rFonts w:ascii="Arial" w:cs="Arial" w:eastAsia="Arial" w:hAnsi="Arial"/>
          <w:sz w:val="16"/>
          <w:szCs w:val="16"/>
          <w:u w:val="single" w:color="auto"/>
          <w:color w:val="auto"/>
        </w:rPr>
        <w:t>www.retireonline.com</w:t>
      </w:r>
      <w:r>
        <w:rPr>
          <w:rFonts w:ascii="Arial" w:cs="Arial" w:eastAsia="Arial" w:hAnsi="Arial"/>
          <w:sz w:val="16"/>
          <w:szCs w:val="16"/>
          <w:color w:val="auto"/>
        </w:rPr>
        <w:t xml:space="preserve"> or by calling JPMorgan Retirement Plan Services at 800-345-2345.</w:t>
      </w:r>
    </w:p>
    <w:p>
      <w:pPr>
        <w:spacing w:after="0" w:line="1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During the blackout period you will be unable to request a loan, withdrawal or distribution. In addition, you will be unable to direct or diversify the assets held in your Plan account. For this reason, it is very important that you review and consider the appropriateness of your current investments in light of your inability to direct or diversify those investments during the blackout period. For your long-term retirement security, you should give careful consideration to the importance of a well-balanced and diversified investment portfolio, taking into account all your assets, income and investments. You should be aware that there is a risk to holding substantial portions of your assets in the securities of any one company, as individual securities tend to have wider price swings, both up and down in short periods of time, than investments in diversified funds. Stocks that have wide price swings might have a large loss during the blackout period, and you would not be able to direct the sale of such stocks from your account during the blackout period.</w:t>
      </w:r>
    </w:p>
    <w:p>
      <w:pPr>
        <w:spacing w:after="0" w:line="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 xml:space="preserve">If you have any questions concerning this notice please contact the Pinnacle West Employee Benefits Department at 602-250-2324, email </w:t>
      </w:r>
      <w:r>
        <w:rPr>
          <w:rFonts w:ascii="Arial" w:cs="Arial" w:eastAsia="Arial" w:hAnsi="Arial"/>
          <w:sz w:val="18"/>
          <w:szCs w:val="18"/>
          <w:u w:val="single" w:color="auto"/>
          <w:color w:val="auto"/>
        </w:rPr>
        <w:t>Benefits@apsc.com</w:t>
      </w:r>
      <w:r>
        <w:rPr>
          <w:rFonts w:ascii="Arial" w:cs="Arial" w:eastAsia="Arial" w:hAnsi="Arial"/>
          <w:sz w:val="18"/>
          <w:szCs w:val="18"/>
          <w:color w:val="auto"/>
        </w:rPr>
        <w:t xml:space="preserve"> or send correspondence to:</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Pinnacle West Capital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Attn: Employee Benefits Department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PO Box 53999, MS8467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Phoenix, AZ 85072-3999</w:t>
      </w:r>
    </w:p>
    <w:p>
      <w:pPr>
        <w:spacing w:after="0" w:line="103"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 xml:space="preserve">If you would like to inquire or make changes to your Savings Plan account, please contact Wells Fargo at its Web site at </w:t>
      </w:r>
      <w:r>
        <w:rPr>
          <w:rFonts w:ascii="Arial" w:cs="Arial" w:eastAsia="Arial" w:hAnsi="Arial"/>
          <w:sz w:val="17"/>
          <w:szCs w:val="17"/>
          <w:u w:val="single" w:color="auto"/>
          <w:color w:val="auto"/>
        </w:rPr>
        <w:t>http://retirementplan.wellsfargo.com</w:t>
      </w:r>
      <w:r>
        <w:rPr>
          <w:rFonts w:ascii="Arial" w:cs="Arial" w:eastAsia="Arial" w:hAnsi="Arial"/>
          <w:sz w:val="17"/>
          <w:szCs w:val="17"/>
          <w:color w:val="auto"/>
        </w:rPr>
        <w:t xml:space="preserve"> or by phone at 888-319-9451. Representatives are available weekdays between 7 a.m. and 7 p.m. Central time.</w:t>
      </w:r>
    </w:p>
    <w:p>
      <w:pPr>
        <w:sectPr>
          <w:pgSz w:w="11900" w:h="16838" w:orient="portrait"/>
          <w:cols w:equalWidth="0" w:num="1">
            <w:col w:w="11420"/>
          </w:cols>
          <w:pgMar w:left="240" w:top="935" w:right="239" w:bottom="1440" w:gutter="0" w:footer="0" w:header="0"/>
        </w:sectPr>
      </w:pPr>
    </w:p>
    <w:bookmarkStart w:id="6" w:name="page7"/>
    <w:bookmarkEnd w:id="6"/>
    <w:p>
      <w:pPr>
        <w:jc w:val="right"/>
        <w:spacing w:after="0"/>
        <w:rPr>
          <w:sz w:val="20"/>
          <w:szCs w:val="20"/>
          <w:color w:val="auto"/>
        </w:rPr>
      </w:pPr>
      <w:r>
        <w:rPr>
          <w:rFonts w:ascii="Arial" w:cs="Arial" w:eastAsia="Arial" w:hAnsi="Arial"/>
          <w:sz w:val="18"/>
          <w:szCs w:val="18"/>
          <w:color w:val="auto"/>
        </w:rPr>
        <w:t>Exhibit 99.2</w:t>
      </w:r>
    </w:p>
    <w:p>
      <w:pPr>
        <w:spacing w:after="0" w:line="240" w:lineRule="exact"/>
        <w:rPr>
          <w:sz w:val="20"/>
          <w:szCs w:val="20"/>
          <w:color w:val="auto"/>
        </w:rPr>
      </w:pPr>
    </w:p>
    <w:p>
      <w:pPr>
        <w:spacing w:after="0"/>
        <w:rPr>
          <w:sz w:val="20"/>
          <w:szCs w:val="20"/>
          <w:color w:val="auto"/>
        </w:rPr>
      </w:pPr>
      <w:r>
        <w:rPr>
          <w:sz w:val="1"/>
          <w:szCs w:val="1"/>
          <w:color w:val="auto"/>
        </w:rPr>
        <w:drawing>
          <wp:inline distT="0" distB="0" distL="0" distR="0">
            <wp:extent cx="1089025" cy="360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089025" cy="360045"/>
                    </a:xfrm>
                    <a:prstGeom prst="rect">
                      <a:avLst/>
                    </a:prstGeom>
                    <a:noFill/>
                    <a:ln>
                      <a:noFill/>
                    </a:ln>
                  </pic:spPr>
                </pic:pic>
              </a:graphicData>
            </a:graphic>
          </wp:inline>
        </w:drawing>
      </w:r>
      <w:r>
        <w:rPr>
          <w:rFonts w:ascii="Arial" w:cs="Arial" w:eastAsia="Arial" w:hAnsi="Arial"/>
          <w:sz w:val="18"/>
          <w:szCs w:val="18"/>
          <w:i w:val="1"/>
          <w:iCs w:val="1"/>
          <w:color w:val="auto"/>
        </w:rPr>
        <w:t xml:space="preserve"> A subsidiary of Pinnacle West Capital Corporation</w:t>
      </w:r>
    </w:p>
    <w:p>
      <w:pPr>
        <w:spacing w:after="0" w:line="31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Important Notice to Directors and Executive Officers</w:t>
      </w:r>
    </w:p>
    <w:p>
      <w:pPr>
        <w:jc w:val="center"/>
        <w:spacing w:after="0" w:line="238" w:lineRule="auto"/>
        <w:rPr>
          <w:sz w:val="20"/>
          <w:szCs w:val="20"/>
          <w:color w:val="auto"/>
        </w:rPr>
      </w:pPr>
      <w:r>
        <w:rPr>
          <w:rFonts w:ascii="Arial" w:cs="Arial" w:eastAsia="Arial" w:hAnsi="Arial"/>
          <w:sz w:val="22"/>
          <w:szCs w:val="22"/>
          <w:color w:val="auto"/>
        </w:rPr>
        <w:t>Concerning Your</w:t>
      </w:r>
    </w:p>
    <w:p>
      <w:pPr>
        <w:jc w:val="center"/>
        <w:spacing w:after="0"/>
        <w:rPr>
          <w:sz w:val="20"/>
          <w:szCs w:val="20"/>
          <w:color w:val="auto"/>
        </w:rPr>
      </w:pPr>
      <w:r>
        <w:rPr>
          <w:rFonts w:ascii="Arial" w:cs="Arial" w:eastAsia="Arial" w:hAnsi="Arial"/>
          <w:sz w:val="22"/>
          <w:szCs w:val="22"/>
          <w:color w:val="auto"/>
        </w:rPr>
        <w:t>Pinnacle West Capital Corporation Stock</w:t>
      </w:r>
    </w:p>
    <w:p>
      <w:pPr>
        <w:sectPr>
          <w:pgSz w:w="11900" w:h="16838" w:orient="portrait"/>
          <w:cols w:equalWidth="0" w:num="1">
            <w:col w:w="11420"/>
          </w:cols>
          <w:pgMar w:left="240" w:top="935" w:right="239" w:bottom="1440" w:gutter="0" w:footer="0" w:header="0"/>
        </w:sectPr>
      </w:pPr>
    </w:p>
    <w:p>
      <w:pPr>
        <w:spacing w:after="0" w:line="191" w:lineRule="exact"/>
        <w:rPr>
          <w:sz w:val="20"/>
          <w:szCs w:val="20"/>
          <w:color w:val="auto"/>
        </w:rPr>
      </w:pPr>
    </w:p>
    <w:p>
      <w:pPr>
        <w:spacing w:after="0" w:line="261" w:lineRule="auto"/>
        <w:rPr>
          <w:sz w:val="20"/>
          <w:szCs w:val="20"/>
          <w:color w:val="auto"/>
        </w:rPr>
      </w:pPr>
      <w:r>
        <w:rPr>
          <w:rFonts w:ascii="Arial" w:cs="Arial" w:eastAsia="Arial" w:hAnsi="Arial"/>
          <w:sz w:val="18"/>
          <w:szCs w:val="18"/>
          <w:b w:val="1"/>
          <w:bCs w:val="1"/>
          <w:color w:val="auto"/>
        </w:rPr>
        <w:t>DATE TO: FROM: RE:</w:t>
      </w:r>
    </w:p>
    <w:p>
      <w:pPr>
        <w:spacing w:after="0" w:line="20" w:lineRule="exact"/>
        <w:rPr>
          <w:sz w:val="20"/>
          <w:szCs w:val="20"/>
          <w:color w:val="auto"/>
        </w:rPr>
      </w:pPr>
      <w:r>
        <w:rPr>
          <w:sz w:val="20"/>
          <w:szCs w:val="20"/>
          <w:color w:val="auto"/>
        </w:rPr>
        <w:br w:type="column"/>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February 12, 2007</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Members of the Board of Directors and Executive Officers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Nancy Loftin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Pinnacle West Capital Corporation Savings Plan Blackout Notice</w:t>
      </w:r>
    </w:p>
    <w:p>
      <w:pPr>
        <w:spacing w:after="0" w:line="125" w:lineRule="exact"/>
        <w:rPr>
          <w:sz w:val="20"/>
          <w:szCs w:val="20"/>
          <w:color w:val="auto"/>
        </w:rPr>
      </w:pPr>
    </w:p>
    <w:p>
      <w:pPr>
        <w:sectPr>
          <w:pgSz w:w="11900" w:h="16838" w:orient="portrait"/>
          <w:cols w:equalWidth="0" w:num="2">
            <w:col w:w="620" w:space="220"/>
            <w:col w:w="10580"/>
          </w:cols>
          <w:pgMar w:left="240" w:top="935" w:right="239" w:bottom="1440" w:gutter="0" w:footer="0" w:header="0"/>
          <w:type w:val="continuous"/>
        </w:sectPr>
      </w:pPr>
    </w:p>
    <w:p>
      <w:pPr>
        <w:ind w:right="60"/>
        <w:spacing w:after="0" w:line="259" w:lineRule="auto"/>
        <w:rPr>
          <w:sz w:val="20"/>
          <w:szCs w:val="20"/>
          <w:color w:val="auto"/>
        </w:rPr>
      </w:pPr>
      <w:r>
        <w:rPr>
          <w:rFonts w:ascii="Arial" w:cs="Arial" w:eastAsia="Arial" w:hAnsi="Arial"/>
          <w:sz w:val="18"/>
          <w:szCs w:val="18"/>
          <w:color w:val="auto"/>
        </w:rPr>
        <w:t>This memorandum may be in addition to the notice you have received as a participant in the Pinnacle West Capital Corporation Savings Plan (the “Plan”). As a director or executive officer of Pinnacle West Capital Corporation you are subject to Section 306(a) of the Sarbanes-Oxley Act of 2002, which prohibits certain securities transactions during Plan blackout periods. This memorandum is to notify you of an impending blackout period in connection with a planned change in the record keeper for the Plan.</w:t>
      </w:r>
    </w:p>
    <w:p>
      <w:pPr>
        <w:spacing w:after="0" w:line="75" w:lineRule="exact"/>
        <w:rPr>
          <w:sz w:val="20"/>
          <w:szCs w:val="20"/>
          <w:color w:val="auto"/>
        </w:rPr>
      </w:pPr>
    </w:p>
    <w:p>
      <w:pPr>
        <w:ind w:right="180"/>
        <w:spacing w:after="0" w:line="282" w:lineRule="auto"/>
        <w:rPr>
          <w:sz w:val="20"/>
          <w:szCs w:val="20"/>
          <w:color w:val="auto"/>
        </w:rPr>
      </w:pPr>
      <w:r>
        <w:rPr>
          <w:rFonts w:ascii="Arial" w:cs="Arial" w:eastAsia="Arial" w:hAnsi="Arial"/>
          <w:sz w:val="18"/>
          <w:szCs w:val="18"/>
          <w:color w:val="auto"/>
        </w:rPr>
        <w:t xml:space="preserve">As a result of the Plan blackout period, </w:t>
      </w:r>
      <w:r>
        <w:rPr>
          <w:rFonts w:ascii="Arial" w:cs="Arial" w:eastAsia="Arial" w:hAnsi="Arial"/>
          <w:sz w:val="18"/>
          <w:szCs w:val="18"/>
          <w:b w:val="1"/>
          <w:bCs w:val="1"/>
          <w:color w:val="auto"/>
        </w:rPr>
        <w:t>you will be unable to facilitate any transaction involving Pinnacle West stock or derivative securities</w:t>
      </w:r>
      <w:r>
        <w:rPr>
          <w:rFonts w:ascii="Arial" w:cs="Arial" w:eastAsia="Arial" w:hAnsi="Arial"/>
          <w:sz w:val="18"/>
          <w:szCs w:val="18"/>
          <w:color w:val="auto"/>
        </w:rPr>
        <w:t xml:space="preserve"> that were acquired in connection with your service or employment as a director or executive officer of the Company.</w:t>
      </w:r>
    </w:p>
    <w:p>
      <w:pPr>
        <w:spacing w:after="0" w:line="58"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This restriction applies during the Plan blackout period beginning at 3 p.m. Central time on March 20, 2007, and ending during the week of April 1, 2007. During this time, you can determine whether the blackout period has ended by contacting Pinnacle West Capital Corporation, Employee Benefits Department, PO Box 53999, Mail Station 8467, Phoenix, Arizona 85072-3999 or by telephone at 602-250-2324.</w:t>
      </w:r>
    </w:p>
    <w:p>
      <w:pPr>
        <w:spacing w:after="0" w:line="73"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Upon the end of the Plan blackout period, you will be permitted to resume transactions in such securities subject to the requirements of the Pinnacle West Capital Corporation Insider Trading Policy.</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Certain transactions are exempt from the restrictions on your Pinnacle West stock and derivative securities.</w:t>
      </w:r>
    </w:p>
    <w:p>
      <w:pPr>
        <w:spacing w:after="0" w:line="117"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If you have questions concerning this notice or you would like more information regarding exempt transactions, please contact me at 602-250-3252, or in writing at PO Box 53999, Mail Station 9068, Phoenix, Arizona 85072-3999.</w:t>
      </w:r>
    </w:p>
    <w:sectPr>
      <w:pgSz w:w="11900" w:h="16838" w:orient="portrait"/>
      <w:cols w:equalWidth="0" w:num="1">
        <w:col w:w="11420"/>
      </w:cols>
      <w:pgMar w:left="240" w:top="935"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2020-02-04T05:23:30Z</dcterms:created>
  <dcterms:modified xsi:type="dcterms:W3CDTF">2020-02-04T05:23:30Z</dcterms:modified>
</cp:coreProperties>
</file>