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55308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553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440" w:gutter="0" w:footer="0" w:header="0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LEVINE JAMES M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</w:tr>
      <w:tr>
        <w:trPr>
          <w:trHeight w:val="28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400 N. 5TH STREET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1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70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AZ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85004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2.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</w:tcPr>
          <w:p>
            <w:pPr>
              <w:spacing w:after="0" w:line="21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95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5"/>
                </w:rPr>
                <w:t xml:space="preserve">PINNACLE WEST CAPITAL CORP </w:t>
              </w:r>
            </w:hyperlink>
            <w:r>
              <w:rPr>
                <w:rFonts w:ascii="Arial" w:cs="Arial" w:eastAsia="Arial" w:hAnsi="Arial"/>
                <w:sz w:val="22"/>
                <w:szCs w:val="22"/>
                <w:color w:val="000000"/>
                <w:w w:val="95"/>
              </w:rPr>
              <w:t>[</w:t>
            </w:r>
            <w:r>
              <w:rPr>
                <w:rFonts w:ascii="Arial" w:cs="Arial" w:eastAsia="Arial" w:hAnsi="Arial"/>
                <w:sz w:val="22"/>
                <w:szCs w:val="22"/>
                <w:color w:val="0000EE"/>
                <w:w w:val="95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PNW</w:t>
            </w:r>
          </w:p>
        </w:tc>
        <w:tc>
          <w:tcPr>
            <w:tcW w:w="1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6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]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3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3.</w:t>
            </w:r>
          </w:p>
        </w:tc>
        <w:tc>
          <w:tcPr>
            <w:tcW w:w="37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 of Earliest Transaction (Month/Day/Year)</w:t>
            </w:r>
          </w:p>
        </w:tc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20" w:type="dxa"/>
            <w:vAlign w:val="bottom"/>
            <w:gridSpan w:val="3"/>
            <w:vMerge w:val="restart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Executive V.P., APS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3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01/03/2007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33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4.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If Amendment, Date of Original Filed (Month/Day/Year)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260"/>
        <w:spacing w:after="0" w:line="211" w:lineRule="auto"/>
        <w:tabs>
          <w:tab w:leader="none" w:pos="4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80"/>
            <w:col w:w="7520"/>
          </w:cols>
          <w:pgMar w:left="240" w:top="226" w:right="13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01/03/2007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ind w:right="1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1,752</w:t>
            </w:r>
          </w:p>
        </w:tc>
        <w:tc>
          <w:tcPr>
            <w:tcW w:w="6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37,277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01/03/2007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ind w:right="1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8"/>
              </w:rPr>
              <w:t>D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1,752</w:t>
            </w:r>
          </w:p>
        </w:tc>
        <w:tc>
          <w:tcPr>
            <w:tcW w:w="6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51.51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35,525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4,742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jc w:val="center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0" w:type="dxa"/>
            <w:vAlign w:val="bottom"/>
            <w:gridSpan w:val="11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(e.g., puts, calls, warrants, options, convertible securities)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Retention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01/03/2007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1,752</w:t>
            </w: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01/03/2007</w:t>
            </w: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9"/>
              </w:rPr>
              <w:t>01/03/2007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1,752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1"/>
              </w:rPr>
              <w:t>5,259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Each retention unit represents a right to receive cash in an amount equal to the fair market value of one share of common stock on the date the retention unit vests.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6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/s/ James M. Levine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01/05/2007</w:t>
            </w:r>
          </w:p>
        </w:tc>
      </w:tr>
      <w:tr>
        <w:trPr>
          <w:trHeight w:val="20"/>
        </w:trPr>
        <w:tc>
          <w:tcPr>
            <w:tcW w:w="6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6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</w:tr>
      <w:tr>
        <w:trPr>
          <w:trHeight w:val="203"/>
        </w:trPr>
        <w:tc>
          <w:tcPr>
            <w:tcW w:w="89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Reminder: Report on a separate line for each class of securities beneficially owned directly or indirectly.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3"/>
        </w:trPr>
        <w:tc>
          <w:tcPr>
            <w:tcW w:w="89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Instruction 4 (b)(v).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</w:tbl>
    <w:p>
      <w:pPr>
        <w:spacing w:after="0" w:line="26" w:lineRule="exact"/>
        <w:rPr>
          <w:sz w:val="24"/>
          <w:szCs w:val="24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10765" TargetMode="External"/><Relationship Id="rId13" Type="http://schemas.openxmlformats.org/officeDocument/2006/relationships/hyperlink" Target="http://www.sec.gov/cgi-bin/browse-edgar?action=getcompany&amp;CIK=000076462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2020-02-02T21:26:00Z</dcterms:created>
  <dcterms:modified xsi:type="dcterms:W3CDTF">2020-02-02T21:26:00Z</dcterms:modified>
</cp:coreProperties>
</file>