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530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53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POST WILLIAM J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400 N. 5TH STREET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60" w:type="dxa"/>
            <w:vAlign w:val="bottom"/>
            <w:gridSpan w:val="5"/>
          </w:tcPr>
          <w:p>
            <w:pPr>
              <w:spacing w:after="0" w:line="211" w:lineRule="exact"/>
              <w:rPr>
                <w:rFonts w:ascii="Arial" w:cs="Arial" w:eastAsia="Arial" w:hAnsi="Arial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9"/>
                  <w:szCs w:val="19"/>
                  <w:color w:val="0000EE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19"/>
                <w:szCs w:val="19"/>
                <w:color w:val="000000"/>
              </w:rPr>
              <w:t>[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color w:val="0000FF"/>
              </w:rPr>
              <w:t>PNW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 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  <w:vertAlign w:val="superscript"/>
              </w:rPr>
              <w:t>(Check all applicable)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auto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>]</w:t>
              </w:r>
            </w:hyperlink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2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Chief Executive Officer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/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 Chairman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2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5,258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69,922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5,258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51.51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64,664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6,155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Retention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01/03/2007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5,258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01/03/2007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01/03/2007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5,258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15,776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Each retention unit represents a right to receive cash in an amount equal to the fair market value of one share of common stock on the date the retention unit vests.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William J. Post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01/05/2007</w:t>
            </w:r>
          </w:p>
        </w:tc>
      </w:tr>
      <w:tr>
        <w:trPr>
          <w:trHeight w:val="20"/>
        </w:trPr>
        <w:tc>
          <w:tcPr>
            <w:tcW w:w="6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4 (b)(v).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027958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2020-02-02T21:41:23Z</dcterms:created>
  <dcterms:modified xsi:type="dcterms:W3CDTF">2020-02-02T21:41:23Z</dcterms:modified>
</cp:coreProperties>
</file>