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p70414e8vk.htm"/>
      <w:bookmarkStart w:id="1" w:name="ksp70414e8vk"/>
      <w:bookmarkEnd w:id="0"/>
      <w:bookmarkEnd w:id="1"/>
      <w:r>
        <w:rPr/>
        <w:t> </w:t>
      </w:r>
    </w:p>
    <w:p>
      <w:pPr>
        <w:pStyle w:val="TextBody"/>
        <w:spacing w:before="0" w:after="0"/>
        <w:jc w:val="center"/>
        <w:rPr>
          <w:rFonts w:ascii="Times New Roman;Times;serif" w:hAnsi="Times New Roman;Times;serif"/>
          <w:sz w:val="23"/>
        </w:rPr>
      </w:pPr>
      <w:r>
        <w:rPr>
          <w:rFonts w:ascii="Times New Roman;Times;serif" w:hAnsi="Times New Roman;Times;serif"/>
          <w:b/>
          <w:sz w:val="23"/>
        </w:rPr>
        <w:t>UNITED STATES</w:t>
        <w:br/>
        <w:t>SECURITIES AND EXCHANGE COMMISSION</w:t>
      </w:r>
      <w:r>
        <w:rPr>
          <w:rFonts w:ascii="Times New Roman;Times;serif" w:hAnsi="Times New Roman;Times;serif"/>
          <w:sz w:val="23"/>
        </w:rPr>
        <w:t xml:space="preserve"> </w:t>
      </w:r>
    </w:p>
    <w:p>
      <w:pPr>
        <w:pStyle w:val="TextBody"/>
        <w:jc w:val="center"/>
        <w:rPr>
          <w:rFonts w:ascii="Times New Roman;Times;serif" w:hAnsi="Times New Roman;Times;serif"/>
          <w:sz w:val="20"/>
        </w:rPr>
      </w:pPr>
      <w:r>
        <w:rPr>
          <w:rFonts w:ascii="Times New Roman;Times;serif" w:hAnsi="Times New Roman;Times;serif"/>
          <w:b/>
          <w:sz w:val="20"/>
        </w:rPr>
        <w:t>Washington, D.C. 20549</w:t>
      </w:r>
      <w:r>
        <w:rPr>
          <w:rFonts w:ascii="Times New Roman;Times;serif" w:hAnsi="Times New Roman;Times;serif"/>
          <w:sz w:val="20"/>
        </w:rPr>
        <w:t xml:space="preserve"> </w:t>
      </w:r>
    </w:p>
    <w:p>
      <w:pPr>
        <w:pStyle w:val="TextBody"/>
        <w:jc w:val="center"/>
        <w:rPr>
          <w:rFonts w:ascii="Times New Roman;Times;serif" w:hAnsi="Times New Roman;Times;serif"/>
          <w:sz w:val="30"/>
        </w:rPr>
      </w:pPr>
      <w:r>
        <w:rPr>
          <w:rFonts w:ascii="Times New Roman;Times;serif" w:hAnsi="Times New Roman;Times;serif"/>
          <w:b/>
          <w:sz w:val="30"/>
        </w:rPr>
        <w:t>FORM 8-K</w:t>
      </w:r>
      <w:r>
        <w:rPr>
          <w:rFonts w:ascii="Times New Roman;Times;serif" w:hAnsi="Times New Roman;Times;serif"/>
          <w:sz w:val="30"/>
        </w:rPr>
        <w:t xml:space="preserve"> </w:t>
      </w:r>
    </w:p>
    <w:p>
      <w:pPr>
        <w:pStyle w:val="TextBody"/>
        <w:jc w:val="center"/>
        <w:rPr>
          <w:rFonts w:ascii="Times New Roman;Times;serif" w:hAnsi="Times New Roman;Times;serif"/>
          <w:sz w:val="17"/>
        </w:rPr>
      </w:pPr>
      <w:r>
        <w:rPr>
          <w:rFonts w:ascii="Times New Roman;Times;serif" w:hAnsi="Times New Roman;Times;serif"/>
          <w:b/>
          <w:sz w:val="17"/>
        </w:rPr>
        <w:t>CURRENT REPORT</w:t>
        <w:br/>
        <w:t>Pursuant to Section 13 or 15(d) of the</w:t>
        <w:br/>
        <w:t>Securities Exchange Act of 1934</w:t>
      </w:r>
      <w:r>
        <w:rPr>
          <w:rFonts w:ascii="Times New Roman;Times;serif" w:hAnsi="Times New Roman;Times;serif"/>
          <w:sz w:val="17"/>
        </w:rPr>
        <w:t xml:space="preserve"> </w:t>
      </w:r>
    </w:p>
    <w:p>
      <w:pPr>
        <w:pStyle w:val="TextBody"/>
        <w:spacing w:before="0" w:after="0"/>
        <w:jc w:val="center"/>
        <w:rPr>
          <w:rFonts w:ascii="Times New Roman;Times;serif" w:hAnsi="Times New Roman;Times;serif"/>
          <w:sz w:val="17"/>
        </w:rPr>
      </w:pPr>
      <w:r>
        <w:rPr>
          <w:rFonts w:ascii="Times New Roman;Times;serif" w:hAnsi="Times New Roman;Times;serif"/>
          <w:sz w:val="17"/>
        </w:rPr>
        <w:t xml:space="preserve">Date of Report (Date of earliest event reported): March 28, 2005 </w:t>
      </w:r>
    </w:p>
    <w:tbl>
      <w:tblPr>
        <w:tblW w:w="5000" w:type="pct"/>
        <w:jc w:val="center"/>
        <w:tblInd w:w="0" w:type="dxa"/>
        <w:tblCellMar>
          <w:top w:w="0" w:type="dxa"/>
          <w:left w:w="0" w:type="dxa"/>
          <w:bottom w:w="0" w:type="dxa"/>
          <w:right w:w="0" w:type="dxa"/>
        </w:tblCellMar>
      </w:tblPr>
      <w:tblGrid>
        <w:gridCol w:w="2470"/>
        <w:gridCol w:w="188"/>
        <w:gridCol w:w="5088"/>
        <w:gridCol w:w="188"/>
        <w:gridCol w:w="2271"/>
      </w:tblGrid>
      <w:tr>
        <w:trPr/>
        <w:tc>
          <w:tcPr>
            <w:tcW w:w="247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5088"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71" w:type="dxa"/>
            <w:tcBorders/>
            <w:shd w:fill="auto" w:val="clear"/>
            <w:vAlign w:val="bottom"/>
          </w:tcPr>
          <w:p>
            <w:pPr>
              <w:pStyle w:val="TableContents"/>
              <w:spacing w:before="0" w:after="283"/>
              <w:rPr/>
            </w:pPr>
            <w:r>
              <w:rPr/>
              <w:t> </w:t>
            </w:r>
          </w:p>
        </w:tc>
      </w:tr>
      <w:tr>
        <w:trPr/>
        <w:tc>
          <w:tcPr>
            <w:tcW w:w="247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5088" w:type="dxa"/>
            <w:tcBorders/>
            <w:shd w:fill="auto" w:val="clear"/>
            <w:vAlign w:val="bottom"/>
          </w:tcPr>
          <w:p>
            <w:pPr>
              <w:pStyle w:val="TableContents"/>
              <w:spacing w:before="0" w:after="283"/>
              <w:jc w:val="center"/>
              <w:rPr/>
            </w:pPr>
            <w:r>
              <w:rPr/>
              <w:t>Exact Name of Registrant as Specified in</w:t>
            </w:r>
          </w:p>
        </w:tc>
        <w:tc>
          <w:tcPr>
            <w:tcW w:w="188" w:type="dxa"/>
            <w:tcBorders/>
            <w:shd w:fill="auto" w:val="clear"/>
            <w:vAlign w:val="bottom"/>
          </w:tcPr>
          <w:p>
            <w:pPr>
              <w:pStyle w:val="TableContents"/>
              <w:spacing w:before="0" w:after="283"/>
              <w:rPr/>
            </w:pPr>
            <w:r>
              <w:rPr/>
              <w:t> </w:t>
            </w:r>
          </w:p>
        </w:tc>
        <w:tc>
          <w:tcPr>
            <w:tcW w:w="2271" w:type="dxa"/>
            <w:tcBorders/>
            <w:shd w:fill="auto" w:val="clear"/>
            <w:vAlign w:val="bottom"/>
          </w:tcPr>
          <w:p>
            <w:pPr>
              <w:pStyle w:val="TableContents"/>
              <w:spacing w:before="0" w:after="283"/>
              <w:jc w:val="center"/>
              <w:rPr/>
            </w:pPr>
            <w:r>
              <w:rPr/>
              <w:t> </w:t>
            </w:r>
          </w:p>
        </w:tc>
      </w:tr>
      <w:tr>
        <w:trPr/>
        <w:tc>
          <w:tcPr>
            <w:tcW w:w="247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5088" w:type="dxa"/>
            <w:tcBorders/>
            <w:shd w:fill="auto" w:val="clear"/>
            <w:vAlign w:val="bottom"/>
          </w:tcPr>
          <w:p>
            <w:pPr>
              <w:pStyle w:val="TableContents"/>
              <w:spacing w:before="0" w:after="283"/>
              <w:jc w:val="center"/>
              <w:rPr/>
            </w:pPr>
            <w:r>
              <w:rPr/>
              <w:t>Charter; State of Incorporation;</w:t>
            </w:r>
          </w:p>
        </w:tc>
        <w:tc>
          <w:tcPr>
            <w:tcW w:w="188" w:type="dxa"/>
            <w:tcBorders/>
            <w:shd w:fill="auto" w:val="clear"/>
            <w:vAlign w:val="bottom"/>
          </w:tcPr>
          <w:p>
            <w:pPr>
              <w:pStyle w:val="TableContents"/>
              <w:spacing w:before="0" w:after="283"/>
              <w:rPr/>
            </w:pPr>
            <w:r>
              <w:rPr/>
              <w:t> </w:t>
            </w:r>
          </w:p>
        </w:tc>
        <w:tc>
          <w:tcPr>
            <w:tcW w:w="2271" w:type="dxa"/>
            <w:tcBorders/>
            <w:shd w:fill="auto" w:val="clear"/>
            <w:vAlign w:val="bottom"/>
          </w:tcPr>
          <w:p>
            <w:pPr>
              <w:pStyle w:val="TableContents"/>
              <w:spacing w:before="0" w:after="283"/>
              <w:jc w:val="center"/>
              <w:rPr/>
            </w:pPr>
            <w:r>
              <w:rPr/>
              <w:t>IRS Employer</w:t>
            </w:r>
          </w:p>
        </w:tc>
      </w:tr>
      <w:tr>
        <w:trPr/>
        <w:tc>
          <w:tcPr>
            <w:tcW w:w="2470" w:type="dxa"/>
            <w:tcBorders>
              <w:bottom w:val="single" w:sz="2" w:space="0" w:color="000000"/>
            </w:tcBorders>
            <w:shd w:fill="auto" w:val="clear"/>
            <w:tcMar>
              <w:bottom w:w="28" w:type="dxa"/>
            </w:tcMar>
            <w:vAlign w:val="bottom"/>
          </w:tcPr>
          <w:p>
            <w:pPr>
              <w:pStyle w:val="TableContents"/>
              <w:spacing w:before="0" w:after="283"/>
              <w:jc w:val="left"/>
              <w:rPr/>
            </w:pPr>
            <w:r>
              <w:rPr/>
              <w:t>Commission File Number</w:t>
            </w:r>
          </w:p>
        </w:tc>
        <w:tc>
          <w:tcPr>
            <w:tcW w:w="188" w:type="dxa"/>
            <w:tcBorders/>
            <w:shd w:fill="auto" w:val="clear"/>
            <w:vAlign w:val="bottom"/>
          </w:tcPr>
          <w:p>
            <w:pPr>
              <w:pStyle w:val="TableContents"/>
              <w:spacing w:before="0" w:after="283"/>
              <w:rPr/>
            </w:pPr>
            <w:r>
              <w:rPr/>
              <w:t> </w:t>
            </w:r>
          </w:p>
        </w:tc>
        <w:tc>
          <w:tcPr>
            <w:tcW w:w="5088" w:type="dxa"/>
            <w:tcBorders>
              <w:bottom w:val="single" w:sz="2" w:space="0" w:color="000000"/>
            </w:tcBorders>
            <w:shd w:fill="auto" w:val="clear"/>
            <w:tcMar>
              <w:bottom w:w="28" w:type="dxa"/>
            </w:tcMar>
            <w:vAlign w:val="bottom"/>
          </w:tcPr>
          <w:p>
            <w:pPr>
              <w:pStyle w:val="TableContents"/>
              <w:spacing w:before="0" w:after="283"/>
              <w:jc w:val="center"/>
              <w:rPr/>
            </w:pPr>
            <w:r>
              <w:rPr/>
              <w:t>Address and Telephone Number</w:t>
            </w:r>
          </w:p>
        </w:tc>
        <w:tc>
          <w:tcPr>
            <w:tcW w:w="188" w:type="dxa"/>
            <w:tcBorders/>
            <w:shd w:fill="auto" w:val="clear"/>
            <w:vAlign w:val="bottom"/>
          </w:tcPr>
          <w:p>
            <w:pPr>
              <w:pStyle w:val="TableContents"/>
              <w:spacing w:before="0" w:after="283"/>
              <w:rPr/>
            </w:pPr>
            <w:r>
              <w:rPr/>
              <w:t> </w:t>
            </w:r>
          </w:p>
        </w:tc>
        <w:tc>
          <w:tcPr>
            <w:tcW w:w="2271" w:type="dxa"/>
            <w:tcBorders>
              <w:bottom w:val="single" w:sz="2" w:space="0" w:color="000000"/>
            </w:tcBorders>
            <w:shd w:fill="auto" w:val="clear"/>
            <w:tcMar>
              <w:bottom w:w="28" w:type="dxa"/>
            </w:tcMar>
            <w:vAlign w:val="bottom"/>
          </w:tcPr>
          <w:p>
            <w:pPr>
              <w:pStyle w:val="TableContents"/>
              <w:spacing w:before="0" w:after="283"/>
              <w:jc w:val="center"/>
              <w:rPr/>
            </w:pPr>
            <w:r>
              <w:rPr/>
              <w:t>Identification Number</w:t>
            </w:r>
          </w:p>
        </w:tc>
      </w:tr>
      <w:tr>
        <w:trPr/>
        <w:tc>
          <w:tcPr>
            <w:tcW w:w="2470" w:type="dxa"/>
            <w:tcBorders/>
            <w:shd w:fill="auto" w:val="clear"/>
          </w:tcPr>
          <w:p>
            <w:pPr>
              <w:pStyle w:val="TableContents"/>
              <w:spacing w:before="0" w:after="0"/>
              <w:ind w:left="0" w:right="0" w:hanging="0"/>
              <w:rPr/>
            </w:pPr>
            <w:r>
              <w:rPr/>
              <w:t xml:space="preserve">1-8962 </w:t>
            </w:r>
          </w:p>
        </w:tc>
        <w:tc>
          <w:tcPr>
            <w:tcW w:w="188" w:type="dxa"/>
            <w:tcBorders/>
            <w:shd w:fill="auto" w:val="clear"/>
            <w:vAlign w:val="bottom"/>
          </w:tcPr>
          <w:p>
            <w:pPr>
              <w:pStyle w:val="TableContents"/>
              <w:spacing w:before="0" w:after="283"/>
              <w:rPr/>
            </w:pPr>
            <w:r>
              <w:rPr/>
              <w:t> </w:t>
            </w:r>
          </w:p>
        </w:tc>
        <w:tc>
          <w:tcPr>
            <w:tcW w:w="5088" w:type="dxa"/>
            <w:tcBorders/>
            <w:shd w:fill="auto" w:val="clear"/>
          </w:tcPr>
          <w:p>
            <w:pPr>
              <w:pStyle w:val="TableContents"/>
              <w:spacing w:before="0" w:after="283"/>
              <w:jc w:val="left"/>
              <w:rPr/>
            </w:pPr>
            <w:r>
              <w:rPr/>
              <w:t xml:space="preserve">Pinnacle West Capital Corporation </w:t>
            </w:r>
          </w:p>
        </w:tc>
        <w:tc>
          <w:tcPr>
            <w:tcW w:w="188" w:type="dxa"/>
            <w:tcBorders/>
            <w:shd w:fill="auto" w:val="clear"/>
            <w:vAlign w:val="bottom"/>
          </w:tcPr>
          <w:p>
            <w:pPr>
              <w:pStyle w:val="TableContents"/>
              <w:spacing w:before="0" w:after="283"/>
              <w:rPr/>
            </w:pPr>
            <w:r>
              <w:rPr/>
              <w:t> </w:t>
            </w:r>
          </w:p>
        </w:tc>
        <w:tc>
          <w:tcPr>
            <w:tcW w:w="2271" w:type="dxa"/>
            <w:tcBorders/>
            <w:shd w:fill="auto" w:val="clear"/>
          </w:tcPr>
          <w:p>
            <w:pPr>
              <w:pStyle w:val="TableContents"/>
              <w:spacing w:before="0" w:after="283"/>
              <w:jc w:val="left"/>
              <w:rPr/>
            </w:pPr>
            <w:r>
              <w:rPr/>
              <w:t>86-0512431</w:t>
            </w:r>
          </w:p>
        </w:tc>
      </w:tr>
      <w:tr>
        <w:trPr/>
        <w:tc>
          <w:tcPr>
            <w:tcW w:w="2470" w:type="dxa"/>
            <w:tcBorders/>
            <w:shd w:fill="auto" w:val="clear"/>
          </w:tcPr>
          <w:p>
            <w:pPr>
              <w:pStyle w:val="TableContents"/>
              <w:spacing w:before="0" w:after="283"/>
              <w:ind w:left="0" w:right="0" w:hanging="0"/>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5088" w:type="dxa"/>
            <w:tcBorders/>
            <w:shd w:fill="auto" w:val="clear"/>
          </w:tcPr>
          <w:p>
            <w:pPr>
              <w:pStyle w:val="TableContents"/>
              <w:spacing w:before="0" w:after="283"/>
              <w:jc w:val="left"/>
              <w:rPr/>
            </w:pPr>
            <w:r>
              <w:rPr/>
              <w:t>(an Arizona corporation)</w:t>
            </w:r>
          </w:p>
        </w:tc>
        <w:tc>
          <w:tcPr>
            <w:tcW w:w="188" w:type="dxa"/>
            <w:tcBorders/>
            <w:shd w:fill="auto" w:val="clear"/>
            <w:vAlign w:val="bottom"/>
          </w:tcPr>
          <w:p>
            <w:pPr>
              <w:pStyle w:val="TableContents"/>
              <w:spacing w:before="0" w:after="283"/>
              <w:rPr/>
            </w:pPr>
            <w:r>
              <w:rPr/>
              <w:t> </w:t>
            </w:r>
          </w:p>
        </w:tc>
        <w:tc>
          <w:tcPr>
            <w:tcW w:w="2271" w:type="dxa"/>
            <w:tcBorders/>
            <w:shd w:fill="auto" w:val="clear"/>
          </w:tcPr>
          <w:p>
            <w:pPr>
              <w:pStyle w:val="TableContents"/>
              <w:spacing w:before="0" w:after="283"/>
              <w:jc w:val="left"/>
              <w:rPr/>
            </w:pPr>
            <w:r>
              <w:rPr/>
              <w:t> </w:t>
            </w:r>
          </w:p>
        </w:tc>
      </w:tr>
      <w:tr>
        <w:trPr/>
        <w:tc>
          <w:tcPr>
            <w:tcW w:w="2470" w:type="dxa"/>
            <w:tcBorders/>
            <w:shd w:fill="auto" w:val="clear"/>
          </w:tcPr>
          <w:p>
            <w:pPr>
              <w:pStyle w:val="TableContents"/>
              <w:spacing w:before="0" w:after="283"/>
              <w:ind w:left="0" w:right="0" w:hanging="0"/>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5088" w:type="dxa"/>
            <w:tcBorders/>
            <w:shd w:fill="auto" w:val="clear"/>
          </w:tcPr>
          <w:p>
            <w:pPr>
              <w:pStyle w:val="TableContents"/>
              <w:spacing w:before="0" w:after="283"/>
              <w:jc w:val="left"/>
              <w:rPr/>
            </w:pPr>
            <w:r>
              <w:rPr/>
              <w:t>400 North Fifth Street, P.O. Box 53999</w:t>
            </w:r>
          </w:p>
        </w:tc>
        <w:tc>
          <w:tcPr>
            <w:tcW w:w="188" w:type="dxa"/>
            <w:tcBorders/>
            <w:shd w:fill="auto" w:val="clear"/>
            <w:vAlign w:val="bottom"/>
          </w:tcPr>
          <w:p>
            <w:pPr>
              <w:pStyle w:val="TableContents"/>
              <w:spacing w:before="0" w:after="283"/>
              <w:rPr/>
            </w:pPr>
            <w:r>
              <w:rPr/>
              <w:t> </w:t>
            </w:r>
          </w:p>
        </w:tc>
        <w:tc>
          <w:tcPr>
            <w:tcW w:w="2271" w:type="dxa"/>
            <w:tcBorders/>
            <w:shd w:fill="auto" w:val="clear"/>
          </w:tcPr>
          <w:p>
            <w:pPr>
              <w:pStyle w:val="TableContents"/>
              <w:spacing w:before="0" w:after="283"/>
              <w:jc w:val="left"/>
              <w:rPr/>
            </w:pPr>
            <w:r>
              <w:rPr/>
              <w:t> </w:t>
            </w:r>
          </w:p>
        </w:tc>
      </w:tr>
      <w:tr>
        <w:trPr/>
        <w:tc>
          <w:tcPr>
            <w:tcW w:w="2470" w:type="dxa"/>
            <w:tcBorders/>
            <w:shd w:fill="auto" w:val="clear"/>
          </w:tcPr>
          <w:p>
            <w:pPr>
              <w:pStyle w:val="TableContents"/>
              <w:spacing w:before="0" w:after="283"/>
              <w:ind w:left="0" w:right="0" w:hanging="0"/>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5088" w:type="dxa"/>
            <w:tcBorders/>
            <w:shd w:fill="auto" w:val="clear"/>
          </w:tcPr>
          <w:p>
            <w:pPr>
              <w:pStyle w:val="TableContents"/>
              <w:spacing w:before="0" w:after="283"/>
              <w:jc w:val="left"/>
              <w:rPr/>
            </w:pPr>
            <w:r>
              <w:rPr/>
              <w:t>Phoenix, AZ 85072-3999</w:t>
            </w:r>
          </w:p>
        </w:tc>
        <w:tc>
          <w:tcPr>
            <w:tcW w:w="188" w:type="dxa"/>
            <w:tcBorders/>
            <w:shd w:fill="auto" w:val="clear"/>
            <w:vAlign w:val="bottom"/>
          </w:tcPr>
          <w:p>
            <w:pPr>
              <w:pStyle w:val="TableContents"/>
              <w:spacing w:before="0" w:after="283"/>
              <w:rPr/>
            </w:pPr>
            <w:r>
              <w:rPr/>
              <w:t> </w:t>
            </w:r>
          </w:p>
        </w:tc>
        <w:tc>
          <w:tcPr>
            <w:tcW w:w="2271" w:type="dxa"/>
            <w:tcBorders/>
            <w:shd w:fill="auto" w:val="clear"/>
          </w:tcPr>
          <w:p>
            <w:pPr>
              <w:pStyle w:val="TableContents"/>
              <w:spacing w:before="0" w:after="283"/>
              <w:jc w:val="left"/>
              <w:rPr/>
            </w:pPr>
            <w:r>
              <w:rPr/>
              <w:t> </w:t>
            </w:r>
          </w:p>
        </w:tc>
      </w:tr>
      <w:tr>
        <w:trPr/>
        <w:tc>
          <w:tcPr>
            <w:tcW w:w="2470" w:type="dxa"/>
            <w:tcBorders/>
            <w:shd w:fill="auto" w:val="clear"/>
          </w:tcPr>
          <w:p>
            <w:pPr>
              <w:pStyle w:val="TableContents"/>
              <w:spacing w:before="0" w:after="283"/>
              <w:ind w:left="0" w:right="0" w:hanging="0"/>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5088" w:type="dxa"/>
            <w:tcBorders/>
            <w:shd w:fill="auto" w:val="clear"/>
          </w:tcPr>
          <w:p>
            <w:pPr>
              <w:pStyle w:val="TableContents"/>
              <w:spacing w:before="0" w:after="283"/>
              <w:jc w:val="left"/>
              <w:rPr/>
            </w:pPr>
            <w:r>
              <w:rPr/>
              <w:t>(602) 250-1000</w:t>
            </w:r>
          </w:p>
        </w:tc>
        <w:tc>
          <w:tcPr>
            <w:tcW w:w="188" w:type="dxa"/>
            <w:tcBorders/>
            <w:shd w:fill="auto" w:val="clear"/>
            <w:vAlign w:val="bottom"/>
          </w:tcPr>
          <w:p>
            <w:pPr>
              <w:pStyle w:val="TableContents"/>
              <w:spacing w:before="0" w:after="283"/>
              <w:rPr/>
            </w:pPr>
            <w:r>
              <w:rPr/>
              <w:t> </w:t>
            </w:r>
          </w:p>
        </w:tc>
        <w:tc>
          <w:tcPr>
            <w:tcW w:w="2271" w:type="dxa"/>
            <w:tcBorders/>
            <w:shd w:fill="auto" w:val="clear"/>
          </w:tcPr>
          <w:p>
            <w:pPr>
              <w:pStyle w:val="TableContents"/>
              <w:spacing w:before="0" w:after="283"/>
              <w:jc w:val="left"/>
              <w:rPr/>
            </w:pPr>
            <w:r>
              <w:rPr/>
              <w:t> </w:t>
            </w:r>
          </w:p>
        </w:tc>
      </w:tr>
      <w:tr>
        <w:trPr/>
        <w:tc>
          <w:tcPr>
            <w:tcW w:w="2470" w:type="dxa"/>
            <w:tcBorders/>
            <w:shd w:fill="auto" w:val="clear"/>
          </w:tcPr>
          <w:p>
            <w:pPr>
              <w:pStyle w:val="TableContents"/>
              <w:spacing w:before="0" w:after="0"/>
              <w:ind w:left="0" w:right="0" w:hanging="0"/>
              <w:rPr/>
            </w:pPr>
            <w:r>
              <w:rPr/>
              <w:t> </w:t>
            </w:r>
          </w:p>
        </w:tc>
        <w:tc>
          <w:tcPr>
            <w:tcW w:w="188" w:type="dxa"/>
            <w:tcBorders/>
            <w:shd w:fill="auto" w:val="clear"/>
            <w:vAlign w:val="bottom"/>
          </w:tcPr>
          <w:p>
            <w:pPr>
              <w:pStyle w:val="TableContents"/>
              <w:spacing w:before="0" w:after="283"/>
              <w:rPr/>
            </w:pPr>
            <w:r>
              <w:rPr/>
              <w:t> </w:t>
            </w:r>
          </w:p>
        </w:tc>
        <w:tc>
          <w:tcPr>
            <w:tcW w:w="5088"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71" w:type="dxa"/>
            <w:tcBorders/>
            <w:shd w:fill="auto" w:val="clear"/>
          </w:tcPr>
          <w:p>
            <w:pPr>
              <w:pStyle w:val="TableContents"/>
              <w:spacing w:before="0" w:after="283"/>
              <w:jc w:val="left"/>
              <w:rPr/>
            </w:pPr>
            <w:r>
              <w:rPr/>
              <w:t> </w:t>
            </w:r>
          </w:p>
        </w:tc>
      </w:tr>
      <w:tr>
        <w:trPr/>
        <w:tc>
          <w:tcPr>
            <w:tcW w:w="2470" w:type="dxa"/>
            <w:tcBorders/>
            <w:shd w:fill="auto" w:val="clear"/>
          </w:tcPr>
          <w:p>
            <w:pPr>
              <w:pStyle w:val="TableContents"/>
              <w:spacing w:before="0" w:after="0"/>
              <w:ind w:left="0" w:right="0" w:hanging="0"/>
              <w:rPr/>
            </w:pPr>
            <w:r>
              <w:rPr/>
              <w:t xml:space="preserve">1-4473 </w:t>
            </w:r>
          </w:p>
        </w:tc>
        <w:tc>
          <w:tcPr>
            <w:tcW w:w="188" w:type="dxa"/>
            <w:tcBorders/>
            <w:shd w:fill="auto" w:val="clear"/>
            <w:vAlign w:val="bottom"/>
          </w:tcPr>
          <w:p>
            <w:pPr>
              <w:pStyle w:val="TableContents"/>
              <w:spacing w:before="0" w:after="283"/>
              <w:rPr/>
            </w:pPr>
            <w:r>
              <w:rPr/>
              <w:t> </w:t>
            </w:r>
          </w:p>
        </w:tc>
        <w:tc>
          <w:tcPr>
            <w:tcW w:w="5088" w:type="dxa"/>
            <w:tcBorders/>
            <w:shd w:fill="auto" w:val="clear"/>
          </w:tcPr>
          <w:p>
            <w:pPr>
              <w:pStyle w:val="TableContents"/>
              <w:spacing w:before="0" w:after="283"/>
              <w:jc w:val="left"/>
              <w:rPr/>
            </w:pPr>
            <w:r>
              <w:rPr/>
              <w:t xml:space="preserve">Arizona Public Service Company </w:t>
            </w:r>
          </w:p>
        </w:tc>
        <w:tc>
          <w:tcPr>
            <w:tcW w:w="188" w:type="dxa"/>
            <w:tcBorders/>
            <w:shd w:fill="auto" w:val="clear"/>
            <w:vAlign w:val="bottom"/>
          </w:tcPr>
          <w:p>
            <w:pPr>
              <w:pStyle w:val="TableContents"/>
              <w:spacing w:before="0" w:after="283"/>
              <w:rPr/>
            </w:pPr>
            <w:r>
              <w:rPr/>
              <w:t> </w:t>
            </w:r>
          </w:p>
        </w:tc>
        <w:tc>
          <w:tcPr>
            <w:tcW w:w="2271" w:type="dxa"/>
            <w:tcBorders/>
            <w:shd w:fill="auto" w:val="clear"/>
          </w:tcPr>
          <w:p>
            <w:pPr>
              <w:pStyle w:val="TableContents"/>
              <w:spacing w:before="0" w:after="283"/>
              <w:jc w:val="left"/>
              <w:rPr/>
            </w:pPr>
            <w:r>
              <w:rPr/>
              <w:t>86-0011170</w:t>
            </w:r>
          </w:p>
        </w:tc>
      </w:tr>
      <w:tr>
        <w:trPr/>
        <w:tc>
          <w:tcPr>
            <w:tcW w:w="2470" w:type="dxa"/>
            <w:tcBorders/>
            <w:shd w:fill="auto" w:val="clear"/>
          </w:tcPr>
          <w:p>
            <w:pPr>
              <w:pStyle w:val="TableContents"/>
              <w:spacing w:before="0" w:after="283"/>
              <w:ind w:left="0" w:right="0" w:hanging="0"/>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5088" w:type="dxa"/>
            <w:tcBorders/>
            <w:shd w:fill="auto" w:val="clear"/>
          </w:tcPr>
          <w:p>
            <w:pPr>
              <w:pStyle w:val="TableContents"/>
              <w:spacing w:before="0" w:after="283"/>
              <w:jc w:val="left"/>
              <w:rPr/>
            </w:pPr>
            <w:r>
              <w:rPr/>
              <w:t>(an Arizona corporation)</w:t>
            </w:r>
          </w:p>
        </w:tc>
        <w:tc>
          <w:tcPr>
            <w:tcW w:w="188" w:type="dxa"/>
            <w:tcBorders/>
            <w:shd w:fill="auto" w:val="clear"/>
            <w:vAlign w:val="bottom"/>
          </w:tcPr>
          <w:p>
            <w:pPr>
              <w:pStyle w:val="TableContents"/>
              <w:spacing w:before="0" w:after="283"/>
              <w:rPr/>
            </w:pPr>
            <w:r>
              <w:rPr/>
              <w:t> </w:t>
            </w:r>
          </w:p>
        </w:tc>
        <w:tc>
          <w:tcPr>
            <w:tcW w:w="2271" w:type="dxa"/>
            <w:tcBorders/>
            <w:shd w:fill="auto" w:val="clear"/>
          </w:tcPr>
          <w:p>
            <w:pPr>
              <w:pStyle w:val="TableContents"/>
              <w:spacing w:before="0" w:after="283"/>
              <w:jc w:val="left"/>
              <w:rPr/>
            </w:pPr>
            <w:r>
              <w:rPr/>
              <w:t> </w:t>
            </w:r>
          </w:p>
        </w:tc>
      </w:tr>
      <w:tr>
        <w:trPr/>
        <w:tc>
          <w:tcPr>
            <w:tcW w:w="2470" w:type="dxa"/>
            <w:tcBorders/>
            <w:shd w:fill="auto" w:val="clear"/>
          </w:tcPr>
          <w:p>
            <w:pPr>
              <w:pStyle w:val="TableContents"/>
              <w:spacing w:before="0" w:after="283"/>
              <w:ind w:left="0" w:right="0" w:hanging="0"/>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5088" w:type="dxa"/>
            <w:tcBorders/>
            <w:shd w:fill="auto" w:val="clear"/>
          </w:tcPr>
          <w:p>
            <w:pPr>
              <w:pStyle w:val="TableContents"/>
              <w:spacing w:before="0" w:after="283"/>
              <w:jc w:val="left"/>
              <w:rPr/>
            </w:pPr>
            <w:r>
              <w:rPr/>
              <w:t>400 North Fifth Street, P.O. Box 53999</w:t>
            </w:r>
          </w:p>
        </w:tc>
        <w:tc>
          <w:tcPr>
            <w:tcW w:w="188" w:type="dxa"/>
            <w:tcBorders/>
            <w:shd w:fill="auto" w:val="clear"/>
            <w:vAlign w:val="bottom"/>
          </w:tcPr>
          <w:p>
            <w:pPr>
              <w:pStyle w:val="TableContents"/>
              <w:spacing w:before="0" w:after="283"/>
              <w:rPr/>
            </w:pPr>
            <w:r>
              <w:rPr/>
              <w:t> </w:t>
            </w:r>
          </w:p>
        </w:tc>
        <w:tc>
          <w:tcPr>
            <w:tcW w:w="2271" w:type="dxa"/>
            <w:tcBorders/>
            <w:shd w:fill="auto" w:val="clear"/>
          </w:tcPr>
          <w:p>
            <w:pPr>
              <w:pStyle w:val="TableContents"/>
              <w:spacing w:before="0" w:after="283"/>
              <w:jc w:val="left"/>
              <w:rPr/>
            </w:pPr>
            <w:r>
              <w:rPr/>
              <w:t> </w:t>
            </w:r>
          </w:p>
        </w:tc>
      </w:tr>
      <w:tr>
        <w:trPr/>
        <w:tc>
          <w:tcPr>
            <w:tcW w:w="2470" w:type="dxa"/>
            <w:tcBorders/>
            <w:shd w:fill="auto" w:val="clear"/>
          </w:tcPr>
          <w:p>
            <w:pPr>
              <w:pStyle w:val="TableContents"/>
              <w:spacing w:before="0" w:after="283"/>
              <w:ind w:left="0" w:right="0" w:hanging="0"/>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5088" w:type="dxa"/>
            <w:tcBorders/>
            <w:shd w:fill="auto" w:val="clear"/>
          </w:tcPr>
          <w:p>
            <w:pPr>
              <w:pStyle w:val="TableContents"/>
              <w:spacing w:before="0" w:after="283"/>
              <w:jc w:val="left"/>
              <w:rPr/>
            </w:pPr>
            <w:r>
              <w:rPr/>
              <w:t>Phoenix, AZ 85072-3999</w:t>
            </w:r>
          </w:p>
        </w:tc>
        <w:tc>
          <w:tcPr>
            <w:tcW w:w="188" w:type="dxa"/>
            <w:tcBorders/>
            <w:shd w:fill="auto" w:val="clear"/>
            <w:vAlign w:val="bottom"/>
          </w:tcPr>
          <w:p>
            <w:pPr>
              <w:pStyle w:val="TableContents"/>
              <w:spacing w:before="0" w:after="283"/>
              <w:rPr/>
            </w:pPr>
            <w:r>
              <w:rPr/>
              <w:t> </w:t>
            </w:r>
          </w:p>
        </w:tc>
        <w:tc>
          <w:tcPr>
            <w:tcW w:w="2271" w:type="dxa"/>
            <w:tcBorders/>
            <w:shd w:fill="auto" w:val="clear"/>
          </w:tcPr>
          <w:p>
            <w:pPr>
              <w:pStyle w:val="TableContents"/>
              <w:spacing w:before="0" w:after="283"/>
              <w:jc w:val="left"/>
              <w:rPr/>
            </w:pPr>
            <w:r>
              <w:rPr/>
              <w:t> </w:t>
            </w:r>
          </w:p>
        </w:tc>
      </w:tr>
      <w:tr>
        <w:trPr/>
        <w:tc>
          <w:tcPr>
            <w:tcW w:w="2470" w:type="dxa"/>
            <w:tcBorders/>
            <w:shd w:fill="auto" w:val="clear"/>
          </w:tcPr>
          <w:p>
            <w:pPr>
              <w:pStyle w:val="TableContents"/>
              <w:spacing w:before="0" w:after="283"/>
              <w:ind w:left="0" w:right="0" w:hanging="0"/>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5088" w:type="dxa"/>
            <w:tcBorders/>
            <w:shd w:fill="auto" w:val="clear"/>
          </w:tcPr>
          <w:p>
            <w:pPr>
              <w:pStyle w:val="TableContents"/>
              <w:spacing w:before="0" w:after="283"/>
              <w:jc w:val="left"/>
              <w:rPr/>
            </w:pPr>
            <w:r>
              <w:rPr/>
              <w:t>(602) 250-1000</w:t>
            </w:r>
          </w:p>
        </w:tc>
        <w:tc>
          <w:tcPr>
            <w:tcW w:w="188" w:type="dxa"/>
            <w:tcBorders/>
            <w:shd w:fill="auto" w:val="clear"/>
            <w:vAlign w:val="bottom"/>
          </w:tcPr>
          <w:p>
            <w:pPr>
              <w:pStyle w:val="TableContents"/>
              <w:spacing w:before="0" w:after="283"/>
              <w:rPr/>
            </w:pPr>
            <w:r>
              <w:rPr/>
              <w:t> </w:t>
            </w:r>
          </w:p>
        </w:tc>
        <w:tc>
          <w:tcPr>
            <w:tcW w:w="2271" w:type="dxa"/>
            <w:tcBorders/>
            <w:shd w:fill="auto" w:val="clear"/>
          </w:tcPr>
          <w:p>
            <w:pPr>
              <w:pStyle w:val="TableContents"/>
              <w:spacing w:before="0" w:after="283"/>
              <w:jc w:val="left"/>
              <w:rPr/>
            </w:pPr>
            <w:r>
              <w:rPr/>
              <w:t> </w:t>
            </w:r>
          </w:p>
        </w:tc>
      </w:tr>
    </w:tbl>
    <w:p>
      <w:pPr>
        <w:pStyle w:val="TextBody"/>
        <w:jc w:val="left"/>
        <w:rPr/>
      </w:pPr>
      <w:r>
        <w:rPr/>
        <w:t>     </w:t>
      </w:r>
      <w:r>
        <w:rPr>
          <w:rFonts w:ascii="Times New Roman;Times;serif" w:hAnsi="Times New Roman;Times;serif"/>
          <w:sz w:val="17"/>
        </w:rPr>
        <w:t xml:space="preserve">Check the appropriate box below if the Form 8-K filing is intended to simultaneously satisfy the filing obligation of the registrant under any of the following provisions: </w:t>
      </w:r>
    </w:p>
    <w:p>
      <w:pPr>
        <w:pStyle w:val="TextBody"/>
        <w:jc w:val="left"/>
        <w:rPr/>
      </w:pPr>
      <w:r>
        <w:rPr/>
        <w:t>     </w:t>
      </w:r>
      <w:r>
        <w:rPr>
          <w:rFonts w:ascii="Wingdings" w:hAnsi="Wingdings"/>
          <w:sz w:val="17"/>
        </w:rPr>
        <w:t>o</w:t>
      </w:r>
      <w:r>
        <w:rPr>
          <w:rFonts w:ascii="Times New Roman;Times;serif" w:hAnsi="Times New Roman;Times;serif"/>
          <w:sz w:val="17"/>
        </w:rPr>
        <w:t xml:space="preserve"> Written communications pursuant to Rule 425 under the Securities Act (17CFR 230.425) </w:t>
      </w:r>
    </w:p>
    <w:p>
      <w:pPr>
        <w:pStyle w:val="TextBody"/>
        <w:jc w:val="left"/>
        <w:rPr/>
      </w:pPr>
      <w:r>
        <w:rPr/>
        <w:t>     </w:t>
      </w:r>
      <w:r>
        <w:rPr>
          <w:rFonts w:ascii="Wingdings" w:hAnsi="Wingdings"/>
          <w:sz w:val="17"/>
        </w:rPr>
        <w:t>o</w:t>
      </w:r>
      <w:r>
        <w:rPr>
          <w:rFonts w:ascii="Times New Roman;Times;serif" w:hAnsi="Times New Roman;Times;serif"/>
          <w:sz w:val="17"/>
        </w:rPr>
        <w:t xml:space="preserve"> Soliciting material pursuant to Rule 14a-12 under the Exchange Act (17 CFR 240.14a-12) </w:t>
      </w:r>
    </w:p>
    <w:p>
      <w:pPr>
        <w:pStyle w:val="TextBody"/>
        <w:jc w:val="left"/>
        <w:rPr/>
      </w:pPr>
      <w:r>
        <w:rPr/>
        <w:t>     </w:t>
      </w:r>
      <w:r>
        <w:rPr>
          <w:rFonts w:ascii="Wingdings" w:hAnsi="Wingdings"/>
          <w:sz w:val="17"/>
        </w:rPr>
        <w:t>o</w:t>
      </w:r>
      <w:r>
        <w:rPr>
          <w:rFonts w:ascii="Times New Roman;Times;serif" w:hAnsi="Times New Roman;Times;serif"/>
          <w:sz w:val="17"/>
        </w:rPr>
        <w:t xml:space="preserve"> Pre-commencement communications pursuant to Rule 14d-2(b) under the Exchange Act (17 CFR 240.14d-2(b)) </w:t>
      </w:r>
    </w:p>
    <w:p>
      <w:pPr>
        <w:pStyle w:val="TextBody"/>
        <w:jc w:val="left"/>
        <w:rPr/>
      </w:pPr>
      <w:r>
        <w:rPr/>
        <w:t>     </w:t>
      </w:r>
      <w:r>
        <w:rPr>
          <w:rFonts w:ascii="Wingdings" w:hAnsi="Wingdings"/>
          <w:sz w:val="17"/>
        </w:rPr>
        <w:t>o</w:t>
      </w:r>
      <w:r>
        <w:rPr>
          <w:rFonts w:ascii="Times New Roman;Times;serif" w:hAnsi="Times New Roman;Times;serif"/>
          <w:sz w:val="17"/>
        </w:rPr>
        <w:t xml:space="preserve"> Pre-commencement communications pursuant to Rule 13e-4(c) under the Exchange Act (17 CFR 240.13e-4(c))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jc w:val="center"/>
        <w:rPr>
          <w:rFonts w:ascii="Times New Roman;Times;serif" w:hAnsi="Times New Roman;Times;serif"/>
          <w:sz w:val="17"/>
        </w:rPr>
      </w:pPr>
      <w:r>
        <w:rPr>
          <w:rFonts w:ascii="Times New Roman;Times;serif" w:hAnsi="Times New Roman;Times;serif"/>
          <w:sz w:val="17"/>
        </w:rPr>
        <w:t xml:space="preserve">GLOSSARY </w:t>
      </w:r>
    </w:p>
    <w:p>
      <w:pPr>
        <w:pStyle w:val="TextBody"/>
        <w:jc w:val="left"/>
        <w:rPr>
          <w:rFonts w:ascii="Times New Roman;Times;serif" w:hAnsi="Times New Roman;Times;serif"/>
          <w:sz w:val="17"/>
        </w:rPr>
      </w:pPr>
      <w:r>
        <w:rPr>
          <w:rFonts w:ascii="Times New Roman;Times;serif" w:hAnsi="Times New Roman;Times;serif"/>
          <w:sz w:val="17"/>
        </w:rPr>
        <w:t xml:space="preserve">ACC  Arizona Corporation Commission </w:t>
      </w:r>
    </w:p>
    <w:p>
      <w:pPr>
        <w:pStyle w:val="TextBody"/>
        <w:jc w:val="left"/>
        <w:rPr>
          <w:rFonts w:ascii="Times New Roman;Times;serif" w:hAnsi="Times New Roman;Times;serif"/>
          <w:sz w:val="17"/>
        </w:rPr>
      </w:pPr>
      <w:r>
        <w:rPr>
          <w:rFonts w:ascii="Times New Roman;Times;serif" w:hAnsi="Times New Roman;Times;serif"/>
          <w:sz w:val="17"/>
        </w:rPr>
        <w:t xml:space="preserve">APS  Arizona Public Service Company, a subsidiary of the Company </w:t>
      </w:r>
    </w:p>
    <w:p>
      <w:pPr>
        <w:pStyle w:val="TextBody"/>
        <w:jc w:val="left"/>
        <w:rPr>
          <w:rFonts w:ascii="Times New Roman;Times;serif" w:hAnsi="Times New Roman;Times;serif"/>
          <w:sz w:val="17"/>
        </w:rPr>
      </w:pPr>
      <w:r>
        <w:rPr>
          <w:rFonts w:ascii="Times New Roman;Times;serif" w:hAnsi="Times New Roman;Times;serif"/>
          <w:sz w:val="17"/>
        </w:rPr>
        <w:t xml:space="preserve">Company or Pinnacle West  Pinnacle West Capital Corporation </w:t>
      </w:r>
    </w:p>
    <w:p>
      <w:pPr>
        <w:pStyle w:val="TextBody"/>
        <w:jc w:val="left"/>
        <w:rPr>
          <w:rFonts w:ascii="Times New Roman;Times;serif" w:hAnsi="Times New Roman;Times;serif"/>
          <w:sz w:val="17"/>
        </w:rPr>
      </w:pPr>
      <w:r>
        <w:rPr>
          <w:rFonts w:ascii="Times New Roman;Times;serif" w:hAnsi="Times New Roman;Times;serif"/>
          <w:sz w:val="17"/>
        </w:rPr>
        <w:t xml:space="preserve">FERC  Federal Energy Regulatory Commission </w:t>
      </w:r>
    </w:p>
    <w:p>
      <w:pPr>
        <w:pStyle w:val="TextBody"/>
        <w:jc w:val="left"/>
        <w:rPr>
          <w:rFonts w:ascii="Times New Roman;Times;serif" w:hAnsi="Times New Roman;Times;serif"/>
          <w:sz w:val="17"/>
        </w:rPr>
      </w:pPr>
      <w:r>
        <w:rPr>
          <w:rFonts w:ascii="Times New Roman;Times;serif" w:hAnsi="Times New Roman;Times;serif"/>
          <w:sz w:val="17"/>
        </w:rPr>
        <w:t xml:space="preserve">kWh  kilowatt hour, one thousand watts per hour </w:t>
      </w:r>
    </w:p>
    <w:p>
      <w:pPr>
        <w:pStyle w:val="TextBody"/>
        <w:jc w:val="left"/>
        <w:rPr>
          <w:rFonts w:ascii="Times New Roman;Times;serif" w:hAnsi="Times New Roman;Times;serif"/>
          <w:sz w:val="17"/>
        </w:rPr>
      </w:pPr>
      <w:r>
        <w:rPr>
          <w:rFonts w:ascii="Times New Roman;Times;serif" w:hAnsi="Times New Roman;Times;serif"/>
          <w:sz w:val="17"/>
        </w:rPr>
        <w:t xml:space="preserve">March 1 Form 8-K  Pinnacle Wests Current Report on Form 8-K filed on March 1, 2005 </w:t>
      </w:r>
    </w:p>
    <w:p>
      <w:pPr>
        <w:pStyle w:val="TextBody"/>
        <w:jc w:val="left"/>
        <w:rPr>
          <w:rFonts w:ascii="Times New Roman;Times;serif" w:hAnsi="Times New Roman;Times;serif"/>
          <w:sz w:val="17"/>
        </w:rPr>
      </w:pPr>
      <w:r>
        <w:rPr>
          <w:rFonts w:ascii="Times New Roman;Times;serif" w:hAnsi="Times New Roman;Times;serif"/>
          <w:sz w:val="17"/>
        </w:rPr>
        <w:t xml:space="preserve">PSA  power supply adjuster proposed in the 2004 Settlement Agreement </w:t>
      </w:r>
    </w:p>
    <w:p>
      <w:pPr>
        <w:pStyle w:val="TextBody"/>
        <w:jc w:val="left"/>
        <w:rPr>
          <w:rFonts w:ascii="Times New Roman;Times;serif" w:hAnsi="Times New Roman;Times;serif"/>
          <w:sz w:val="17"/>
        </w:rPr>
      </w:pPr>
      <w:r>
        <w:rPr>
          <w:rFonts w:ascii="Times New Roman;Times;serif" w:hAnsi="Times New Roman;Times;serif"/>
          <w:sz w:val="17"/>
        </w:rPr>
        <w:t xml:space="preserve">PWEC Dedicated Assets  the following Pinnacle West Energy Corporation power plants: Redhawk Units 1 and 2, West Phoenix Units 4 and 5 and Saguaro Unit 3 </w:t>
      </w:r>
    </w:p>
    <w:p>
      <w:pPr>
        <w:pStyle w:val="TextBody"/>
        <w:jc w:val="left"/>
        <w:rPr>
          <w:rFonts w:ascii="Times New Roman;Times;serif" w:hAnsi="Times New Roman;Times;serif"/>
          <w:sz w:val="17"/>
        </w:rPr>
      </w:pPr>
      <w:r>
        <w:rPr>
          <w:rFonts w:ascii="Times New Roman;Times;serif" w:hAnsi="Times New Roman;Times;serif"/>
          <w:sz w:val="17"/>
        </w:rPr>
        <w:t xml:space="preserve">2004 Form 10-K  the Pinnacle West/APS Annual Report on Form 10-K for the fiscal year ended December 31, 2004 </w:t>
      </w:r>
    </w:p>
    <w:p>
      <w:pPr>
        <w:pStyle w:val="TextBody"/>
        <w:jc w:val="left"/>
        <w:rPr>
          <w:rFonts w:ascii="Times New Roman;Times;serif" w:hAnsi="Times New Roman;Times;serif"/>
          <w:sz w:val="17"/>
        </w:rPr>
      </w:pPr>
      <w:r>
        <w:rPr>
          <w:rFonts w:ascii="Times New Roman;Times;serif" w:hAnsi="Times New Roman;Times;serif"/>
          <w:sz w:val="17"/>
        </w:rPr>
        <w:t xml:space="preserve">2004 Settlement Agreement  an agreement proposing terms under which APS general rate case would be settled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p>
      <w:pPr>
        <w:pStyle w:val="TextBody"/>
        <w:jc w:val="left"/>
        <w:rPr>
          <w:rFonts w:ascii="Times New Roman;Times;serif" w:hAnsi="Times New Roman;Times;serif"/>
          <w:sz w:val="17"/>
        </w:rPr>
      </w:pPr>
      <w:r>
        <w:rPr>
          <w:rFonts w:ascii="Times New Roman;Times;serif" w:hAnsi="Times New Roman;Times;serif"/>
          <w:b/>
          <w:sz w:val="17"/>
        </w:rPr>
        <w:t>Item 8.01. Other Events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b/>
          <w:sz w:val="17"/>
        </w:rPr>
        <w:t>APS General Rate Case; 2004 Settlement Agreement</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On March 28, 2005, the ACC voted to approve the recommended order of the ACC administrative law judge in APS general rate case with certain modifications. For additional information regarding the rate case, see APS General Rate Case; 2004 Settlement Agreement in Note 3 of Notes to Consolidated Financial Statements in the 2004 Form 10-K and Recommended Order in APS General Rate Case in Item 8.01 of the March 1 Form 8-K. The primary modifications to the recommended order are: </w:t>
      </w:r>
    </w:p>
    <w:tbl>
      <w:tblPr>
        <w:tblW w:w="5000" w:type="pct"/>
        <w:jc w:val="left"/>
        <w:tblInd w:w="0" w:type="dxa"/>
        <w:tblCellMar>
          <w:top w:w="0" w:type="dxa"/>
          <w:left w:w="0" w:type="dxa"/>
          <w:bottom w:w="0" w:type="dxa"/>
          <w:right w:w="0" w:type="dxa"/>
        </w:tblCellMar>
      </w:tblPr>
      <w:tblGrid>
        <w:gridCol w:w="203"/>
        <w:gridCol w:w="408"/>
        <w:gridCol w:w="9594"/>
      </w:tblGrid>
      <w:tr>
        <w:trPr/>
        <w:tc>
          <w:tcPr>
            <w:tcW w:w="203" w:type="dxa"/>
            <w:tcBorders/>
            <w:shd w:fill="auto" w:val="clear"/>
          </w:tcPr>
          <w:p>
            <w:pPr>
              <w:pStyle w:val="TableContents"/>
              <w:spacing w:before="0" w:after="283"/>
              <w:rPr/>
            </w:pPr>
            <w:r>
              <w:rPr/>
              <w:t> </w:t>
            </w:r>
          </w:p>
        </w:tc>
        <w:tc>
          <w:tcPr>
            <w:tcW w:w="408" w:type="dxa"/>
            <w:tcBorders/>
            <w:shd w:fill="auto" w:val="clear"/>
          </w:tcPr>
          <w:p>
            <w:pPr>
              <w:pStyle w:val="TableContents"/>
              <w:spacing w:before="0" w:after="283"/>
              <w:jc w:val="left"/>
              <w:rPr/>
            </w:pPr>
            <w:r>
              <w:rPr/>
              <w:t>  </w:t>
            </w:r>
          </w:p>
        </w:tc>
        <w:tc>
          <w:tcPr>
            <w:tcW w:w="9594" w:type="dxa"/>
            <w:tcBorders/>
            <w:shd w:fill="auto" w:val="clear"/>
          </w:tcPr>
          <w:p>
            <w:pPr>
              <w:pStyle w:val="TableContents"/>
              <w:spacing w:before="0" w:after="283"/>
              <w:rPr/>
            </w:pPr>
            <w:r>
              <w:rPr/>
              <w:t>Provisions of the PSA were modified as follows:</w:t>
            </w:r>
          </w:p>
        </w:tc>
      </w:tr>
    </w:tbl>
    <w:tbl>
      <w:tblPr>
        <w:tblW w:w="5000" w:type="pct"/>
        <w:jc w:val="left"/>
        <w:tblInd w:w="0" w:type="dxa"/>
        <w:tblCellMar>
          <w:top w:w="0" w:type="dxa"/>
          <w:left w:w="0" w:type="dxa"/>
          <w:bottom w:w="0" w:type="dxa"/>
          <w:right w:w="0" w:type="dxa"/>
        </w:tblCellMar>
      </w:tblPr>
      <w:tblGrid>
        <w:gridCol w:w="617"/>
        <w:gridCol w:w="410"/>
        <w:gridCol w:w="9154"/>
        <w:gridCol w:w="24"/>
      </w:tblGrid>
      <w:tr>
        <w:trPr/>
        <w:tc>
          <w:tcPr>
            <w:tcW w:w="617" w:type="dxa"/>
            <w:tcBorders/>
            <w:shd w:fill="auto" w:val="clear"/>
          </w:tcPr>
          <w:p>
            <w:pPr>
              <w:pStyle w:val="TableContents"/>
              <w:spacing w:before="0" w:after="283"/>
              <w:rPr/>
            </w:pPr>
            <w:r>
              <w:rPr/>
              <w:t> </w:t>
            </w:r>
          </w:p>
        </w:tc>
        <w:tc>
          <w:tcPr>
            <w:tcW w:w="410" w:type="dxa"/>
            <w:tcBorders/>
            <w:shd w:fill="auto" w:val="clear"/>
          </w:tcPr>
          <w:p>
            <w:pPr>
              <w:pStyle w:val="TableContents"/>
              <w:spacing w:before="0" w:after="283"/>
              <w:jc w:val="left"/>
              <w:rPr/>
            </w:pPr>
            <w:r>
              <w:rPr/>
              <w:t>  </w:t>
            </w:r>
          </w:p>
        </w:tc>
        <w:tc>
          <w:tcPr>
            <w:tcW w:w="9154" w:type="dxa"/>
            <w:tcBorders/>
            <w:shd w:fill="auto" w:val="clear"/>
          </w:tcPr>
          <w:p>
            <w:pPr>
              <w:pStyle w:val="TableContents"/>
              <w:spacing w:before="0" w:after="283"/>
              <w:rPr/>
            </w:pPr>
            <w:r>
              <w:rPr/>
              <w:t>APS will record deferrals for recovery or refund to the extent actual fuel and purchased power costs vary from $0.020743 per kWh;</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617" w:type="dxa"/>
            <w:tcBorders/>
            <w:shd w:fill="auto" w:val="clear"/>
          </w:tcPr>
          <w:p>
            <w:pPr>
              <w:pStyle w:val="TableContents"/>
              <w:spacing w:before="0" w:after="283"/>
              <w:rPr/>
            </w:pPr>
            <w:r>
              <w:rPr/>
              <w:t> </w:t>
            </w:r>
          </w:p>
        </w:tc>
        <w:tc>
          <w:tcPr>
            <w:tcW w:w="410" w:type="dxa"/>
            <w:tcBorders/>
            <w:shd w:fill="auto" w:val="clear"/>
          </w:tcPr>
          <w:p>
            <w:pPr>
              <w:pStyle w:val="TableContents"/>
              <w:spacing w:before="0" w:after="283"/>
              <w:jc w:val="left"/>
              <w:rPr/>
            </w:pPr>
            <w:r>
              <w:rPr/>
              <w:t>  </w:t>
            </w:r>
          </w:p>
        </w:tc>
        <w:tc>
          <w:tcPr>
            <w:tcW w:w="9154" w:type="dxa"/>
            <w:tcBorders/>
            <w:shd w:fill="auto" w:val="clear"/>
          </w:tcPr>
          <w:p>
            <w:pPr>
              <w:pStyle w:val="TableContents"/>
              <w:spacing w:before="0" w:after="283"/>
              <w:rPr/>
            </w:pPr>
            <w:r>
              <w:rPr/>
              <w:t>amounts to be recovered or refunded through the PSA are limited to plus or minus $0.004 per kWh over the life of the PSA;</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617" w:type="dxa"/>
            <w:tcBorders/>
            <w:shd w:fill="auto" w:val="clear"/>
          </w:tcPr>
          <w:p>
            <w:pPr>
              <w:pStyle w:val="TableContents"/>
              <w:spacing w:before="0" w:after="283"/>
              <w:rPr/>
            </w:pPr>
            <w:r>
              <w:rPr/>
              <w:t> </w:t>
            </w:r>
          </w:p>
        </w:tc>
        <w:tc>
          <w:tcPr>
            <w:tcW w:w="410" w:type="dxa"/>
            <w:tcBorders/>
            <w:shd w:fill="auto" w:val="clear"/>
          </w:tcPr>
          <w:p>
            <w:pPr>
              <w:pStyle w:val="TableContents"/>
              <w:spacing w:before="0" w:after="283"/>
              <w:jc w:val="left"/>
              <w:rPr/>
            </w:pPr>
            <w:r>
              <w:rPr/>
              <w:t>  </w:t>
            </w:r>
          </w:p>
        </w:tc>
        <w:tc>
          <w:tcPr>
            <w:tcW w:w="9154" w:type="dxa"/>
            <w:tcBorders/>
            <w:shd w:fill="auto" w:val="clear"/>
          </w:tcPr>
          <w:p>
            <w:pPr>
              <w:pStyle w:val="TableContents"/>
              <w:spacing w:before="0" w:after="283"/>
              <w:rPr/>
            </w:pPr>
            <w:r>
              <w:rPr/>
              <w:t>in addition, the ACC decision provides for a surcharge mechanism as follows:</w:t>
            </w:r>
          </w:p>
        </w:tc>
        <w:tc>
          <w:tcPr>
            <w:tcW w:w="24" w:type="dxa"/>
            <w:tcBorders/>
            <w:shd w:fill="auto" w:val="clear"/>
          </w:tcPr>
          <w:p>
            <w:pPr>
              <w:pStyle w:val="TableContents"/>
              <w:spacing w:before="0" w:after="283"/>
              <w:rPr>
                <w:sz w:val="4"/>
                <w:szCs w:val="4"/>
              </w:rPr>
            </w:pPr>
            <w:r>
              <w:rPr>
                <w:sz w:val="4"/>
                <w:szCs w:val="4"/>
              </w:rPr>
            </w:r>
          </w:p>
        </w:tc>
      </w:tr>
    </w:tbl>
    <w:tbl>
      <w:tblPr>
        <w:tblW w:w="5000" w:type="pct"/>
        <w:jc w:val="left"/>
        <w:tblInd w:w="0" w:type="dxa"/>
        <w:tblCellMar>
          <w:top w:w="0" w:type="dxa"/>
          <w:left w:w="0" w:type="dxa"/>
          <w:bottom w:w="0" w:type="dxa"/>
          <w:right w:w="0" w:type="dxa"/>
        </w:tblCellMar>
      </w:tblPr>
      <w:tblGrid>
        <w:gridCol w:w="1028"/>
        <w:gridCol w:w="410"/>
        <w:gridCol w:w="8743"/>
        <w:gridCol w:w="24"/>
      </w:tblGrid>
      <w:tr>
        <w:trPr/>
        <w:tc>
          <w:tcPr>
            <w:tcW w:w="1028" w:type="dxa"/>
            <w:tcBorders/>
            <w:shd w:fill="auto" w:val="clear"/>
          </w:tcPr>
          <w:p>
            <w:pPr>
              <w:pStyle w:val="TableContents"/>
              <w:spacing w:before="0" w:after="283"/>
              <w:rPr/>
            </w:pPr>
            <w:r>
              <w:rPr/>
              <w:t> </w:t>
            </w:r>
          </w:p>
        </w:tc>
        <w:tc>
          <w:tcPr>
            <w:tcW w:w="410" w:type="dxa"/>
            <w:tcBorders/>
            <w:shd w:fill="auto" w:val="clear"/>
          </w:tcPr>
          <w:p>
            <w:pPr>
              <w:pStyle w:val="TableContents"/>
              <w:spacing w:before="0" w:after="283"/>
              <w:jc w:val="left"/>
              <w:rPr/>
            </w:pPr>
            <w:r>
              <w:rPr/>
              <w:t>  </w:t>
            </w:r>
          </w:p>
        </w:tc>
        <w:tc>
          <w:tcPr>
            <w:tcW w:w="8743" w:type="dxa"/>
            <w:tcBorders/>
            <w:shd w:fill="auto" w:val="clear"/>
          </w:tcPr>
          <w:p>
            <w:pPr>
              <w:pStyle w:val="TableContents"/>
              <w:spacing w:before="0" w:after="283"/>
              <w:rPr/>
            </w:pPr>
            <w:r>
              <w:rPr/>
              <w:t>each time the accumulated pretax net deferrals reach $50 million, APS must notify the ACC, but prior to the deferral balance exceeding $100 million, APS must file with the ACC to recover or refund such deferral balance through a surcharge;</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1028" w:type="dxa"/>
            <w:tcBorders/>
            <w:shd w:fill="auto" w:val="clear"/>
          </w:tcPr>
          <w:p>
            <w:pPr>
              <w:pStyle w:val="TableContents"/>
              <w:spacing w:before="0" w:after="283"/>
              <w:rPr/>
            </w:pPr>
            <w:r>
              <w:rPr/>
              <w:t> </w:t>
            </w:r>
          </w:p>
        </w:tc>
        <w:tc>
          <w:tcPr>
            <w:tcW w:w="410" w:type="dxa"/>
            <w:tcBorders/>
            <w:shd w:fill="auto" w:val="clear"/>
          </w:tcPr>
          <w:p>
            <w:pPr>
              <w:pStyle w:val="TableContents"/>
              <w:spacing w:before="0" w:after="283"/>
              <w:jc w:val="left"/>
              <w:rPr/>
            </w:pPr>
            <w:r>
              <w:rPr/>
              <w:t>  </w:t>
            </w:r>
          </w:p>
        </w:tc>
        <w:tc>
          <w:tcPr>
            <w:tcW w:w="8743" w:type="dxa"/>
            <w:tcBorders/>
            <w:shd w:fill="auto" w:val="clear"/>
          </w:tcPr>
          <w:p>
            <w:pPr>
              <w:pStyle w:val="TableContents"/>
              <w:spacing w:before="0" w:after="283"/>
              <w:rPr/>
            </w:pPr>
            <w:r>
              <w:rPr/>
              <w:t>amounts recovered or refunded through any surcharge are not included in the $0.004 per kWh PSA limit; and</w:t>
            </w:r>
          </w:p>
        </w:tc>
        <w:tc>
          <w:tcPr>
            <w:tcW w:w="24" w:type="dxa"/>
            <w:tcBorders/>
            <w:shd w:fill="auto" w:val="clear"/>
          </w:tcPr>
          <w:p>
            <w:pPr>
              <w:pStyle w:val="TableContents"/>
              <w:spacing w:before="0" w:after="283"/>
              <w:rPr>
                <w:sz w:val="4"/>
                <w:szCs w:val="4"/>
              </w:rPr>
            </w:pPr>
            <w:r>
              <w:rPr>
                <w:sz w:val="4"/>
                <w:szCs w:val="4"/>
              </w:rPr>
            </w:r>
          </w:p>
        </w:tc>
      </w:tr>
    </w:tbl>
    <w:tbl>
      <w:tblPr>
        <w:tblW w:w="5000" w:type="pct"/>
        <w:jc w:val="left"/>
        <w:tblInd w:w="0" w:type="dxa"/>
        <w:tblCellMar>
          <w:top w:w="0" w:type="dxa"/>
          <w:left w:w="0" w:type="dxa"/>
          <w:bottom w:w="0" w:type="dxa"/>
          <w:right w:w="0" w:type="dxa"/>
        </w:tblCellMar>
      </w:tblPr>
      <w:tblGrid>
        <w:gridCol w:w="611"/>
        <w:gridCol w:w="408"/>
        <w:gridCol w:w="9186"/>
      </w:tblGrid>
      <w:tr>
        <w:trPr/>
        <w:tc>
          <w:tcPr>
            <w:tcW w:w="611" w:type="dxa"/>
            <w:tcBorders/>
            <w:shd w:fill="auto" w:val="clear"/>
          </w:tcPr>
          <w:p>
            <w:pPr>
              <w:pStyle w:val="TableContents"/>
              <w:spacing w:before="0" w:after="283"/>
              <w:rPr/>
            </w:pPr>
            <w:r>
              <w:rPr/>
              <w:t> </w:t>
            </w:r>
          </w:p>
        </w:tc>
        <w:tc>
          <w:tcPr>
            <w:tcW w:w="408" w:type="dxa"/>
            <w:tcBorders/>
            <w:shd w:fill="auto" w:val="clear"/>
          </w:tcPr>
          <w:p>
            <w:pPr>
              <w:pStyle w:val="TableContents"/>
              <w:spacing w:before="0" w:after="283"/>
              <w:jc w:val="left"/>
              <w:rPr/>
            </w:pPr>
            <w:r>
              <w:rPr/>
              <w:t>  </w:t>
            </w:r>
          </w:p>
        </w:tc>
        <w:tc>
          <w:tcPr>
            <w:tcW w:w="9186" w:type="dxa"/>
            <w:tcBorders/>
            <w:shd w:fill="auto" w:val="clear"/>
          </w:tcPr>
          <w:p>
            <w:pPr>
              <w:pStyle w:val="TableContents"/>
              <w:spacing w:before="0" w:after="283"/>
              <w:rPr/>
            </w:pPr>
            <w:r>
              <w:rPr/>
              <w:t>the recoverable amount of net fuel and purchased power costs is capped at $776.2 million per year. APS does not expect such costs to exceed $776.2 million in 2005 or 2006.</w:t>
            </w:r>
          </w:p>
        </w:tc>
      </w:tr>
    </w:tbl>
    <w:tbl>
      <w:tblPr>
        <w:tblW w:w="5000" w:type="pct"/>
        <w:jc w:val="left"/>
        <w:tblInd w:w="0" w:type="dxa"/>
        <w:tblCellMar>
          <w:top w:w="0" w:type="dxa"/>
          <w:left w:w="0" w:type="dxa"/>
          <w:bottom w:w="0" w:type="dxa"/>
          <w:right w:w="0" w:type="dxa"/>
        </w:tblCellMar>
      </w:tblPr>
      <w:tblGrid>
        <w:gridCol w:w="203"/>
        <w:gridCol w:w="408"/>
        <w:gridCol w:w="9594"/>
      </w:tblGrid>
      <w:tr>
        <w:trPr/>
        <w:tc>
          <w:tcPr>
            <w:tcW w:w="203" w:type="dxa"/>
            <w:tcBorders/>
            <w:shd w:fill="auto" w:val="clear"/>
          </w:tcPr>
          <w:p>
            <w:pPr>
              <w:pStyle w:val="TableContents"/>
              <w:spacing w:before="0" w:after="283"/>
              <w:rPr/>
            </w:pPr>
            <w:r>
              <w:rPr/>
              <w:t> </w:t>
            </w:r>
          </w:p>
        </w:tc>
        <w:tc>
          <w:tcPr>
            <w:tcW w:w="408" w:type="dxa"/>
            <w:tcBorders/>
            <w:shd w:fill="auto" w:val="clear"/>
          </w:tcPr>
          <w:p>
            <w:pPr>
              <w:pStyle w:val="TableContents"/>
              <w:spacing w:before="0" w:after="283"/>
              <w:jc w:val="left"/>
              <w:rPr/>
            </w:pPr>
            <w:r>
              <w:rPr/>
              <w:t>  </w:t>
            </w:r>
          </w:p>
        </w:tc>
        <w:tc>
          <w:tcPr>
            <w:tcW w:w="9594" w:type="dxa"/>
            <w:tcBorders/>
            <w:shd w:fill="auto" w:val="clear"/>
          </w:tcPr>
          <w:p>
            <w:pPr>
              <w:pStyle w:val="TableContents"/>
              <w:spacing w:before="0" w:after="283"/>
              <w:rPr/>
            </w:pPr>
            <w:r>
              <w:rPr/>
              <w:t>The self-build moratorium for generating plants to be in service prior to January 1, 2015 was modified to include acquisition of a generating unit, or an interest in a generating unit, from any utility or merchant generator without prior ACC approval.</w:t>
            </w:r>
          </w:p>
        </w:tc>
      </w:tr>
    </w:tbl>
    <w:p>
      <w:pPr>
        <w:pStyle w:val="TextBody"/>
        <w:jc w:val="left"/>
        <w:rPr/>
      </w:pPr>
      <w:r>
        <w:rPr/>
        <w:t>     </w:t>
      </w:r>
      <w:r>
        <w:rPr>
          <w:rFonts w:ascii="Times New Roman;Times;serif" w:hAnsi="Times New Roman;Times;serif"/>
          <w:sz w:val="17"/>
        </w:rPr>
        <w:t xml:space="preserve">As a result of the ACCs approval, the provisions of the 2004 Settlement Agreement, including an annual retail rate increase of approximately 4.21%, will become effective on April 1, 2005. This increase does not include the impact of the PSA, which is estimated to be 5% in 2006. These increases could be further impacted if the ACC approves additional surcharges. The acquisition by APS of the PWEC Dedicated Assets from Pinnacle West Energy Corporation is subject to approval by the FERC. </w:t>
      </w:r>
    </w:p>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jc w:val="left"/>
        <w:rPr>
          <w:rFonts w:ascii="Times New Roman;Times;serif" w:hAnsi="Times New Roman;Times;serif"/>
          <w:sz w:val="17"/>
        </w:rPr>
      </w:pPr>
      <w:r>
        <w:rPr>
          <w:rFonts w:ascii="Times New Roman;Times;serif" w:hAnsi="Times New Roman;Times;serif"/>
          <w:b/>
          <w:sz w:val="17"/>
        </w:rPr>
        <w:t>Forward-Looking Statements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This document contains forward-looking statements based on current expectations, and neither Pinnacle West nor APS assumes any obligation to update these statements or make any further statements on any of these issues, except as required by applicable law. These forward-looking statements are often identified by words such as estimate, predict, hope, may, believe, anticipate, plan, expect, require, intend, assume and similar words. Because actual results may differ materially from expectations, we caution readers not to place undue reliance on these statements. A number of factors could cause future results to differ materially from historical results, or from results or outcomes currently expected or sought by Pinnacle West or APS. These factors include, but are not limited to: </w:t>
      </w:r>
    </w:p>
    <w:tbl>
      <w:tblPr>
        <w:tblW w:w="5000" w:type="pct"/>
        <w:jc w:val="left"/>
        <w:tblInd w:w="0" w:type="dxa"/>
        <w:tblCellMar>
          <w:top w:w="0" w:type="dxa"/>
          <w:left w:w="0" w:type="dxa"/>
          <w:bottom w:w="0" w:type="dxa"/>
          <w:right w:w="0" w:type="dxa"/>
        </w:tblCellMar>
      </w:tblPr>
      <w:tblGrid>
        <w:gridCol w:w="204"/>
        <w:gridCol w:w="411"/>
        <w:gridCol w:w="9566"/>
        <w:gridCol w:w="24"/>
      </w:tblGrid>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state and federal regulatory and legislative decisions and actions, including any wholesale electric price mitigation plan adopted by the FERC;</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the ongoing restructuring of the electric industry, including the introduction of retail electric competition in Arizona and decisions impacting wholesale competition;</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the outcome of regulatory, legislative and judicial proceedings relating to the restructuring;</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market prices for electricity and natural gas;</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power plant performance and outages, including transmission outages and constraints;</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weather variations affecting local and regional customer energy usage;</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customer growth and energy usage;</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regional economic and market conditions, including the results of litigation and other proceedings resulting from the California energy situation, volatile purchased power and fuel costs and the completion of generation and transmission construction in the region, which could affect customer growth and the cost of power supplies;</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the cost of debt and equity capital and access to capital markets;</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the uncertainty that current credit ratings will remain in effect for any given period of time;</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our ability to compete successfully outside traditional regulated markets (including the wholesale market);</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the performance of our marketing and trading activities due to volatile market liquidity and any deteriorating counterparty credit and the use of derivative contracts in our business (including the interpretation of the subjective and complex accounting rules related to these contracts);</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changes in accounting principles generally accepted in the United States of America and the interpretation of those principles;</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the performance of the stock market and the changing interest rate environment, which affect the amount of required contributions to Pinnacle Wests pension plan and APS nuclear decommissioning trust funds, as well as the reported costs of providing pension and other postretirement benefits;</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technological developments in the electric industry;</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the strength of the real estate market in SunCors market areas, which include Arizona, Idaho, New Mexico and Utah; and</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4"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6" w:type="dxa"/>
            <w:tcBorders/>
            <w:shd w:fill="auto" w:val="clear"/>
          </w:tcPr>
          <w:p>
            <w:pPr>
              <w:pStyle w:val="TableContents"/>
              <w:spacing w:before="0" w:after="283"/>
              <w:rPr/>
            </w:pPr>
            <w:r>
              <w:rPr/>
              <w:t>other uncertainties, all of which are difficult to predict and many of which are beyond the control of Pinnacle West and APS.</w:t>
            </w:r>
          </w:p>
        </w:tc>
        <w:tc>
          <w:tcPr>
            <w:tcW w:w="24" w:type="dxa"/>
            <w:tcBorders/>
            <w:shd w:fill="auto" w:val="clear"/>
          </w:tcPr>
          <w:p>
            <w:pPr>
              <w:pStyle w:val="TableContents"/>
              <w:spacing w:before="0" w:after="283"/>
              <w:rPr>
                <w:sz w:val="4"/>
                <w:szCs w:val="4"/>
              </w:rPr>
            </w:pPr>
            <w:r>
              <w:rPr>
                <w:sz w:val="4"/>
                <w:szCs w:val="4"/>
              </w:rPr>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p>
      <w:pPr>
        <w:pStyle w:val="TextBody"/>
        <w:jc w:val="center"/>
        <w:rPr>
          <w:rFonts w:ascii="Times New Roman;Times;serif" w:hAnsi="Times New Roman;Times;serif"/>
          <w:sz w:val="17"/>
        </w:rPr>
      </w:pPr>
      <w:r>
        <w:rPr>
          <w:rFonts w:ascii="Times New Roman;Times;serif" w:hAnsi="Times New Roman;Times;serif"/>
          <w:sz w:val="17"/>
        </w:rPr>
        <w:t xml:space="preserve">SIGNATURES </w:t>
      </w:r>
    </w:p>
    <w:p>
      <w:pPr>
        <w:pStyle w:val="TextBody"/>
        <w:spacing w:before="0" w:after="0"/>
        <w:jc w:val="left"/>
        <w:rPr/>
      </w:pPr>
      <w:r>
        <w:rPr/>
        <w:t>     </w:t>
      </w:r>
      <w:r>
        <w:rPr>
          <w:rFonts w:ascii="Times New Roman;Times;serif" w:hAnsi="Times New Roman;Times;serif"/>
          <w:sz w:val="17"/>
        </w:rPr>
        <w:t xml:space="preserve">Pursuant to the requirements of the Securities Exchange Act of 1934, each registrant has duly caused this report to be signed on its behalf by the undersigned hereunto duly authorized. </w:t>
      </w:r>
    </w:p>
    <w:tbl>
      <w:tblPr>
        <w:tblW w:w="5000" w:type="pct"/>
        <w:jc w:val="left"/>
        <w:tblInd w:w="0" w:type="dxa"/>
        <w:tblCellMar>
          <w:top w:w="0" w:type="dxa"/>
          <w:left w:w="0" w:type="dxa"/>
          <w:bottom w:w="0" w:type="dxa"/>
          <w:right w:w="0" w:type="dxa"/>
        </w:tblCellMar>
      </w:tblPr>
      <w:tblGrid>
        <w:gridCol w:w="4035"/>
        <w:gridCol w:w="1288"/>
        <w:gridCol w:w="1025"/>
        <w:gridCol w:w="2730"/>
        <w:gridCol w:w="1127"/>
      </w:tblGrid>
      <w:tr>
        <w:trPr/>
        <w:tc>
          <w:tcPr>
            <w:tcW w:w="4035" w:type="dxa"/>
            <w:tcBorders/>
            <w:shd w:fill="auto" w:val="clear"/>
            <w:vAlign w:val="center"/>
          </w:tcPr>
          <w:p>
            <w:pPr>
              <w:pStyle w:val="TableContents"/>
              <w:spacing w:before="0" w:after="283"/>
              <w:rPr/>
            </w:pPr>
            <w:r>
              <w:rPr/>
              <w:t> </w:t>
            </w:r>
          </w:p>
        </w:tc>
        <w:tc>
          <w:tcPr>
            <w:tcW w:w="1288" w:type="dxa"/>
            <w:tcBorders/>
            <w:shd w:fill="auto" w:val="clear"/>
            <w:vAlign w:val="center"/>
          </w:tcPr>
          <w:p>
            <w:pPr>
              <w:pStyle w:val="TableContents"/>
              <w:spacing w:before="0" w:after="283"/>
              <w:rPr/>
            </w:pPr>
            <w:r>
              <w:rPr/>
              <w:t> </w:t>
            </w:r>
          </w:p>
        </w:tc>
        <w:tc>
          <w:tcPr>
            <w:tcW w:w="1025" w:type="dxa"/>
            <w:tcBorders/>
            <w:shd w:fill="auto" w:val="clear"/>
            <w:vAlign w:val="center"/>
          </w:tcPr>
          <w:p>
            <w:pPr>
              <w:pStyle w:val="TableContents"/>
              <w:spacing w:before="0" w:after="283"/>
              <w:rPr/>
            </w:pPr>
            <w:r>
              <w:rPr/>
              <w:t> </w:t>
            </w:r>
          </w:p>
        </w:tc>
        <w:tc>
          <w:tcPr>
            <w:tcW w:w="2730" w:type="dxa"/>
            <w:tcBorders/>
            <w:shd w:fill="auto" w:val="clear"/>
            <w:vAlign w:val="center"/>
          </w:tcPr>
          <w:p>
            <w:pPr>
              <w:pStyle w:val="TableContents"/>
              <w:spacing w:before="0" w:after="283"/>
              <w:rPr/>
            </w:pPr>
            <w:r>
              <w:rPr/>
              <w:t> </w:t>
            </w:r>
          </w:p>
        </w:tc>
        <w:tc>
          <w:tcPr>
            <w:tcW w:w="1127" w:type="dxa"/>
            <w:tcBorders/>
            <w:shd w:fill="auto" w:val="clear"/>
            <w:vAlign w:val="center"/>
          </w:tcPr>
          <w:p>
            <w:pPr>
              <w:pStyle w:val="TableContents"/>
              <w:spacing w:before="0" w:after="283"/>
              <w:rPr/>
            </w:pPr>
            <w:r>
              <w:rPr/>
              <w:t> </w:t>
            </w:r>
          </w:p>
        </w:tc>
      </w:tr>
      <w:tr>
        <w:trPr/>
        <w:tc>
          <w:tcPr>
            <w:tcW w:w="4035" w:type="dxa"/>
            <w:tcBorders/>
            <w:shd w:fill="auto" w:val="clear"/>
          </w:tcPr>
          <w:p>
            <w:pPr>
              <w:pStyle w:val="TableContents"/>
              <w:spacing w:before="0" w:after="283"/>
              <w:jc w:val="left"/>
              <w:rPr/>
            </w:pPr>
            <w:r>
              <w:rPr/>
              <w:t> </w:t>
            </w:r>
          </w:p>
        </w:tc>
        <w:tc>
          <w:tcPr>
            <w:tcW w:w="5043" w:type="dxa"/>
            <w:gridSpan w:val="3"/>
            <w:tcBorders/>
            <w:shd w:fill="auto" w:val="clear"/>
            <w:vAlign w:val="center"/>
          </w:tcPr>
          <w:p>
            <w:pPr>
              <w:pStyle w:val="TableContents"/>
              <w:spacing w:before="0" w:after="283"/>
              <w:jc w:val="left"/>
              <w:rPr/>
            </w:pPr>
            <w:r>
              <w:rPr/>
              <w:t>PINNACLE WEST CAPITAL CORPORATION</w:t>
              <w:br/>
              <w:t>(Registrant)</w:t>
              <w:br/>
              <w:t> </w:t>
            </w:r>
          </w:p>
        </w:tc>
        <w:tc>
          <w:tcPr>
            <w:tcW w:w="1127" w:type="dxa"/>
            <w:tcBorders/>
            <w:shd w:fill="auto" w:val="clear"/>
            <w:vAlign w:val="center"/>
          </w:tcPr>
          <w:p>
            <w:pPr>
              <w:pStyle w:val="TableContents"/>
              <w:spacing w:before="0" w:after="283"/>
              <w:rPr/>
            </w:pPr>
            <w:r>
              <w:rPr/>
              <w:t> </w:t>
            </w:r>
          </w:p>
        </w:tc>
      </w:tr>
      <w:tr>
        <w:trPr/>
        <w:tc>
          <w:tcPr>
            <w:tcW w:w="4035" w:type="dxa"/>
            <w:tcBorders/>
            <w:shd w:fill="auto" w:val="clear"/>
            <w:vAlign w:val="center"/>
          </w:tcPr>
          <w:p>
            <w:pPr>
              <w:pStyle w:val="TableContents"/>
              <w:spacing w:before="0" w:after="283"/>
              <w:jc w:val="left"/>
              <w:rPr/>
            </w:pPr>
            <w:r>
              <w:rPr/>
              <w:t>Dated: March 29, 2005 </w:t>
            </w:r>
          </w:p>
        </w:tc>
        <w:tc>
          <w:tcPr>
            <w:tcW w:w="1288" w:type="dxa"/>
            <w:tcBorders/>
            <w:shd w:fill="auto" w:val="clear"/>
          </w:tcPr>
          <w:p>
            <w:pPr>
              <w:pStyle w:val="TableContents"/>
              <w:spacing w:before="0" w:after="283"/>
              <w:rPr/>
            </w:pPr>
            <w:r>
              <w:rPr/>
              <w:t>By:  </w:t>
            </w:r>
          </w:p>
        </w:tc>
        <w:tc>
          <w:tcPr>
            <w:tcW w:w="3755" w:type="dxa"/>
            <w:gridSpan w:val="2"/>
            <w:tcBorders>
              <w:bottom w:val="single" w:sz="2" w:space="0" w:color="000000"/>
            </w:tcBorders>
            <w:shd w:fill="auto" w:val="clear"/>
            <w:tcMar>
              <w:bottom w:w="28" w:type="dxa"/>
            </w:tcMar>
            <w:vAlign w:val="center"/>
          </w:tcPr>
          <w:p>
            <w:pPr>
              <w:pStyle w:val="TableContents"/>
              <w:spacing w:before="0" w:after="283"/>
              <w:jc w:val="left"/>
              <w:rPr/>
            </w:pPr>
            <w:r>
              <w:rPr/>
              <w:t>/s/ Barbara M. Gomez  </w:t>
            </w:r>
          </w:p>
        </w:tc>
        <w:tc>
          <w:tcPr>
            <w:tcW w:w="1127" w:type="dxa"/>
            <w:tcBorders/>
            <w:shd w:fill="auto" w:val="clear"/>
            <w:vAlign w:val="center"/>
          </w:tcPr>
          <w:p>
            <w:pPr>
              <w:pStyle w:val="TableContents"/>
              <w:spacing w:before="0" w:after="283"/>
              <w:rPr/>
            </w:pPr>
            <w:r>
              <w:rPr/>
              <w:t> </w:t>
            </w:r>
          </w:p>
        </w:tc>
      </w:tr>
      <w:tr>
        <w:trPr/>
        <w:tc>
          <w:tcPr>
            <w:tcW w:w="4035" w:type="dxa"/>
            <w:tcBorders/>
            <w:shd w:fill="auto" w:val="clear"/>
            <w:vAlign w:val="center"/>
          </w:tcPr>
          <w:p>
            <w:pPr>
              <w:pStyle w:val="TableContents"/>
              <w:spacing w:before="0" w:after="283"/>
              <w:jc w:val="left"/>
              <w:rPr/>
            </w:pPr>
            <w:r>
              <w:rPr/>
              <w:t> </w:t>
            </w:r>
          </w:p>
        </w:tc>
        <w:tc>
          <w:tcPr>
            <w:tcW w:w="1288" w:type="dxa"/>
            <w:tcBorders/>
            <w:shd w:fill="auto" w:val="clear"/>
            <w:vAlign w:val="center"/>
          </w:tcPr>
          <w:p>
            <w:pPr>
              <w:pStyle w:val="TableContents"/>
              <w:spacing w:before="0" w:after="283"/>
              <w:rPr/>
            </w:pPr>
            <w:r>
              <w:rPr/>
              <w:t> </w:t>
            </w:r>
          </w:p>
        </w:tc>
        <w:tc>
          <w:tcPr>
            <w:tcW w:w="3755" w:type="dxa"/>
            <w:gridSpan w:val="2"/>
            <w:tcBorders/>
            <w:shd w:fill="auto" w:val="clear"/>
            <w:vAlign w:val="center"/>
          </w:tcPr>
          <w:p>
            <w:pPr>
              <w:pStyle w:val="TableContents"/>
              <w:spacing w:before="0" w:after="283"/>
              <w:jc w:val="left"/>
              <w:rPr/>
            </w:pPr>
            <w:r>
              <w:rPr/>
              <w:t>Barbara M. Gomez </w:t>
            </w:r>
          </w:p>
        </w:tc>
        <w:tc>
          <w:tcPr>
            <w:tcW w:w="1127" w:type="dxa"/>
            <w:tcBorders/>
            <w:shd w:fill="auto" w:val="clear"/>
            <w:vAlign w:val="center"/>
          </w:tcPr>
          <w:p>
            <w:pPr>
              <w:pStyle w:val="TableContents"/>
              <w:spacing w:before="0" w:after="283"/>
              <w:rPr/>
            </w:pPr>
            <w:r>
              <w:rPr/>
              <w:t> </w:t>
            </w:r>
          </w:p>
        </w:tc>
      </w:tr>
      <w:tr>
        <w:trPr/>
        <w:tc>
          <w:tcPr>
            <w:tcW w:w="4035" w:type="dxa"/>
            <w:tcBorders/>
            <w:shd w:fill="auto" w:val="clear"/>
            <w:vAlign w:val="center"/>
          </w:tcPr>
          <w:p>
            <w:pPr>
              <w:pStyle w:val="TableContents"/>
              <w:spacing w:before="0" w:after="283"/>
              <w:jc w:val="left"/>
              <w:rPr/>
            </w:pPr>
            <w:r>
              <w:rPr/>
              <w:t> </w:t>
            </w:r>
          </w:p>
        </w:tc>
        <w:tc>
          <w:tcPr>
            <w:tcW w:w="1288" w:type="dxa"/>
            <w:tcBorders/>
            <w:shd w:fill="auto" w:val="clear"/>
            <w:vAlign w:val="center"/>
          </w:tcPr>
          <w:p>
            <w:pPr>
              <w:pStyle w:val="TableContents"/>
              <w:spacing w:before="0" w:after="283"/>
              <w:rPr/>
            </w:pPr>
            <w:r>
              <w:rPr/>
              <w:t> </w:t>
            </w:r>
          </w:p>
        </w:tc>
        <w:tc>
          <w:tcPr>
            <w:tcW w:w="3755" w:type="dxa"/>
            <w:gridSpan w:val="2"/>
            <w:tcBorders/>
            <w:shd w:fill="auto" w:val="clear"/>
            <w:vAlign w:val="center"/>
          </w:tcPr>
          <w:p>
            <w:pPr>
              <w:pStyle w:val="TableContents"/>
              <w:spacing w:before="0" w:after="283"/>
              <w:jc w:val="left"/>
              <w:rPr/>
            </w:pPr>
            <w:r>
              <w:rPr/>
              <w:t>Vice President and Treasurer ARIZONA PUBLIC SERVICE COMPANY (Registrant) </w:t>
            </w:r>
          </w:p>
        </w:tc>
        <w:tc>
          <w:tcPr>
            <w:tcW w:w="1127"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tbl>
      <w:tblPr>
        <w:tblW w:w="5000" w:type="pct"/>
        <w:jc w:val="left"/>
        <w:tblInd w:w="0" w:type="dxa"/>
        <w:tblCellMar>
          <w:top w:w="0" w:type="dxa"/>
          <w:left w:w="0" w:type="dxa"/>
          <w:bottom w:w="0" w:type="dxa"/>
          <w:right w:w="0" w:type="dxa"/>
        </w:tblCellMar>
      </w:tblPr>
      <w:tblGrid>
        <w:gridCol w:w="4628"/>
        <w:gridCol w:w="350"/>
        <w:gridCol w:w="630"/>
        <w:gridCol w:w="3272"/>
        <w:gridCol w:w="1325"/>
      </w:tblGrid>
      <w:tr>
        <w:trPr/>
        <w:tc>
          <w:tcPr>
            <w:tcW w:w="4628" w:type="dxa"/>
            <w:tcBorders/>
            <w:shd w:fill="auto" w:val="clear"/>
            <w:vAlign w:val="center"/>
          </w:tcPr>
          <w:p>
            <w:pPr>
              <w:pStyle w:val="TableContents"/>
              <w:spacing w:before="0" w:after="283"/>
              <w:rPr/>
            </w:pPr>
            <w:r>
              <w:rPr/>
              <w:t> </w:t>
            </w:r>
          </w:p>
        </w:tc>
        <w:tc>
          <w:tcPr>
            <w:tcW w:w="350" w:type="dxa"/>
            <w:tcBorders/>
            <w:shd w:fill="auto" w:val="clear"/>
            <w:vAlign w:val="center"/>
          </w:tcPr>
          <w:p>
            <w:pPr>
              <w:pStyle w:val="TableContents"/>
              <w:spacing w:before="0" w:after="283"/>
              <w:rPr/>
            </w:pPr>
            <w:r>
              <w:rPr/>
              <w:t> </w:t>
            </w:r>
          </w:p>
        </w:tc>
        <w:tc>
          <w:tcPr>
            <w:tcW w:w="630" w:type="dxa"/>
            <w:tcBorders/>
            <w:shd w:fill="auto" w:val="clear"/>
            <w:vAlign w:val="center"/>
          </w:tcPr>
          <w:p>
            <w:pPr>
              <w:pStyle w:val="TableContents"/>
              <w:spacing w:before="0" w:after="283"/>
              <w:rPr/>
            </w:pPr>
            <w:r>
              <w:rPr/>
              <w:t> </w:t>
            </w:r>
          </w:p>
        </w:tc>
        <w:tc>
          <w:tcPr>
            <w:tcW w:w="3272" w:type="dxa"/>
            <w:tcBorders/>
            <w:shd w:fill="auto" w:val="clear"/>
            <w:vAlign w:val="center"/>
          </w:tcPr>
          <w:p>
            <w:pPr>
              <w:pStyle w:val="TableContents"/>
              <w:spacing w:before="0" w:after="283"/>
              <w:rPr/>
            </w:pPr>
            <w:r>
              <w:rPr/>
              <w:t> </w:t>
            </w:r>
          </w:p>
        </w:tc>
        <w:tc>
          <w:tcPr>
            <w:tcW w:w="1325" w:type="dxa"/>
            <w:tcBorders/>
            <w:shd w:fill="auto" w:val="clear"/>
            <w:vAlign w:val="center"/>
          </w:tcPr>
          <w:p>
            <w:pPr>
              <w:pStyle w:val="TableContents"/>
              <w:spacing w:before="0" w:after="283"/>
              <w:rPr/>
            </w:pPr>
            <w:r>
              <w:rPr/>
              <w:t> </w:t>
            </w:r>
          </w:p>
        </w:tc>
      </w:tr>
      <w:tr>
        <w:trPr/>
        <w:tc>
          <w:tcPr>
            <w:tcW w:w="4628" w:type="dxa"/>
            <w:tcBorders/>
            <w:shd w:fill="auto" w:val="clear"/>
          </w:tcPr>
          <w:p>
            <w:pPr>
              <w:pStyle w:val="TableContents"/>
              <w:spacing w:before="0" w:after="283"/>
              <w:jc w:val="left"/>
              <w:rPr/>
            </w:pPr>
            <w:r>
              <w:rPr/>
              <w:t> </w:t>
            </w:r>
          </w:p>
        </w:tc>
        <w:tc>
          <w:tcPr>
            <w:tcW w:w="4252" w:type="dxa"/>
            <w:gridSpan w:val="3"/>
            <w:tcBorders/>
            <w:shd w:fill="auto" w:val="clear"/>
            <w:vAlign w:val="center"/>
          </w:tcPr>
          <w:p>
            <w:pPr>
              <w:pStyle w:val="TableContents"/>
              <w:spacing w:before="0" w:after="283"/>
              <w:jc w:val="left"/>
              <w:rPr/>
            </w:pPr>
            <w:r>
              <w:rPr/>
              <w:t> </w:t>
            </w:r>
          </w:p>
        </w:tc>
        <w:tc>
          <w:tcPr>
            <w:tcW w:w="1325" w:type="dxa"/>
            <w:tcBorders/>
            <w:shd w:fill="auto" w:val="clear"/>
            <w:vAlign w:val="center"/>
          </w:tcPr>
          <w:p>
            <w:pPr>
              <w:pStyle w:val="TableContents"/>
              <w:spacing w:before="0" w:after="283"/>
              <w:rPr/>
            </w:pPr>
            <w:r>
              <w:rPr/>
              <w:t> </w:t>
            </w:r>
          </w:p>
        </w:tc>
      </w:tr>
      <w:tr>
        <w:trPr/>
        <w:tc>
          <w:tcPr>
            <w:tcW w:w="4628" w:type="dxa"/>
            <w:tcBorders/>
            <w:shd w:fill="auto" w:val="clear"/>
            <w:vAlign w:val="center"/>
          </w:tcPr>
          <w:p>
            <w:pPr>
              <w:pStyle w:val="TableContents"/>
              <w:spacing w:before="0" w:after="283"/>
              <w:jc w:val="left"/>
              <w:rPr/>
            </w:pPr>
            <w:r>
              <w:rPr/>
              <w:t>Dated: March 29, 2005 </w:t>
            </w:r>
          </w:p>
        </w:tc>
        <w:tc>
          <w:tcPr>
            <w:tcW w:w="350" w:type="dxa"/>
            <w:tcBorders/>
            <w:shd w:fill="auto" w:val="clear"/>
          </w:tcPr>
          <w:p>
            <w:pPr>
              <w:pStyle w:val="TableContents"/>
              <w:spacing w:before="0" w:after="283"/>
              <w:rPr/>
            </w:pPr>
            <w:r>
              <w:rPr/>
              <w:t>By:  </w:t>
            </w:r>
          </w:p>
        </w:tc>
        <w:tc>
          <w:tcPr>
            <w:tcW w:w="3902" w:type="dxa"/>
            <w:gridSpan w:val="2"/>
            <w:tcBorders>
              <w:bottom w:val="single" w:sz="2" w:space="0" w:color="000000"/>
            </w:tcBorders>
            <w:shd w:fill="auto" w:val="clear"/>
            <w:tcMar>
              <w:bottom w:w="28" w:type="dxa"/>
            </w:tcMar>
            <w:vAlign w:val="center"/>
          </w:tcPr>
          <w:p>
            <w:pPr>
              <w:pStyle w:val="TableContents"/>
              <w:spacing w:before="0" w:after="283"/>
              <w:jc w:val="left"/>
              <w:rPr/>
            </w:pPr>
            <w:r>
              <w:rPr/>
              <w:t>/s/ Barbara M. Gomez  </w:t>
            </w:r>
          </w:p>
        </w:tc>
        <w:tc>
          <w:tcPr>
            <w:tcW w:w="1325" w:type="dxa"/>
            <w:tcBorders/>
            <w:shd w:fill="auto" w:val="clear"/>
            <w:vAlign w:val="center"/>
          </w:tcPr>
          <w:p>
            <w:pPr>
              <w:pStyle w:val="TableContents"/>
              <w:spacing w:before="0" w:after="283"/>
              <w:rPr/>
            </w:pPr>
            <w:r>
              <w:rPr/>
              <w:t> </w:t>
            </w:r>
          </w:p>
        </w:tc>
      </w:tr>
      <w:tr>
        <w:trPr/>
        <w:tc>
          <w:tcPr>
            <w:tcW w:w="4628" w:type="dxa"/>
            <w:tcBorders/>
            <w:shd w:fill="auto" w:val="clear"/>
            <w:vAlign w:val="center"/>
          </w:tcPr>
          <w:p>
            <w:pPr>
              <w:pStyle w:val="TableContents"/>
              <w:spacing w:before="0" w:after="283"/>
              <w:jc w:val="left"/>
              <w:rPr/>
            </w:pPr>
            <w:r>
              <w:rPr/>
              <w:t> </w:t>
            </w:r>
          </w:p>
        </w:tc>
        <w:tc>
          <w:tcPr>
            <w:tcW w:w="350" w:type="dxa"/>
            <w:tcBorders/>
            <w:shd w:fill="auto" w:val="clear"/>
            <w:vAlign w:val="center"/>
          </w:tcPr>
          <w:p>
            <w:pPr>
              <w:pStyle w:val="TableContents"/>
              <w:spacing w:before="0" w:after="283"/>
              <w:rPr/>
            </w:pPr>
            <w:r>
              <w:rPr/>
              <w:t> </w:t>
            </w:r>
          </w:p>
        </w:tc>
        <w:tc>
          <w:tcPr>
            <w:tcW w:w="3902" w:type="dxa"/>
            <w:gridSpan w:val="2"/>
            <w:tcBorders/>
            <w:shd w:fill="auto" w:val="clear"/>
            <w:vAlign w:val="center"/>
          </w:tcPr>
          <w:p>
            <w:pPr>
              <w:pStyle w:val="TableContents"/>
              <w:spacing w:before="0" w:after="283"/>
              <w:jc w:val="left"/>
              <w:rPr/>
            </w:pPr>
            <w:r>
              <w:rPr/>
              <w:t>Barbara M. Gomez </w:t>
            </w:r>
          </w:p>
        </w:tc>
        <w:tc>
          <w:tcPr>
            <w:tcW w:w="1325" w:type="dxa"/>
            <w:tcBorders/>
            <w:shd w:fill="auto" w:val="clear"/>
            <w:vAlign w:val="center"/>
          </w:tcPr>
          <w:p>
            <w:pPr>
              <w:pStyle w:val="TableContents"/>
              <w:spacing w:before="0" w:after="283"/>
              <w:rPr/>
            </w:pPr>
            <w:r>
              <w:rPr/>
              <w:t> </w:t>
            </w:r>
          </w:p>
        </w:tc>
      </w:tr>
      <w:tr>
        <w:trPr/>
        <w:tc>
          <w:tcPr>
            <w:tcW w:w="4628" w:type="dxa"/>
            <w:tcBorders/>
            <w:shd w:fill="auto" w:val="clear"/>
            <w:vAlign w:val="center"/>
          </w:tcPr>
          <w:p>
            <w:pPr>
              <w:pStyle w:val="TableContents"/>
              <w:spacing w:before="0" w:after="283"/>
              <w:jc w:val="left"/>
              <w:rPr/>
            </w:pPr>
            <w:r>
              <w:rPr/>
              <w:t> </w:t>
            </w:r>
          </w:p>
        </w:tc>
        <w:tc>
          <w:tcPr>
            <w:tcW w:w="350" w:type="dxa"/>
            <w:tcBorders/>
            <w:shd w:fill="auto" w:val="clear"/>
            <w:vAlign w:val="center"/>
          </w:tcPr>
          <w:p>
            <w:pPr>
              <w:pStyle w:val="TableContents"/>
              <w:spacing w:before="0" w:after="283"/>
              <w:rPr/>
            </w:pPr>
            <w:r>
              <w:rPr/>
              <w:t> </w:t>
            </w:r>
          </w:p>
        </w:tc>
        <w:tc>
          <w:tcPr>
            <w:tcW w:w="3902" w:type="dxa"/>
            <w:gridSpan w:val="2"/>
            <w:tcBorders/>
            <w:shd w:fill="auto" w:val="clear"/>
            <w:vAlign w:val="center"/>
          </w:tcPr>
          <w:p>
            <w:pPr>
              <w:pStyle w:val="TableContents"/>
              <w:spacing w:before="0" w:after="283"/>
              <w:jc w:val="left"/>
              <w:rPr/>
            </w:pPr>
            <w:r>
              <w:rPr/>
              <w:t>Vice President and Treasurer </w:t>
            </w:r>
          </w:p>
        </w:tc>
        <w:tc>
          <w:tcPr>
            <w:tcW w:w="1325"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spacing w:before="0" w:after="0"/>
        <w:jc w:val="center"/>
        <w:rPr>
          <w:rFonts w:ascii="Times New Roman;Times;serif" w:hAnsi="Times New Roman;Times;serif"/>
          <w:sz w:val="17"/>
        </w:rPr>
      </w:pPr>
      <w:r>
        <w:rPr>
          <w:rFonts w:ascii="Times New Roman;Times;serif" w:hAnsi="Times New Roman;Times;serif"/>
          <w:sz w:val="17"/>
        </w:rPr>
        <w:t xml:space="preserve">4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5</Pages>
  <Words>1264</Words>
  <CharactersWithSpaces>8041</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e8vk</dc:title>
</cp:coreProperties>
</file>