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62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6219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HERBERGER ROY A JR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331" w:lineRule="auto"/>
        <w:rPr>
          <w:sz w:val="20"/>
          <w:szCs w:val="20"/>
          <w:color w:val="auto"/>
        </w:rPr>
      </w:pPr>
      <w:r>
        <w:rPr>
          <w:rFonts w:ascii="Arial" w:cs="Arial" w:eastAsia="Arial" w:hAnsi="Arial"/>
          <w:sz w:val="18"/>
          <w:szCs w:val="18"/>
          <w:color w:val="0000FF"/>
        </w:rPr>
        <w:t>400 NORTH FIFTH STREET MS 8602</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jc w:val="right"/>
              <w:spacing w:after="0"/>
              <w:rPr>
                <w:sz w:val="20"/>
                <w:szCs w:val="20"/>
                <w:color w:val="auto"/>
              </w:rPr>
            </w:pPr>
            <w:r>
              <w:rPr>
                <w:rFonts w:ascii="Arial" w:cs="Arial" w:eastAsia="Arial" w:hAnsi="Arial"/>
                <w:sz w:val="14"/>
                <w:szCs w:val="14"/>
                <w:color w:val="auto"/>
              </w:rPr>
              <w:t>5.</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820" w:type="dxa"/>
            <w:vAlign w:val="bottom"/>
            <w:gridSpan w:val="6"/>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ind w:left="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02"/>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1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0" w:type="dxa"/>
            <w:vAlign w:val="bottom"/>
          </w:tcPr>
          <w:p>
            <w:pPr>
              <w:ind w:left="100"/>
              <w:spacing w:after="0" w:line="102" w:lineRule="exact"/>
              <w:rPr>
                <w:sz w:val="20"/>
                <w:szCs w:val="20"/>
                <w:color w:val="auto"/>
              </w:rPr>
            </w:pPr>
            <w:r>
              <w:rPr>
                <w:rFonts w:ascii="Arial" w:cs="Arial" w:eastAsia="Arial" w:hAnsi="Arial"/>
                <w:sz w:val="11"/>
                <w:szCs w:val="11"/>
                <w:color w:val="auto"/>
              </w:rPr>
              <w:t>below)</w:t>
            </w:r>
          </w:p>
        </w:tc>
        <w:tc>
          <w:tcPr>
            <w:tcW w:w="1500" w:type="dxa"/>
            <w:vAlign w:val="bottom"/>
          </w:tcPr>
          <w:p>
            <w:pPr>
              <w:ind w:left="340"/>
              <w:spacing w:after="0" w:line="102"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05/17/2017</w:t>
            </w: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3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3220" w:type="dxa"/>
            <w:vAlign w:val="bottom"/>
            <w:tcBorders>
              <w:bottom w:val="single" w:sz="8" w:color="2C2C2C"/>
            </w:tcBorders>
            <w:gridSpan w:val="3"/>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jc w:val="right"/>
              <w:spacing w:after="0"/>
              <w:rPr>
                <w:sz w:val="20"/>
                <w:szCs w:val="20"/>
                <w:color w:val="auto"/>
              </w:rPr>
            </w:pPr>
            <w:r>
              <w:rPr>
                <w:rFonts w:ascii="Arial" w:cs="Arial" w:eastAsia="Arial" w:hAnsi="Arial"/>
                <w:sz w:val="14"/>
                <w:szCs w:val="14"/>
                <w:color w:val="auto"/>
              </w:rPr>
              <w:t>6.</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15" w:lineRule="exact"/>
        <w:rPr>
          <w:sz w:val="20"/>
          <w:szCs w:val="20"/>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05/17/2017</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1,311</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(1)</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1,311</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80" w:type="dxa"/>
            <w:vAlign w:val="bottom"/>
            <w:vMerge w:val="restart"/>
          </w:tcPr>
          <w:p>
            <w:pPr>
              <w:ind w:left="340"/>
              <w:spacing w:after="0"/>
              <w:rPr>
                <w:sz w:val="20"/>
                <w:szCs w:val="20"/>
                <w:color w:val="auto"/>
              </w:rPr>
            </w:pPr>
            <w:r>
              <w:rPr>
                <w:rFonts w:ascii="Arial" w:cs="Arial" w:eastAsia="Arial" w:hAnsi="Arial"/>
                <w:sz w:val="14"/>
                <w:szCs w:val="14"/>
                <w:color w:val="0000FF"/>
              </w:rPr>
              <w:t>1,311</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18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Stock Unit is the economic equivalent of one share of Pinnacle West common stock. The Stock Units vested on May 17, 2017 and, at the reporting person's election, will be settled in shares of common stock or 50% in cash and 50% in common stock. The reporting person elected to defer settlement until the last business day of the month following the month in which the reporting person separates from service from the Company.</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05/19/2017</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Jeffrey B. Guldner and Diane Wood, or either of them signing singly, and with full power of substitution, the undersigned's true and lawful attorney-in-fact to:</w:t>
      </w:r>
    </w:p>
    <w:p>
      <w:pPr>
        <w:spacing w:after="0" w:line="207" w:lineRule="exact"/>
        <w:rPr>
          <w:sz w:val="20"/>
          <w:szCs w:val="20"/>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right="739" w:firstLine="8"/>
        <w:spacing w:after="0" w:line="236" w:lineRule="auto"/>
        <w:tabs>
          <w:tab w:leader="none" w:pos="168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form with the SEC and any stock exchange or similar authority; and</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w:t>
      </w:r>
    </w:p>
    <w:p>
      <w:pPr>
        <w:spacing w:after="0" w:line="4"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210"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8"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19th day of May, 2017.</w:t>
      </w:r>
    </w:p>
    <w:p>
      <w:pPr>
        <w:spacing w:after="0" w:line="200" w:lineRule="exact"/>
        <w:rPr>
          <w:sz w:val="20"/>
          <w:szCs w:val="20"/>
          <w:color w:val="auto"/>
        </w:rPr>
      </w:pPr>
    </w:p>
    <w:p>
      <w:pPr>
        <w:spacing w:after="0" w:line="205"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/s/ Roy A. Herberger, Jr., Ph.D.</w:t>
      </w:r>
    </w:p>
    <w:p>
      <w:pPr>
        <w:ind w:left="29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2120"/>
        <w:spacing w:after="0"/>
        <w:rPr>
          <w:sz w:val="20"/>
          <w:szCs w:val="20"/>
          <w:color w:val="auto"/>
        </w:rPr>
      </w:pPr>
      <w:r>
        <w:rPr>
          <w:rFonts w:ascii="Courier New" w:cs="Courier New" w:eastAsia="Courier New" w:hAnsi="Courier New"/>
          <w:sz w:val="18"/>
          <w:szCs w:val="18"/>
          <w:color w:val="auto"/>
        </w:rPr>
        <w:t>Roy A. Herberger, Jr., Ph.D.</w:t>
      </w:r>
    </w:p>
    <w:p>
      <w:pPr>
        <w:ind w:left="2860"/>
        <w:spacing w:after="0" w:line="238" w:lineRule="auto"/>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027964"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2020-01-16T02:48:37Z</dcterms:created>
  <dcterms:modified xsi:type="dcterms:W3CDTF">2020-01-16T02:48:37Z</dcterms:modified>
</cp:coreProperties>
</file>