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1708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17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GOMEZ BARBARA M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400 NORTH 5TH STREET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MS 8602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85004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2.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</w:tcPr>
          <w:p>
            <w:pPr>
              <w:spacing w:after="0" w:line="21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5"/>
                </w:rPr>
                <w:t xml:space="preserve">PINNACLE WEST CAPITAL CORP </w:t>
              </w:r>
            </w:hyperlink>
            <w:r>
              <w:rPr>
                <w:rFonts w:ascii="Arial" w:cs="Arial" w:eastAsia="Arial" w:hAnsi="Arial"/>
                <w:sz w:val="22"/>
                <w:szCs w:val="22"/>
                <w:color w:val="000000"/>
                <w:w w:val="95"/>
              </w:rPr>
              <w:t>[</w:t>
            </w:r>
            <w:r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PNW</w:t>
            </w:r>
          </w:p>
        </w:tc>
        <w:tc>
          <w:tcPr>
            <w:tcW w:w="1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6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]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3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vMerge w:val="restart"/>
          </w:tcPr>
          <w:p>
            <w:pPr>
              <w:ind w:left="6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1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3.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 of Earliest Transaction (Month/Day/Year)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6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SVP, HR &amp; Ethics, APS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33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05/16/2017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4.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If Amendment, Date of Original Filed (Month/Day/Year)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260"/>
        <w:spacing w:after="0" w:line="211" w:lineRule="auto"/>
        <w:tabs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4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80"/>
            <w:col w:w="742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200" w:type="dxa"/>
            <w:vAlign w:val="bottom"/>
            <w:gridSpan w:val="1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3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05/16/2017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1,900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jc w:val="right"/>
              <w:ind w:right="1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84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</w:tcPr>
          <w:p>
            <w:pPr>
              <w:jc w:val="right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3,443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 trust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restart"/>
          </w:tcPr>
          <w:p>
            <w:pPr>
              <w:jc w:val="right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3,101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2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3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5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3"/>
          </w:tcPr>
          <w:p>
            <w:pPr>
              <w:ind w:left="4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Remarks: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1"/>
              </w:rPr>
              <w:t>/s/ Diane Wood, Attorney-in-</w:t>
            </w:r>
          </w:p>
        </w:tc>
        <w:tc>
          <w:tcPr>
            <w:tcW w:w="1680" w:type="dxa"/>
            <w:vAlign w:val="bottom"/>
            <w:gridSpan w:val="4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05/18/2017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Fact</w:t>
            </w:r>
          </w:p>
        </w:tc>
        <w:tc>
          <w:tcPr>
            <w:tcW w:w="64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** Signature of Reporting Person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094564" TargetMode="External"/><Relationship Id="rId13" Type="http://schemas.openxmlformats.org/officeDocument/2006/relationships/hyperlink" Target="http://www.sec.gov/cgi-bin/browse-edgar?action=getcompany&amp;CIK=000076462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2020-01-16T02:53:53Z</dcterms:created>
  <dcterms:modified xsi:type="dcterms:W3CDTF">2020-01-16T02:53:53Z</dcterms:modified>
</cp:coreProperties>
</file>