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Times New Roman" w:cs="Times New Roman" w:eastAsia="Times New Roman" w:hAnsi="Times New Roman"/>
          <w:sz w:val="20"/>
          <w:szCs w:val="20"/>
          <w:color w:val="auto"/>
        </w:rPr>
        <w:t>Use these links to rapidly review the document</w:t>
      </w:r>
    </w:p>
    <w:p>
      <w:pPr>
        <w:spacing w:after="0" w:line="13" w:lineRule="exact"/>
        <w:rPr>
          <w:sz w:val="24"/>
          <w:szCs w:val="24"/>
          <w:color w:val="auto"/>
        </w:rPr>
      </w:pPr>
    </w:p>
    <w:p>
      <w:pPr>
        <w:spacing w:after="0"/>
        <w:rPr>
          <w:rFonts w:ascii="Times New Roman" w:cs="Times New Roman" w:eastAsia="Times New Roman" w:hAnsi="Times New Roman"/>
          <w:sz w:val="20"/>
          <w:szCs w:val="20"/>
          <w:u w:val="single" w:color="auto"/>
          <w:color w:val="0000EE"/>
        </w:rPr>
      </w:pPr>
      <w:hyperlink w:anchor="page7">
        <w:r>
          <w:rPr>
            <w:rFonts w:ascii="Times New Roman" w:cs="Times New Roman" w:eastAsia="Times New Roman" w:hAnsi="Times New Roman"/>
            <w:sz w:val="20"/>
            <w:szCs w:val="20"/>
            <w:u w:val="single" w:color="auto"/>
            <w:color w:val="0000EE"/>
          </w:rPr>
          <w:t>TABLE OF CONTENTS</w:t>
        </w:r>
      </w:hyperlink>
    </w:p>
    <w:p>
      <w:pPr>
        <w:spacing w:after="0" w:line="171" w:lineRule="exact"/>
        <w:rPr>
          <w:sz w:val="24"/>
          <w:szCs w:val="24"/>
          <w:color w:val="auto"/>
        </w:rPr>
      </w:pPr>
    </w:p>
    <w:p>
      <w:pPr>
        <w:jc w:val="center"/>
        <w:ind w:right="-1179"/>
        <w:spacing w:after="0"/>
        <w:rPr>
          <w:sz w:val="20"/>
          <w:szCs w:val="20"/>
          <w:color w:val="auto"/>
        </w:rPr>
      </w:pPr>
      <w:r>
        <w:rPr>
          <w:rFonts w:ascii="Arial" w:cs="Arial" w:eastAsia="Arial" w:hAnsi="Arial"/>
          <w:sz w:val="16"/>
          <w:szCs w:val="16"/>
          <w:b w:val="1"/>
          <w:bCs w:val="1"/>
          <w:color w:val="auto"/>
        </w:rPr>
        <w:t>UNITED STATES</w:t>
      </w:r>
    </w:p>
    <w:p>
      <w:pPr>
        <w:spacing w:after="0" w:line="22" w:lineRule="exact"/>
        <w:rPr>
          <w:sz w:val="24"/>
          <w:szCs w:val="24"/>
          <w:color w:val="auto"/>
        </w:rPr>
      </w:pPr>
    </w:p>
    <w:p>
      <w:pPr>
        <w:jc w:val="center"/>
        <w:ind w:right="-1179"/>
        <w:spacing w:after="0"/>
        <w:rPr>
          <w:sz w:val="20"/>
          <w:szCs w:val="20"/>
          <w:color w:val="auto"/>
        </w:rPr>
      </w:pPr>
      <w:r>
        <w:rPr>
          <w:rFonts w:ascii="Arial" w:cs="Arial" w:eastAsia="Arial" w:hAnsi="Arial"/>
          <w:sz w:val="15"/>
          <w:szCs w:val="15"/>
          <w:b w:val="1"/>
          <w:bCs w:val="1"/>
          <w:color w:val="auto"/>
        </w:rPr>
        <w:t>SECURITIES AND EXCHANGE COMMISSION</w:t>
      </w:r>
    </w:p>
    <w:p>
      <w:pPr>
        <w:spacing w:after="0" w:line="12" w:lineRule="exact"/>
        <w:rPr>
          <w:sz w:val="24"/>
          <w:szCs w:val="24"/>
          <w:color w:val="auto"/>
        </w:rPr>
      </w:pPr>
    </w:p>
    <w:p>
      <w:pPr>
        <w:jc w:val="center"/>
        <w:ind w:right="-1179"/>
        <w:spacing w:after="0"/>
        <w:rPr>
          <w:sz w:val="20"/>
          <w:szCs w:val="20"/>
          <w:color w:val="auto"/>
        </w:rPr>
      </w:pPr>
      <w:r>
        <w:rPr>
          <w:rFonts w:ascii="Arial" w:cs="Arial" w:eastAsia="Arial" w:hAnsi="Arial"/>
          <w:sz w:val="16"/>
          <w:szCs w:val="16"/>
          <w:b w:val="1"/>
          <w:bCs w:val="1"/>
          <w:color w:val="auto"/>
        </w:rPr>
        <w:t>Washington, D.C. 20549</w:t>
      </w:r>
    </w:p>
    <w:p>
      <w:pPr>
        <w:spacing w:after="0" w:line="160" w:lineRule="exact"/>
        <w:rPr>
          <w:sz w:val="24"/>
          <w:szCs w:val="24"/>
          <w:color w:val="auto"/>
        </w:rPr>
      </w:pPr>
    </w:p>
    <w:p>
      <w:pPr>
        <w:ind w:left="4880"/>
        <w:spacing w:after="0"/>
        <w:rPr>
          <w:sz w:val="20"/>
          <w:szCs w:val="20"/>
          <w:color w:val="auto"/>
        </w:rPr>
      </w:pPr>
      <w:r>
        <w:rPr>
          <w:rFonts w:ascii="Arial" w:cs="Arial" w:eastAsia="Arial" w:hAnsi="Arial"/>
          <w:sz w:val="22"/>
          <w:szCs w:val="22"/>
          <w:b w:val="1"/>
          <w:bCs w:val="1"/>
          <w:color w:val="auto"/>
        </w:rPr>
        <w:t>SCHEDULE 14A</w:t>
      </w:r>
    </w:p>
    <w:p>
      <w:pPr>
        <w:sectPr>
          <w:pgSz w:w="11900" w:h="16838" w:orient="portrait"/>
          <w:cols w:equalWidth="0" w:num="1">
            <w:col w:w="10240"/>
          </w:cols>
          <w:pgMar w:left="240" w:top="630" w:right="1419" w:bottom="1440" w:gutter="0" w:footer="0" w:header="0"/>
        </w:sectPr>
      </w:pPr>
    </w:p>
    <w:p>
      <w:pPr>
        <w:spacing w:after="0" w:line="217" w:lineRule="exact"/>
        <w:rPr>
          <w:sz w:val="24"/>
          <w:szCs w:val="24"/>
          <w:color w:val="auto"/>
        </w:rPr>
      </w:pPr>
    </w:p>
    <w:p>
      <w:pPr>
        <w:ind w:left="4100"/>
        <w:spacing w:after="0"/>
        <w:rPr>
          <w:sz w:val="20"/>
          <w:szCs w:val="20"/>
          <w:color w:val="auto"/>
        </w:rPr>
      </w:pPr>
      <w:r>
        <w:rPr>
          <w:rFonts w:ascii="Arial" w:cs="Arial" w:eastAsia="Arial" w:hAnsi="Arial"/>
          <w:sz w:val="16"/>
          <w:szCs w:val="16"/>
          <w:color w:val="auto"/>
        </w:rPr>
        <w:t>Proxy Statement Pursuant to Section 14(a) of</w:t>
      </w:r>
    </w:p>
    <w:p>
      <w:pPr>
        <w:spacing w:after="0" w:line="20" w:lineRule="exact"/>
        <w:rPr>
          <w:sz w:val="24"/>
          <w:szCs w:val="24"/>
          <w:color w:val="auto"/>
        </w:rPr>
      </w:pPr>
    </w:p>
    <w:p>
      <w:pPr>
        <w:ind w:left="3540"/>
        <w:spacing w:after="0"/>
        <w:rPr>
          <w:sz w:val="20"/>
          <w:szCs w:val="20"/>
          <w:color w:val="auto"/>
        </w:rPr>
      </w:pPr>
      <w:r>
        <w:rPr>
          <w:rFonts w:ascii="Arial" w:cs="Arial" w:eastAsia="Arial" w:hAnsi="Arial"/>
          <w:sz w:val="15"/>
          <w:szCs w:val="15"/>
          <w:color w:val="auto"/>
        </w:rPr>
        <w:t>the Securities Exchange Act of 1934 (Amendment No.</w:t>
      </w:r>
    </w:p>
    <w:p>
      <w:pPr>
        <w:spacing w:after="0" w:line="20" w:lineRule="exact"/>
        <w:rPr>
          <w:sz w:val="24"/>
          <w:szCs w:val="24"/>
          <w:color w:val="auto"/>
        </w:rPr>
      </w:pPr>
      <w:r>
        <w:rPr>
          <w:sz w:val="24"/>
          <w:szCs w:val="24"/>
          <w:color w:val="auto"/>
        </w:rPr>
        <w:br w:type="column"/>
      </w:r>
    </w:p>
    <w:p>
      <w:pPr>
        <w:spacing w:after="0" w:line="381" w:lineRule="exact"/>
        <w:rPr>
          <w:sz w:val="24"/>
          <w:szCs w:val="24"/>
          <w:color w:val="auto"/>
        </w:rPr>
      </w:pPr>
    </w:p>
    <w:p>
      <w:pPr>
        <w:spacing w:after="0"/>
        <w:rPr>
          <w:sz w:val="20"/>
          <w:szCs w:val="20"/>
          <w:color w:val="auto"/>
        </w:rPr>
      </w:pPr>
      <w:r>
        <w:rPr>
          <w:rFonts w:ascii="Arial" w:cs="Arial" w:eastAsia="Arial" w:hAnsi="Arial"/>
          <w:sz w:val="16"/>
          <w:szCs w:val="16"/>
          <w:color w:val="auto"/>
        </w:rPr>
        <w:t>)</w:t>
      </w:r>
    </w:p>
    <w:p>
      <w:pPr>
        <w:spacing w:after="0" w:line="174" w:lineRule="exact"/>
        <w:rPr>
          <w:sz w:val="24"/>
          <w:szCs w:val="24"/>
          <w:color w:val="auto"/>
        </w:rPr>
      </w:pPr>
    </w:p>
    <w:p>
      <w:pPr>
        <w:sectPr>
          <w:pgSz w:w="11900" w:h="16838" w:orient="portrait"/>
          <w:cols w:equalWidth="0" w:num="2">
            <w:col w:w="7360" w:space="480"/>
            <w:col w:w="2400"/>
          </w:cols>
          <w:pgMar w:left="240" w:top="630" w:right="1419" w:bottom="1440" w:gutter="0" w:footer="0" w:header="0"/>
          <w:type w:val="continuous"/>
        </w:sectPr>
      </w:pPr>
    </w:p>
    <w:p>
      <w:pPr>
        <w:ind w:left="1140"/>
        <w:spacing w:after="0" w:line="184" w:lineRule="exact"/>
        <w:rPr>
          <w:sz w:val="20"/>
          <w:szCs w:val="20"/>
          <w:color w:val="auto"/>
        </w:rPr>
      </w:pPr>
      <w:r>
        <w:rPr>
          <w:rFonts w:ascii="Arial" w:cs="Arial" w:eastAsia="Arial" w:hAnsi="Arial"/>
          <w:sz w:val="16"/>
          <w:szCs w:val="16"/>
          <w:color w:val="auto"/>
        </w:rPr>
        <w:t xml:space="preserve">Filed by the Registrant </w:t>
      </w:r>
      <w:r>
        <w:rPr>
          <w:rFonts w:ascii="MS PGothic" w:cs="MS PGothic" w:eastAsia="MS PGothic" w:hAnsi="MS PGothic"/>
          <w:sz w:val="16"/>
          <w:szCs w:val="16"/>
          <w:color w:val="auto"/>
        </w:rPr>
        <w:t>☒</w:t>
      </w:r>
    </w:p>
    <w:p>
      <w:pPr>
        <w:spacing w:after="0" w:line="255" w:lineRule="exact"/>
        <w:rPr>
          <w:sz w:val="24"/>
          <w:szCs w:val="24"/>
          <w:color w:val="auto"/>
        </w:rPr>
      </w:pPr>
    </w:p>
    <w:p>
      <w:pPr>
        <w:ind w:left="1140"/>
        <w:spacing w:after="0"/>
        <w:rPr>
          <w:sz w:val="20"/>
          <w:szCs w:val="20"/>
          <w:color w:val="auto"/>
        </w:rPr>
      </w:pPr>
      <w:r>
        <w:rPr>
          <w:rFonts w:ascii="Arial" w:cs="Arial" w:eastAsia="Arial" w:hAnsi="Arial"/>
          <w:sz w:val="15"/>
          <w:szCs w:val="15"/>
          <w:color w:val="auto"/>
        </w:rPr>
        <w:t xml:space="preserve">Filed by a Party other than the Registrant </w:t>
      </w:r>
      <w:r>
        <w:rPr>
          <w:rFonts w:ascii="Times New Roman" w:cs="Times New Roman" w:eastAsia="Times New Roman" w:hAnsi="Times New Roman"/>
          <w:sz w:val="15"/>
          <w:szCs w:val="15"/>
          <w:color w:val="auto"/>
        </w:rPr>
        <w:t>o</w:t>
      </w:r>
    </w:p>
    <w:p>
      <w:pPr>
        <w:spacing w:after="0" w:line="207" w:lineRule="exact"/>
        <w:rPr>
          <w:sz w:val="24"/>
          <w:szCs w:val="24"/>
          <w:color w:val="auto"/>
        </w:rPr>
      </w:pPr>
    </w:p>
    <w:p>
      <w:pPr>
        <w:ind w:left="1140"/>
        <w:spacing w:after="0"/>
        <w:rPr>
          <w:sz w:val="20"/>
          <w:szCs w:val="20"/>
          <w:color w:val="auto"/>
        </w:rPr>
      </w:pPr>
      <w:r>
        <w:rPr>
          <w:rFonts w:ascii="Arial" w:cs="Arial" w:eastAsia="Arial" w:hAnsi="Arial"/>
          <w:sz w:val="16"/>
          <w:szCs w:val="16"/>
          <w:color w:val="auto"/>
        </w:rPr>
        <w:t>Check the appropriate box:</w:t>
      </w:r>
    </w:p>
    <w:p>
      <w:pPr>
        <w:sectPr>
          <w:pgSz w:w="11900" w:h="16838" w:orient="portrait"/>
          <w:cols w:equalWidth="0" w:num="1">
            <w:col w:w="10240"/>
          </w:cols>
          <w:pgMar w:left="240" w:top="630" w:right="1419" w:bottom="1440" w:gutter="0" w:footer="0" w:header="0"/>
          <w:type w:val="continuous"/>
        </w:sectPr>
      </w:pPr>
    </w:p>
    <w:p>
      <w:pPr>
        <w:spacing w:after="0" w:line="225" w:lineRule="exact"/>
        <w:rPr>
          <w:sz w:val="24"/>
          <w:szCs w:val="24"/>
          <w:color w:val="auto"/>
        </w:rPr>
      </w:pPr>
    </w:p>
    <w:p>
      <w:pPr>
        <w:ind w:left="1140"/>
        <w:spacing w:after="0"/>
        <w:rPr>
          <w:sz w:val="20"/>
          <w:szCs w:val="20"/>
          <w:color w:val="auto"/>
        </w:rPr>
      </w:pPr>
      <w:r>
        <w:rPr>
          <w:rFonts w:ascii="Times New Roman" w:cs="Times New Roman" w:eastAsia="Times New Roman" w:hAnsi="Times New Roman"/>
          <w:sz w:val="16"/>
          <w:szCs w:val="16"/>
          <w:color w:val="auto"/>
        </w:rPr>
        <w:t>o</w:t>
      </w:r>
    </w:p>
    <w:p>
      <w:pPr>
        <w:spacing w:after="0" w:line="20" w:lineRule="exact"/>
        <w:rPr>
          <w:sz w:val="24"/>
          <w:szCs w:val="24"/>
          <w:color w:val="auto"/>
        </w:rPr>
      </w:pPr>
      <w:r>
        <w:rPr>
          <w:sz w:val="24"/>
          <w:szCs w:val="24"/>
          <w:color w:val="auto"/>
        </w:rPr>
        <w:br w:type="column"/>
      </w:r>
    </w:p>
    <w:p>
      <w:pPr>
        <w:spacing w:after="0" w:line="201" w:lineRule="exact"/>
        <w:rPr>
          <w:sz w:val="24"/>
          <w:szCs w:val="24"/>
          <w:color w:val="auto"/>
        </w:rPr>
      </w:pPr>
    </w:p>
    <w:p>
      <w:pPr>
        <w:spacing w:after="0"/>
        <w:rPr>
          <w:sz w:val="20"/>
          <w:szCs w:val="20"/>
          <w:color w:val="auto"/>
        </w:rPr>
      </w:pPr>
      <w:r>
        <w:rPr>
          <w:rFonts w:ascii="Arial" w:cs="Arial" w:eastAsia="Arial" w:hAnsi="Arial"/>
          <w:sz w:val="15"/>
          <w:szCs w:val="15"/>
          <w:color w:val="auto"/>
        </w:rPr>
        <w:t>Preliminary Proxy Statement</w:t>
      </w:r>
    </w:p>
    <w:p>
      <w:pPr>
        <w:spacing w:after="0" w:line="215" w:lineRule="exact"/>
        <w:rPr>
          <w:sz w:val="24"/>
          <w:szCs w:val="24"/>
          <w:color w:val="auto"/>
        </w:rPr>
      </w:pPr>
    </w:p>
    <w:p>
      <w:pPr>
        <w:sectPr>
          <w:pgSz w:w="11900" w:h="16838" w:orient="portrait"/>
          <w:cols w:equalWidth="0" w:num="2">
            <w:col w:w="1220" w:space="300"/>
            <w:col w:w="8720"/>
          </w:cols>
          <w:pgMar w:left="240" w:top="630" w:right="1419" w:bottom="1440" w:gutter="0" w:footer="0" w:header="0"/>
          <w:type w:val="continuous"/>
        </w:sectPr>
      </w:pPr>
    </w:p>
    <w:p>
      <w:pPr>
        <w:spacing w:after="0" w:line="33" w:lineRule="exact"/>
        <w:rPr>
          <w:sz w:val="24"/>
          <w:szCs w:val="24"/>
          <w:color w:val="auto"/>
        </w:rPr>
      </w:pPr>
    </w:p>
    <w:p>
      <w:pPr>
        <w:ind w:left="1140"/>
        <w:spacing w:after="0"/>
        <w:rPr>
          <w:sz w:val="20"/>
          <w:szCs w:val="20"/>
          <w:color w:val="auto"/>
        </w:rPr>
      </w:pPr>
      <w:r>
        <w:rPr>
          <w:rFonts w:ascii="Times New Roman" w:cs="Times New Roman" w:eastAsia="Times New Roman" w:hAnsi="Times New Roman"/>
          <w:sz w:val="16"/>
          <w:szCs w:val="16"/>
          <w:color w:val="auto"/>
        </w:rPr>
        <w:t>o</w:t>
      </w:r>
    </w:p>
    <w:p>
      <w:pPr>
        <w:spacing w:after="0" w:line="20" w:lineRule="exact"/>
        <w:rPr>
          <w:sz w:val="24"/>
          <w:szCs w:val="24"/>
          <w:color w:val="auto"/>
        </w:rPr>
      </w:pPr>
      <w:r>
        <w:rPr>
          <w:sz w:val="24"/>
          <w:szCs w:val="24"/>
          <w:color w:val="auto"/>
        </w:rPr>
        <w:br w:type="column"/>
      </w:r>
    </w:p>
    <w:p>
      <w:pPr>
        <w:spacing w:after="0" w:line="7" w:lineRule="exact"/>
        <w:rPr>
          <w:sz w:val="24"/>
          <w:szCs w:val="24"/>
          <w:color w:val="auto"/>
        </w:rPr>
      </w:pPr>
    </w:p>
    <w:p>
      <w:pPr>
        <w:spacing w:after="0"/>
        <w:rPr>
          <w:sz w:val="20"/>
          <w:szCs w:val="20"/>
          <w:color w:val="auto"/>
        </w:rPr>
      </w:pPr>
      <w:r>
        <w:rPr>
          <w:rFonts w:ascii="Arial" w:cs="Arial" w:eastAsia="Arial" w:hAnsi="Arial"/>
          <w:sz w:val="15"/>
          <w:szCs w:val="15"/>
          <w:b w:val="1"/>
          <w:bCs w:val="1"/>
          <w:color w:val="auto"/>
        </w:rPr>
        <w:t>Confidential, for Use of the Commission Only (as permitted by Rule 14a-6(e)(2))</w:t>
      </w:r>
    </w:p>
    <w:p>
      <w:pPr>
        <w:spacing w:after="0" w:line="217" w:lineRule="exact"/>
        <w:rPr>
          <w:sz w:val="24"/>
          <w:szCs w:val="24"/>
          <w:color w:val="auto"/>
        </w:rPr>
      </w:pPr>
    </w:p>
    <w:p>
      <w:pPr>
        <w:sectPr>
          <w:pgSz w:w="11900" w:h="16838" w:orient="portrait"/>
          <w:cols w:equalWidth="0" w:num="2">
            <w:col w:w="1220" w:space="300"/>
            <w:col w:w="8720"/>
          </w:cols>
          <w:pgMar w:left="240" w:top="630" w:right="1419" w:bottom="1440" w:gutter="0" w:footer="0" w:header="0"/>
          <w:type w:val="continuous"/>
        </w:sectPr>
      </w:pPr>
    </w:p>
    <w:p>
      <w:pPr>
        <w:spacing w:after="0" w:line="7" w:lineRule="exact"/>
        <w:rPr>
          <w:sz w:val="24"/>
          <w:szCs w:val="24"/>
          <w:color w:val="auto"/>
        </w:rPr>
      </w:pPr>
    </w:p>
    <w:p>
      <w:pPr>
        <w:ind w:left="1140"/>
        <w:spacing w:after="0" w:line="141" w:lineRule="exact"/>
        <w:rPr>
          <w:sz w:val="20"/>
          <w:szCs w:val="20"/>
          <w:color w:val="auto"/>
        </w:rPr>
      </w:pP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br w:type="column"/>
      </w:r>
    </w:p>
    <w:p>
      <w:pPr>
        <w:spacing w:after="0" w:line="9" w:lineRule="exact"/>
        <w:rPr>
          <w:sz w:val="24"/>
          <w:szCs w:val="24"/>
          <w:color w:val="auto"/>
        </w:rPr>
      </w:pPr>
    </w:p>
    <w:p>
      <w:pPr>
        <w:spacing w:after="0"/>
        <w:rPr>
          <w:sz w:val="20"/>
          <w:szCs w:val="20"/>
          <w:color w:val="auto"/>
        </w:rPr>
      </w:pPr>
      <w:r>
        <w:rPr>
          <w:rFonts w:ascii="Arial" w:cs="Arial" w:eastAsia="Arial" w:hAnsi="Arial"/>
          <w:sz w:val="15"/>
          <w:szCs w:val="15"/>
          <w:color w:val="auto"/>
        </w:rPr>
        <w:t>Definitive Proxy Statement</w:t>
      </w:r>
    </w:p>
    <w:p>
      <w:pPr>
        <w:spacing w:after="0" w:line="200" w:lineRule="exact"/>
        <w:rPr>
          <w:sz w:val="24"/>
          <w:szCs w:val="24"/>
          <w:color w:val="auto"/>
        </w:rPr>
      </w:pPr>
    </w:p>
    <w:p>
      <w:pPr>
        <w:sectPr>
          <w:pgSz w:w="11900" w:h="16838" w:orient="portrait"/>
          <w:cols w:equalWidth="0" w:num="2">
            <w:col w:w="1280" w:space="240"/>
            <w:col w:w="8720"/>
          </w:cols>
          <w:pgMar w:left="240" w:top="630" w:right="1419" w:bottom="1440" w:gutter="0" w:footer="0" w:header="0"/>
          <w:type w:val="continuous"/>
        </w:sectPr>
      </w:pPr>
    </w:p>
    <w:p>
      <w:pPr>
        <w:spacing w:after="0" w:line="49" w:lineRule="exact"/>
        <w:rPr>
          <w:sz w:val="24"/>
          <w:szCs w:val="24"/>
          <w:color w:val="auto"/>
        </w:rPr>
      </w:pPr>
    </w:p>
    <w:p>
      <w:pPr>
        <w:ind w:left="1140"/>
        <w:spacing w:after="0"/>
        <w:rPr>
          <w:sz w:val="20"/>
          <w:szCs w:val="20"/>
          <w:color w:val="auto"/>
        </w:rPr>
      </w:pPr>
      <w:r>
        <w:rPr>
          <w:rFonts w:ascii="Times New Roman" w:cs="Times New Roman" w:eastAsia="Times New Roman" w:hAnsi="Times New Roman"/>
          <w:sz w:val="16"/>
          <w:szCs w:val="16"/>
          <w:color w:val="auto"/>
        </w:rPr>
        <w:t>o</w:t>
      </w:r>
    </w:p>
    <w:p>
      <w:pPr>
        <w:spacing w:after="0" w:line="20" w:lineRule="exact"/>
        <w:rPr>
          <w:sz w:val="24"/>
          <w:szCs w:val="24"/>
          <w:color w:val="auto"/>
        </w:rPr>
      </w:pPr>
      <w:r>
        <w:rPr>
          <w:sz w:val="24"/>
          <w:szCs w:val="24"/>
          <w:color w:val="auto"/>
        </w:rPr>
        <w:br w:type="column"/>
      </w:r>
    </w:p>
    <w:p>
      <w:pPr>
        <w:spacing w:after="0" w:line="25" w:lineRule="exact"/>
        <w:rPr>
          <w:sz w:val="24"/>
          <w:szCs w:val="24"/>
          <w:color w:val="auto"/>
        </w:rPr>
      </w:pPr>
    </w:p>
    <w:p>
      <w:pPr>
        <w:spacing w:after="0"/>
        <w:rPr>
          <w:sz w:val="20"/>
          <w:szCs w:val="20"/>
          <w:color w:val="auto"/>
        </w:rPr>
      </w:pPr>
      <w:r>
        <w:rPr>
          <w:rFonts w:ascii="Arial" w:cs="Arial" w:eastAsia="Arial" w:hAnsi="Arial"/>
          <w:sz w:val="16"/>
          <w:szCs w:val="16"/>
          <w:color w:val="auto"/>
        </w:rPr>
        <w:t>Definitive Additional Materials</w:t>
      </w:r>
    </w:p>
    <w:p>
      <w:pPr>
        <w:spacing w:after="0" w:line="204" w:lineRule="exact"/>
        <w:rPr>
          <w:sz w:val="24"/>
          <w:szCs w:val="24"/>
          <w:color w:val="auto"/>
        </w:rPr>
      </w:pPr>
    </w:p>
    <w:p>
      <w:pPr>
        <w:sectPr>
          <w:pgSz w:w="11900" w:h="16838" w:orient="portrait"/>
          <w:cols w:equalWidth="0" w:num="2">
            <w:col w:w="1220" w:space="300"/>
            <w:col w:w="8720"/>
          </w:cols>
          <w:pgMar w:left="240" w:top="630" w:right="1419" w:bottom="1440" w:gutter="0" w:footer="0" w:header="0"/>
          <w:type w:val="continuous"/>
        </w:sectPr>
      </w:pPr>
    </w:p>
    <w:p>
      <w:pPr>
        <w:spacing w:after="0" w:line="33" w:lineRule="exact"/>
        <w:rPr>
          <w:sz w:val="24"/>
          <w:szCs w:val="24"/>
          <w:color w:val="auto"/>
        </w:rPr>
      </w:pPr>
    </w:p>
    <w:p>
      <w:pPr>
        <w:ind w:left="1140"/>
        <w:spacing w:after="0"/>
        <w:rPr>
          <w:sz w:val="20"/>
          <w:szCs w:val="20"/>
          <w:color w:val="auto"/>
        </w:rPr>
      </w:pPr>
      <w:r>
        <w:rPr>
          <w:rFonts w:ascii="Times New Roman" w:cs="Times New Roman" w:eastAsia="Times New Roman" w:hAnsi="Times New Roman"/>
          <w:sz w:val="16"/>
          <w:szCs w:val="16"/>
          <w:color w:val="auto"/>
        </w:rPr>
        <w:t>o</w:t>
      </w:r>
    </w:p>
    <w:p>
      <w:pPr>
        <w:spacing w:after="0" w:line="20" w:lineRule="exact"/>
        <w:rPr>
          <w:sz w:val="24"/>
          <w:szCs w:val="24"/>
          <w:color w:val="auto"/>
        </w:rPr>
      </w:pPr>
      <w:r>
        <w:rPr>
          <w:sz w:val="24"/>
          <w:szCs w:val="24"/>
          <w:color w:val="auto"/>
        </w:rPr>
        <w:br w:type="column"/>
      </w:r>
    </w:p>
    <w:p>
      <w:pPr>
        <w:spacing w:after="0" w:line="9" w:lineRule="exact"/>
        <w:rPr>
          <w:sz w:val="24"/>
          <w:szCs w:val="24"/>
          <w:color w:val="auto"/>
        </w:rPr>
      </w:pPr>
    </w:p>
    <w:p>
      <w:pPr>
        <w:spacing w:after="0"/>
        <w:rPr>
          <w:sz w:val="20"/>
          <w:szCs w:val="20"/>
          <w:color w:val="auto"/>
        </w:rPr>
      </w:pPr>
      <w:r>
        <w:rPr>
          <w:rFonts w:ascii="Arial" w:cs="Arial" w:eastAsia="Arial" w:hAnsi="Arial"/>
          <w:sz w:val="15"/>
          <w:szCs w:val="15"/>
          <w:color w:val="auto"/>
        </w:rPr>
        <w:t>Soliciting Material under §240.14a-12</w:t>
      </w:r>
    </w:p>
    <w:p>
      <w:pPr>
        <w:spacing w:after="0" w:line="215" w:lineRule="exact"/>
        <w:rPr>
          <w:sz w:val="24"/>
          <w:szCs w:val="24"/>
          <w:color w:val="auto"/>
        </w:rPr>
      </w:pPr>
    </w:p>
    <w:p>
      <w:pPr>
        <w:sectPr>
          <w:pgSz w:w="11900" w:h="16838" w:orient="portrait"/>
          <w:cols w:equalWidth="0" w:num="2">
            <w:col w:w="1220" w:space="300"/>
            <w:col w:w="8720"/>
          </w:cols>
          <w:pgMar w:left="240" w:top="630" w:right="1419" w:bottom="1440" w:gutter="0" w:footer="0" w:header="0"/>
          <w:type w:val="continuous"/>
        </w:sectPr>
      </w:pPr>
    </w:p>
    <w:p>
      <w:pPr>
        <w:spacing w:after="0" w:line="383" w:lineRule="exact"/>
        <w:rPr>
          <w:sz w:val="24"/>
          <w:szCs w:val="24"/>
          <w:color w:val="auto"/>
        </w:rPr>
      </w:pPr>
    </w:p>
    <w:p>
      <w:pPr>
        <w:jc w:val="center"/>
        <w:ind w:right="-1199"/>
        <w:spacing w:after="0"/>
        <w:rPr>
          <w:sz w:val="20"/>
          <w:szCs w:val="20"/>
          <w:color w:val="auto"/>
        </w:rPr>
      </w:pPr>
      <w:r>
        <w:rPr>
          <w:rFonts w:ascii="Arial" w:cs="Arial" w:eastAsia="Arial" w:hAnsi="Arial"/>
          <w:sz w:val="16"/>
          <w:szCs w:val="16"/>
          <w:b w:val="1"/>
          <w:bCs w:val="1"/>
          <w:color w:val="auto"/>
        </w:rPr>
        <w:t>Pinnacle West Capital Corporation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723265</wp:posOffset>
            </wp:positionH>
            <wp:positionV relativeFrom="paragraph">
              <wp:posOffset>66675</wp:posOffset>
            </wp:positionV>
            <wp:extent cx="5818505"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818505" cy="7620"/>
                    </a:xfrm>
                    <a:prstGeom prst="rect">
                      <a:avLst/>
                    </a:prstGeom>
                    <a:noFill/>
                  </pic:spPr>
                </pic:pic>
              </a:graphicData>
            </a:graphic>
          </wp:anchor>
        </w:drawing>
      </w:r>
    </w:p>
    <w:p>
      <w:pPr>
        <w:spacing w:after="0" w:line="154" w:lineRule="exact"/>
        <w:rPr>
          <w:sz w:val="24"/>
          <w:szCs w:val="24"/>
          <w:color w:val="auto"/>
        </w:rPr>
      </w:pPr>
    </w:p>
    <w:p>
      <w:pPr>
        <w:jc w:val="center"/>
        <w:ind w:right="-1199"/>
        <w:spacing w:after="0"/>
        <w:rPr>
          <w:sz w:val="20"/>
          <w:szCs w:val="20"/>
          <w:color w:val="auto"/>
        </w:rPr>
      </w:pPr>
      <w:r>
        <w:rPr>
          <w:rFonts w:ascii="Arial" w:cs="Arial" w:eastAsia="Arial" w:hAnsi="Arial"/>
          <w:sz w:val="16"/>
          <w:szCs w:val="16"/>
          <w:color w:val="auto"/>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723265</wp:posOffset>
            </wp:positionH>
            <wp:positionV relativeFrom="paragraph">
              <wp:posOffset>322580</wp:posOffset>
            </wp:positionV>
            <wp:extent cx="5818505"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818505" cy="7620"/>
                    </a:xfrm>
                    <a:prstGeom prst="rect">
                      <a:avLst/>
                    </a:prstGeom>
                    <a:noFill/>
                  </pic:spPr>
                </pic:pic>
              </a:graphicData>
            </a:graphic>
          </wp:anchor>
        </w:drawing>
      </w:r>
    </w:p>
    <w:p>
      <w:pPr>
        <w:spacing w:after="0" w:line="200" w:lineRule="exact"/>
        <w:rPr>
          <w:sz w:val="24"/>
          <w:szCs w:val="24"/>
          <w:color w:val="auto"/>
        </w:rPr>
      </w:pPr>
    </w:p>
    <w:p>
      <w:pPr>
        <w:spacing w:after="0" w:line="356" w:lineRule="exact"/>
        <w:rPr>
          <w:sz w:val="24"/>
          <w:szCs w:val="24"/>
          <w:color w:val="auto"/>
        </w:rPr>
      </w:pPr>
    </w:p>
    <w:p>
      <w:pPr>
        <w:ind w:left="3180"/>
        <w:spacing w:after="0"/>
        <w:rPr>
          <w:sz w:val="20"/>
          <w:szCs w:val="20"/>
          <w:color w:val="auto"/>
        </w:rPr>
      </w:pPr>
      <w:r>
        <w:rPr>
          <w:rFonts w:ascii="Arial" w:cs="Arial" w:eastAsia="Arial" w:hAnsi="Arial"/>
          <w:sz w:val="16"/>
          <w:szCs w:val="16"/>
          <w:color w:val="auto"/>
        </w:rPr>
        <w:t>(Name of Person(s) Filing Proxy Statement, if other than the Registrant)</w:t>
      </w:r>
    </w:p>
    <w:p>
      <w:pPr>
        <w:spacing w:after="0" w:line="184" w:lineRule="exact"/>
        <w:rPr>
          <w:sz w:val="24"/>
          <w:szCs w:val="24"/>
          <w:color w:val="auto"/>
        </w:rPr>
      </w:pPr>
    </w:p>
    <w:p>
      <w:pPr>
        <w:ind w:left="1140"/>
        <w:spacing w:after="0"/>
        <w:rPr>
          <w:sz w:val="20"/>
          <w:szCs w:val="20"/>
          <w:color w:val="auto"/>
        </w:rPr>
      </w:pPr>
      <w:r>
        <w:rPr>
          <w:rFonts w:ascii="Arial" w:cs="Arial" w:eastAsia="Arial" w:hAnsi="Arial"/>
          <w:sz w:val="16"/>
          <w:szCs w:val="16"/>
          <w:color w:val="auto"/>
        </w:rPr>
        <w:t>Payment of Filing Fee (Check the appropriate box):</w:t>
      </w:r>
    </w:p>
    <w:p>
      <w:pPr>
        <w:spacing w:after="0" w:line="221" w:lineRule="exact"/>
        <w:rPr>
          <w:sz w:val="24"/>
          <w:szCs w:val="24"/>
          <w:color w:val="auto"/>
        </w:rPr>
      </w:pPr>
    </w:p>
    <w:p>
      <w:pPr>
        <w:ind w:left="1520" w:hanging="375"/>
        <w:spacing w:after="0"/>
        <w:tabs>
          <w:tab w:leader="none" w:pos="1520"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No fee required.</w:t>
      </w:r>
    </w:p>
    <w:p>
      <w:pPr>
        <w:spacing w:after="0" w:line="233" w:lineRule="exact"/>
        <w:rPr>
          <w:sz w:val="24"/>
          <w:szCs w:val="24"/>
          <w:color w:val="auto"/>
        </w:rPr>
      </w:pPr>
    </w:p>
    <w:p>
      <w:pPr>
        <w:ind w:left="1520" w:hanging="375"/>
        <w:spacing w:after="0"/>
        <w:tabs>
          <w:tab w:leader="none" w:pos="1520" w:val="left"/>
        </w:tabs>
        <w:numPr>
          <w:ilvl w:val="0"/>
          <w:numId w:val="2"/>
        </w:numPr>
        <w:rPr>
          <w:rFonts w:ascii="Times New Roman" w:cs="Times New Roman" w:eastAsia="Times New Roman" w:hAnsi="Times New Roman"/>
          <w:sz w:val="16"/>
          <w:szCs w:val="16"/>
          <w:color w:val="auto"/>
        </w:rPr>
      </w:pPr>
      <w:r>
        <w:rPr>
          <w:rFonts w:ascii="Arial" w:cs="Arial" w:eastAsia="Arial" w:hAnsi="Arial"/>
          <w:sz w:val="16"/>
          <w:szCs w:val="16"/>
          <w:color w:val="auto"/>
        </w:rPr>
        <w:t>Fee computed on table below per Exchange Act Rules 14a-6(i)(1) and 0-11.</w:t>
      </w:r>
    </w:p>
    <w:p>
      <w:pPr>
        <w:spacing w:after="0" w:line="29" w:lineRule="exact"/>
        <w:rPr>
          <w:rFonts w:ascii="Times New Roman" w:cs="Times New Roman" w:eastAsia="Times New Roman" w:hAnsi="Times New Roman"/>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Title of each class of securities to which transaction applies:</w:t>
      </w:r>
    </w:p>
    <w:p>
      <w:pPr>
        <w:spacing w:after="0" w:line="178"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Aggregate number of securities to which transaction applies:</w:t>
      </w:r>
    </w:p>
    <w:p>
      <w:pPr>
        <w:spacing w:after="0" w:line="196" w:lineRule="exact"/>
        <w:rPr>
          <w:rFonts w:ascii="Arial" w:cs="Arial" w:eastAsia="Arial" w:hAnsi="Arial"/>
          <w:sz w:val="16"/>
          <w:szCs w:val="16"/>
          <w:color w:val="auto"/>
        </w:rPr>
      </w:pPr>
    </w:p>
    <w:p>
      <w:pPr>
        <w:ind w:left="1920" w:right="300" w:hanging="395"/>
        <w:spacing w:after="0" w:line="279" w:lineRule="auto"/>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Per unit price or other underlying value of transaction computed pursuant to Exchange Act Rule 0-11 (set forth the amount on which the filing fee is calculated and state how it was determined):</w:t>
      </w:r>
    </w:p>
    <w:p>
      <w:pPr>
        <w:spacing w:after="0" w:line="136"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Proposed maximum aggregate value of transaction:</w:t>
      </w:r>
    </w:p>
    <w:p>
      <w:pPr>
        <w:spacing w:after="0" w:line="196"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Total fee paid:</w:t>
      </w:r>
    </w:p>
    <w:p>
      <w:pPr>
        <w:spacing w:after="0" w:line="200" w:lineRule="exact"/>
        <w:rPr>
          <w:rFonts w:ascii="Arial" w:cs="Arial" w:eastAsia="Arial" w:hAnsi="Arial"/>
          <w:sz w:val="16"/>
          <w:szCs w:val="16"/>
          <w:color w:val="auto"/>
        </w:rPr>
      </w:pPr>
    </w:p>
    <w:p>
      <w:pPr>
        <w:spacing w:after="0" w:line="217" w:lineRule="exact"/>
        <w:rPr>
          <w:rFonts w:ascii="Arial" w:cs="Arial" w:eastAsia="Arial" w:hAnsi="Arial"/>
          <w:sz w:val="16"/>
          <w:szCs w:val="16"/>
          <w:color w:val="auto"/>
        </w:rPr>
      </w:pPr>
    </w:p>
    <w:p>
      <w:pPr>
        <w:ind w:left="1520" w:hanging="375"/>
        <w:spacing w:after="0"/>
        <w:tabs>
          <w:tab w:leader="none" w:pos="1520" w:val="left"/>
        </w:tabs>
        <w:numPr>
          <w:ilvl w:val="0"/>
          <w:numId w:val="2"/>
        </w:numPr>
        <w:rPr>
          <w:rFonts w:ascii="Times New Roman" w:cs="Times New Roman" w:eastAsia="Times New Roman" w:hAnsi="Times New Roman"/>
          <w:sz w:val="16"/>
          <w:szCs w:val="16"/>
          <w:color w:val="auto"/>
        </w:rPr>
      </w:pPr>
      <w:r>
        <w:rPr>
          <w:rFonts w:ascii="Arial" w:cs="Arial" w:eastAsia="Arial" w:hAnsi="Arial"/>
          <w:sz w:val="16"/>
          <w:szCs w:val="16"/>
          <w:color w:val="auto"/>
        </w:rPr>
        <w:t>Fee paid previously with preliminary materials.</w:t>
      </w:r>
    </w:p>
    <w:p>
      <w:pPr>
        <w:spacing w:after="0" w:line="232" w:lineRule="exact"/>
        <w:rPr>
          <w:rFonts w:ascii="Times New Roman" w:cs="Times New Roman" w:eastAsia="Times New Roman" w:hAnsi="Times New Roman"/>
          <w:sz w:val="16"/>
          <w:szCs w:val="16"/>
          <w:color w:val="auto"/>
        </w:rPr>
      </w:pPr>
    </w:p>
    <w:p>
      <w:pPr>
        <w:ind w:left="1520" w:hanging="375"/>
        <w:spacing w:after="0" w:line="259" w:lineRule="auto"/>
        <w:tabs>
          <w:tab w:leader="none" w:pos="1520" w:val="left"/>
        </w:tabs>
        <w:numPr>
          <w:ilvl w:val="0"/>
          <w:numId w:val="2"/>
        </w:numPr>
        <w:rPr>
          <w:rFonts w:ascii="Times New Roman" w:cs="Times New Roman" w:eastAsia="Times New Roman" w:hAnsi="Times New Roman"/>
          <w:sz w:val="16"/>
          <w:szCs w:val="16"/>
          <w:color w:val="auto"/>
        </w:rPr>
      </w:pPr>
      <w:r>
        <w:rPr>
          <w:rFonts w:ascii="Arial" w:cs="Arial" w:eastAsia="Arial" w:hAnsi="Arial"/>
          <w:sz w:val="16"/>
          <w:szCs w:val="16"/>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76" w:lineRule="exact"/>
        <w:rPr>
          <w:rFonts w:ascii="Times New Roman" w:cs="Times New Roman" w:eastAsia="Times New Roman" w:hAnsi="Times New Roman"/>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Amount Previously Paid:</w:t>
      </w:r>
    </w:p>
    <w:p>
      <w:pPr>
        <w:spacing w:after="0" w:line="196"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Form, Schedule or Registration Statement No.:</w:t>
      </w:r>
    </w:p>
    <w:p>
      <w:pPr>
        <w:spacing w:after="0" w:line="196"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Filing Party:</w:t>
      </w:r>
    </w:p>
    <w:p>
      <w:pPr>
        <w:spacing w:after="0" w:line="196" w:lineRule="exact"/>
        <w:rPr>
          <w:rFonts w:ascii="Arial" w:cs="Arial" w:eastAsia="Arial" w:hAnsi="Arial"/>
          <w:sz w:val="16"/>
          <w:szCs w:val="16"/>
          <w:color w:val="auto"/>
        </w:rPr>
      </w:pPr>
    </w:p>
    <w:p>
      <w:pPr>
        <w:ind w:left="1920" w:hanging="395"/>
        <w:spacing w:after="0"/>
        <w:tabs>
          <w:tab w:leader="none" w:pos="1920" w:val="left"/>
        </w:tabs>
        <w:numPr>
          <w:ilvl w:val="1"/>
          <w:numId w:val="2"/>
        </w:numPr>
        <w:rPr>
          <w:rFonts w:ascii="Arial" w:cs="Arial" w:eastAsia="Arial" w:hAnsi="Arial"/>
          <w:sz w:val="16"/>
          <w:szCs w:val="16"/>
          <w:color w:val="auto"/>
        </w:rPr>
      </w:pPr>
      <w:r>
        <w:rPr>
          <w:rFonts w:ascii="Arial" w:cs="Arial" w:eastAsia="Arial" w:hAnsi="Arial"/>
          <w:sz w:val="16"/>
          <w:szCs w:val="16"/>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195580</wp:posOffset>
            </wp:positionV>
            <wp:extent cx="7263765" cy="203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63765" cy="203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-2815590</wp:posOffset>
            </wp:positionV>
            <wp:extent cx="5304155" cy="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-2574290</wp:posOffset>
            </wp:positionV>
            <wp:extent cx="5304155"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-2216150</wp:posOffset>
            </wp:positionV>
            <wp:extent cx="5304155" cy="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-1974850</wp:posOffset>
            </wp:positionV>
            <wp:extent cx="5304155" cy="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-1732915</wp:posOffset>
            </wp:positionV>
            <wp:extent cx="5304155" cy="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-596265</wp:posOffset>
            </wp:positionV>
            <wp:extent cx="5304155" cy="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-354330</wp:posOffset>
            </wp:positionV>
            <wp:extent cx="5304155" cy="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-113030</wp:posOffset>
            </wp:positionV>
            <wp:extent cx="5304155" cy="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304155" cy="7620"/>
                    </a:xfrm>
                    <a:prstGeom prst="rect">
                      <a:avLst/>
                    </a:prstGeom>
                    <a:noFill/>
                  </pic:spPr>
                </pic:pic>
              </a:graphicData>
            </a:graphic>
          </wp:anchor>
        </w:drawing>
        <w:drawing>
          <wp:anchor simplePos="0" relativeHeight="251657728" behindDoc="1" locked="0" layoutInCell="0" allowOverlap="1">
            <wp:simplePos x="0" y="0"/>
            <wp:positionH relativeFrom="column">
              <wp:posOffset>1221740</wp:posOffset>
            </wp:positionH>
            <wp:positionV relativeFrom="paragraph">
              <wp:posOffset>127635</wp:posOffset>
            </wp:positionV>
            <wp:extent cx="5304155" cy="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304155" cy="7620"/>
                    </a:xfrm>
                    <a:prstGeom prst="rect">
                      <a:avLst/>
                    </a:prstGeom>
                    <a:noFill/>
                  </pic:spPr>
                </pic:pic>
              </a:graphicData>
            </a:graphic>
          </wp:anchor>
        </w:drawing>
      </w:r>
    </w:p>
    <w:p>
      <w:pPr>
        <w:sectPr>
          <w:pgSz w:w="11900" w:h="16838" w:orient="portrait"/>
          <w:cols w:equalWidth="0" w:num="1">
            <w:col w:w="10240"/>
          </w:cols>
          <w:pgMar w:left="240" w:top="630" w:right="1419" w:bottom="1440" w:gutter="0" w:footer="0" w:header="0"/>
          <w:type w:val="continuous"/>
        </w:sectPr>
      </w:pPr>
    </w:p>
    <w:bookmarkStart w:id="1" w:name="page2"/>
    <w:bookmarkEnd w:id="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148590</wp:posOffset>
            </wp:positionH>
            <wp:positionV relativeFrom="page">
              <wp:posOffset>88900</wp:posOffset>
            </wp:positionV>
            <wp:extent cx="7263765" cy="70669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63765" cy="70669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 w:name="page3"/>
    <w:bookmarkEnd w:id="2"/>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98" w:lineRule="exact"/>
        <w:rPr>
          <w:sz w:val="20"/>
          <w:szCs w:val="20"/>
          <w:color w:val="auto"/>
        </w:rPr>
      </w:pPr>
    </w:p>
    <w:p>
      <w:pPr>
        <w:ind w:left="9180"/>
        <w:spacing w:after="0"/>
        <w:rPr>
          <w:sz w:val="20"/>
          <w:szCs w:val="20"/>
          <w:color w:val="auto"/>
        </w:rPr>
      </w:pPr>
      <w:r>
        <w:rPr>
          <w:rFonts w:ascii="Arial" w:cs="Arial" w:eastAsia="Arial" w:hAnsi="Arial"/>
          <w:sz w:val="16"/>
          <w:szCs w:val="16"/>
          <w:b w:val="1"/>
          <w:bCs w:val="1"/>
          <w:color w:val="auto"/>
        </w:rPr>
        <w:t>Donald E. Brandt</w:t>
      </w:r>
    </w:p>
    <w:p>
      <w:pPr>
        <w:spacing w:after="0" w:line="22" w:lineRule="exact"/>
        <w:rPr>
          <w:sz w:val="20"/>
          <w:szCs w:val="20"/>
          <w:color w:val="auto"/>
        </w:rPr>
      </w:pPr>
    </w:p>
    <w:p>
      <w:pPr>
        <w:ind w:left="9180"/>
        <w:spacing w:after="0"/>
        <w:rPr>
          <w:sz w:val="20"/>
          <w:szCs w:val="20"/>
          <w:color w:val="auto"/>
        </w:rPr>
      </w:pPr>
      <w:r>
        <w:rPr>
          <w:rFonts w:ascii="Arial" w:cs="Arial" w:eastAsia="Arial" w:hAnsi="Arial"/>
          <w:sz w:val="16"/>
          <w:szCs w:val="16"/>
          <w:color w:val="auto"/>
        </w:rPr>
        <w:t>Chairman of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-94615</wp:posOffset>
            </wp:positionV>
            <wp:extent cx="1682115" cy="3270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682115" cy="327025"/>
                    </a:xfrm>
                    <a:prstGeom prst="rect">
                      <a:avLst/>
                    </a:prstGeom>
                    <a:noFill/>
                  </pic:spPr>
                </pic:pic>
              </a:graphicData>
            </a:graphic>
          </wp:anchor>
        </w:drawing>
      </w:r>
    </w:p>
    <w:p>
      <w:pPr>
        <w:ind w:left="9180"/>
        <w:spacing w:after="0"/>
        <w:rPr>
          <w:sz w:val="20"/>
          <w:szCs w:val="20"/>
          <w:color w:val="auto"/>
        </w:rPr>
      </w:pPr>
      <w:r>
        <w:rPr>
          <w:rFonts w:ascii="Arial" w:cs="Arial" w:eastAsia="Arial" w:hAnsi="Arial"/>
          <w:sz w:val="16"/>
          <w:szCs w:val="16"/>
          <w:color w:val="auto"/>
        </w:rPr>
        <w:t>President</w:t>
      </w:r>
    </w:p>
    <w:p>
      <w:pPr>
        <w:ind w:left="9180"/>
        <w:spacing w:after="0"/>
        <w:rPr>
          <w:sz w:val="20"/>
          <w:szCs w:val="20"/>
          <w:color w:val="auto"/>
        </w:rPr>
      </w:pPr>
      <w:r>
        <w:rPr>
          <w:rFonts w:ascii="Arial" w:cs="Arial" w:eastAsia="Arial" w:hAnsi="Arial"/>
          <w:sz w:val="16"/>
          <w:szCs w:val="16"/>
          <w:color w:val="auto"/>
        </w:rPr>
        <w:t>and Chief Executive Officer</w:t>
      </w:r>
    </w:p>
    <w:p>
      <w:pPr>
        <w:spacing w:after="0" w:line="163" w:lineRule="exact"/>
        <w:rPr>
          <w:sz w:val="20"/>
          <w:szCs w:val="20"/>
          <w:color w:val="auto"/>
        </w:rPr>
      </w:pPr>
    </w:p>
    <w:p>
      <w:pPr>
        <w:spacing w:after="0"/>
        <w:rPr>
          <w:sz w:val="20"/>
          <w:szCs w:val="20"/>
          <w:color w:val="auto"/>
        </w:rPr>
      </w:pPr>
      <w:r>
        <w:rPr>
          <w:rFonts w:ascii="Arial" w:cs="Arial" w:eastAsia="Arial" w:hAnsi="Arial"/>
          <w:sz w:val="20"/>
          <w:szCs w:val="20"/>
          <w:color w:val="auto"/>
        </w:rPr>
        <w:t>Dear Fellow Shareholder:</w:t>
      </w:r>
    </w:p>
    <w:p>
      <w:pPr>
        <w:spacing w:after="0" w:line="187" w:lineRule="exact"/>
        <w:rPr>
          <w:sz w:val="20"/>
          <w:szCs w:val="20"/>
          <w:color w:val="auto"/>
        </w:rPr>
      </w:pPr>
    </w:p>
    <w:p>
      <w:pPr>
        <w:spacing w:after="0"/>
        <w:rPr>
          <w:sz w:val="20"/>
          <w:szCs w:val="20"/>
          <w:color w:val="auto"/>
        </w:rPr>
      </w:pPr>
      <w:r>
        <w:rPr>
          <w:rFonts w:ascii="Arial" w:cs="Arial" w:eastAsia="Arial" w:hAnsi="Arial"/>
          <w:sz w:val="19"/>
          <w:szCs w:val="19"/>
          <w:color w:val="auto"/>
        </w:rPr>
        <w:t>On behalf of our Board of Directors, management and employees, I invite you to attend our 2016 Annual Meeting of Shareholders.</w:t>
      </w:r>
    </w:p>
    <w:p>
      <w:pPr>
        <w:spacing w:after="0" w:line="195" w:lineRule="exact"/>
        <w:rPr>
          <w:sz w:val="20"/>
          <w:szCs w:val="20"/>
          <w:color w:val="auto"/>
        </w:rPr>
      </w:pPr>
    </w:p>
    <w:p>
      <w:pPr>
        <w:ind w:right="300"/>
        <w:spacing w:after="0" w:line="269" w:lineRule="auto"/>
        <w:rPr>
          <w:sz w:val="20"/>
          <w:szCs w:val="20"/>
          <w:color w:val="auto"/>
        </w:rPr>
      </w:pPr>
      <w:r>
        <w:rPr>
          <w:rFonts w:ascii="Arial" w:cs="Arial" w:eastAsia="Arial" w:hAnsi="Arial"/>
          <w:sz w:val="20"/>
          <w:szCs w:val="20"/>
          <w:color w:val="auto"/>
        </w:rPr>
        <w:t xml:space="preserve">The meeting will be held at </w:t>
      </w:r>
      <w:r>
        <w:rPr>
          <w:rFonts w:ascii="Arial" w:cs="Arial" w:eastAsia="Arial" w:hAnsi="Arial"/>
          <w:sz w:val="20"/>
          <w:szCs w:val="20"/>
          <w:b w:val="1"/>
          <w:bCs w:val="1"/>
          <w:color w:val="auto"/>
        </w:rPr>
        <w:t>10:30 a.m.</w:t>
      </w:r>
      <w:r>
        <w:rPr>
          <w:rFonts w:ascii="Arial" w:cs="Arial" w:eastAsia="Arial" w:hAnsi="Arial"/>
          <w:sz w:val="20"/>
          <w:szCs w:val="20"/>
          <w:color w:val="auto"/>
        </w:rPr>
        <w:t xml:space="preserve"> (MST), </w:t>
      </w:r>
      <w:r>
        <w:rPr>
          <w:rFonts w:ascii="Arial" w:cs="Arial" w:eastAsia="Arial" w:hAnsi="Arial"/>
          <w:sz w:val="20"/>
          <w:szCs w:val="20"/>
          <w:b w:val="1"/>
          <w:bCs w:val="1"/>
          <w:color w:val="auto"/>
        </w:rPr>
        <w:t>Wednesday, May 18, 2016</w:t>
      </w:r>
      <w:r>
        <w:rPr>
          <w:rFonts w:ascii="Arial" w:cs="Arial" w:eastAsia="Arial" w:hAnsi="Arial"/>
          <w:sz w:val="20"/>
          <w:szCs w:val="20"/>
          <w:color w:val="auto"/>
        </w:rPr>
        <w:t>, at the Heard Museum, located at 2301 North Central Avenue in Phoenix, Arizona, 85004.</w:t>
      </w:r>
    </w:p>
    <w:p>
      <w:pPr>
        <w:spacing w:after="0" w:line="126" w:lineRule="exact"/>
        <w:rPr>
          <w:sz w:val="20"/>
          <w:szCs w:val="20"/>
          <w:color w:val="auto"/>
        </w:rPr>
      </w:pPr>
    </w:p>
    <w:p>
      <w:pPr>
        <w:ind w:right="20"/>
        <w:spacing w:after="0" w:line="265" w:lineRule="auto"/>
        <w:rPr>
          <w:sz w:val="20"/>
          <w:szCs w:val="20"/>
          <w:color w:val="auto"/>
        </w:rPr>
      </w:pPr>
      <w:r>
        <w:rPr>
          <w:rFonts w:ascii="Arial" w:cs="Arial" w:eastAsia="Arial" w:hAnsi="Arial"/>
          <w:sz w:val="20"/>
          <w:szCs w:val="20"/>
          <w:color w:val="auto"/>
        </w:rPr>
        <w:t>In 2015, our continued focus on managing costs and creating a sustainable energy future for Arizona enabled us to meet or exceed our goals, thus marking another successful year for Pinnacle West and your investment in our Company. In 2015:</w:t>
      </w:r>
    </w:p>
    <w:p>
      <w:pPr>
        <w:sectPr>
          <w:pgSz w:w="11900" w:h="16838" w:orient="portrait"/>
          <w:cols w:equalWidth="0" w:num="1">
            <w:col w:w="11400"/>
          </w:cols>
          <w:pgMar w:left="240" w:top="110" w:right="259" w:bottom="1440" w:gutter="0" w:footer="0" w:header="0"/>
        </w:sectPr>
      </w:pPr>
    </w:p>
    <w:p>
      <w:pPr>
        <w:spacing w:after="0" w:line="130" w:lineRule="exact"/>
        <w:rPr>
          <w:sz w:val="20"/>
          <w:szCs w:val="20"/>
          <w:color w:val="auto"/>
        </w:rPr>
      </w:pPr>
    </w:p>
    <w:p>
      <w:pPr>
        <w:ind w:left="580" w:hanging="287"/>
        <w:spacing w:after="0"/>
        <w:tabs>
          <w:tab w:leader="none" w:pos="580" w:val="left"/>
        </w:tabs>
        <w:numPr>
          <w:ilvl w:val="0"/>
          <w:numId w:val="3"/>
        </w:numPr>
        <w:rPr>
          <w:rFonts w:ascii="Arial" w:cs="Arial" w:eastAsia="Arial" w:hAnsi="Arial"/>
          <w:sz w:val="16"/>
          <w:szCs w:val="16"/>
          <w:color w:val="3A5575"/>
        </w:rPr>
      </w:pPr>
      <w:r>
        <w:rPr>
          <w:rFonts w:ascii="Arial" w:cs="Arial" w:eastAsia="Arial" w:hAnsi="Arial"/>
          <w:sz w:val="16"/>
          <w:szCs w:val="16"/>
          <w:color w:val="auto"/>
        </w:rPr>
        <w:t>Your Board increased the common dividend for the fourth straight year, raising it by 5%;</w:t>
      </w:r>
    </w:p>
    <w:p>
      <w:pPr>
        <w:spacing w:after="0" w:line="183" w:lineRule="exact"/>
        <w:rPr>
          <w:rFonts w:ascii="Arial" w:cs="Arial" w:eastAsia="Arial" w:hAnsi="Arial"/>
          <w:sz w:val="16"/>
          <w:szCs w:val="16"/>
          <w:color w:val="3A5575"/>
        </w:rPr>
      </w:pPr>
    </w:p>
    <w:p>
      <w:pPr>
        <w:ind w:left="580" w:hanging="287"/>
        <w:spacing w:after="0" w:line="279" w:lineRule="auto"/>
        <w:tabs>
          <w:tab w:leader="none" w:pos="580" w:val="left"/>
        </w:tabs>
        <w:numPr>
          <w:ilvl w:val="0"/>
          <w:numId w:val="3"/>
        </w:numPr>
        <w:rPr>
          <w:rFonts w:ascii="Arial" w:cs="Arial" w:eastAsia="Arial" w:hAnsi="Arial"/>
          <w:sz w:val="16"/>
          <w:szCs w:val="16"/>
          <w:color w:val="3A5575"/>
        </w:rPr>
      </w:pPr>
      <w:r>
        <w:rPr>
          <w:rFonts w:ascii="Arial" w:cs="Arial" w:eastAsia="Arial" w:hAnsi="Arial"/>
          <w:sz w:val="16"/>
          <w:szCs w:val="16"/>
          <w:color w:val="auto"/>
        </w:rPr>
        <w:t>Our earnings were $437 million, or $3.92 per share, which is a 9.5% increase over our 2014 earnings per share; and</w:t>
      </w:r>
    </w:p>
    <w:p>
      <w:pPr>
        <w:spacing w:after="0" w:line="124" w:lineRule="exact"/>
        <w:rPr>
          <w:rFonts w:ascii="Arial" w:cs="Arial" w:eastAsia="Arial" w:hAnsi="Arial"/>
          <w:sz w:val="16"/>
          <w:szCs w:val="16"/>
          <w:color w:val="3A5575"/>
        </w:rPr>
      </w:pPr>
    </w:p>
    <w:p>
      <w:pPr>
        <w:ind w:left="580" w:hanging="287"/>
        <w:spacing w:after="0"/>
        <w:tabs>
          <w:tab w:leader="none" w:pos="580" w:val="left"/>
        </w:tabs>
        <w:numPr>
          <w:ilvl w:val="0"/>
          <w:numId w:val="3"/>
        </w:numPr>
        <w:rPr>
          <w:rFonts w:ascii="Arial" w:cs="Arial" w:eastAsia="Arial" w:hAnsi="Arial"/>
          <w:sz w:val="16"/>
          <w:szCs w:val="16"/>
          <w:color w:val="3A5575"/>
        </w:rPr>
      </w:pPr>
      <w:r>
        <w:rPr>
          <w:rFonts w:ascii="Arial" w:cs="Arial" w:eastAsia="Arial" w:hAnsi="Arial"/>
          <w:sz w:val="16"/>
          <w:szCs w:val="16"/>
          <w:color w:val="auto"/>
        </w:rPr>
        <w:t>Our share price reached a new all-time high and new 52-week intraday highs on four trading days.</w:t>
      </w:r>
    </w:p>
    <w:p>
      <w:pPr>
        <w:spacing w:after="0" w:line="20" w:lineRule="exact"/>
        <w:rPr>
          <w:sz w:val="20"/>
          <w:szCs w:val="20"/>
          <w:color w:val="auto"/>
        </w:rPr>
      </w:pPr>
      <w:r>
        <w:rPr>
          <w:sz w:val="20"/>
          <w:szCs w:val="20"/>
          <w:color w:val="auto"/>
        </w:rPr>
        <w:br w:type="column"/>
      </w:r>
    </w:p>
    <w:p>
      <w:pPr>
        <w:spacing w:after="0" w:line="125"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3A5575"/>
        </w:rPr>
        <w:t>Additional highlighted</w:t>
      </w:r>
    </w:p>
    <w:p>
      <w:pPr>
        <w:spacing w:after="0" w:line="18" w:lineRule="exact"/>
        <w:rPr>
          <w:sz w:val="20"/>
          <w:szCs w:val="20"/>
          <w:color w:val="auto"/>
        </w:rPr>
      </w:pPr>
    </w:p>
    <w:p>
      <w:pPr>
        <w:jc w:val="both"/>
        <w:ind w:firstLine="96"/>
        <w:spacing w:after="0" w:line="271" w:lineRule="auto"/>
        <w:rPr>
          <w:sz w:val="20"/>
          <w:szCs w:val="20"/>
          <w:color w:val="auto"/>
        </w:rPr>
      </w:pPr>
      <w:r>
        <w:rPr>
          <w:rFonts w:ascii="Arial" w:cs="Arial" w:eastAsia="Arial" w:hAnsi="Arial"/>
          <w:sz w:val="15"/>
          <w:szCs w:val="15"/>
          <w:i w:val="1"/>
          <w:iCs w:val="1"/>
          <w:color w:val="3A5575"/>
        </w:rPr>
        <w:t>accomplishments of our Company's 2015 performance are set forth in the Proxy Statement beginning on page 1.</w:t>
      </w:r>
    </w:p>
    <w:p>
      <w:pPr>
        <w:spacing w:after="0" w:line="486" w:lineRule="exact"/>
        <w:rPr>
          <w:sz w:val="20"/>
          <w:szCs w:val="20"/>
          <w:color w:val="auto"/>
        </w:rPr>
      </w:pPr>
    </w:p>
    <w:p>
      <w:pPr>
        <w:sectPr>
          <w:pgSz w:w="11900" w:h="16838" w:orient="portrait"/>
          <w:cols w:equalWidth="0" w:num="2">
            <w:col w:w="7980" w:space="700"/>
            <w:col w:w="2720"/>
          </w:cols>
          <w:pgMar w:left="240" w:top="110" w:right="259" w:bottom="1440" w:gutter="0" w:footer="0" w:header="0"/>
          <w:type w:val="continuous"/>
        </w:sectPr>
      </w:pPr>
    </w:p>
    <w:p>
      <w:pPr>
        <w:ind w:right="140"/>
        <w:spacing w:after="0" w:line="242" w:lineRule="auto"/>
        <w:rPr>
          <w:sz w:val="20"/>
          <w:szCs w:val="20"/>
          <w:color w:val="auto"/>
        </w:rPr>
      </w:pPr>
      <w:r>
        <w:rPr>
          <w:rFonts w:ascii="Arial" w:cs="Arial" w:eastAsia="Arial" w:hAnsi="Arial"/>
          <w:sz w:val="20"/>
          <w:szCs w:val="20"/>
          <w:color w:val="auto"/>
        </w:rPr>
        <w:t>At this year's Annual Meeting, we will share additional updates with you on the Company's recent performance and operations. As explained in the attached Proxy Statement, we are asking you to: (1) elect ten Board of Director nominees; (2) consider and vote FOR an advisory resolution to approve executive compensation; (3) ratify the appointment of our independent public accounting firm for 2016; and (4) consider a shareholder proposal, if properly presented at the meeting.</w:t>
      </w:r>
    </w:p>
    <w:p>
      <w:pPr>
        <w:spacing w:after="0" w:line="152" w:lineRule="exact"/>
        <w:rPr>
          <w:sz w:val="20"/>
          <w:szCs w:val="20"/>
          <w:color w:val="auto"/>
        </w:rPr>
      </w:pPr>
    </w:p>
    <w:p>
      <w:pPr>
        <w:ind w:right="40"/>
        <w:spacing w:after="0" w:line="247" w:lineRule="auto"/>
        <w:rPr>
          <w:sz w:val="20"/>
          <w:szCs w:val="20"/>
          <w:color w:val="auto"/>
        </w:rPr>
      </w:pPr>
      <w:r>
        <w:rPr>
          <w:rFonts w:ascii="Arial" w:cs="Arial" w:eastAsia="Arial" w:hAnsi="Arial"/>
          <w:sz w:val="20"/>
          <w:szCs w:val="20"/>
          <w:color w:val="auto"/>
        </w:rPr>
        <w:t>Last, but not least, your vote is important to us. Whether or not you plan to attend the Annual Meeting in person, we encourage you to vote promptly. You may vote over the Internet; by telephone; by completing, signing, dating and returning a proxy card or voting instruction form; or by voting in person at the meeting.</w:t>
      </w:r>
    </w:p>
    <w:p>
      <w:pPr>
        <w:spacing w:after="0" w:line="149" w:lineRule="exact"/>
        <w:rPr>
          <w:sz w:val="20"/>
          <w:szCs w:val="20"/>
          <w:color w:val="auto"/>
        </w:rPr>
      </w:pPr>
    </w:p>
    <w:p>
      <w:pPr>
        <w:ind w:right="400"/>
        <w:spacing w:after="0" w:line="265" w:lineRule="auto"/>
        <w:rPr>
          <w:sz w:val="20"/>
          <w:szCs w:val="20"/>
          <w:color w:val="auto"/>
        </w:rPr>
      </w:pPr>
      <w:r>
        <w:rPr>
          <w:rFonts w:ascii="Arial" w:cs="Arial" w:eastAsia="Arial" w:hAnsi="Arial"/>
          <w:sz w:val="20"/>
          <w:szCs w:val="20"/>
          <w:color w:val="auto"/>
        </w:rPr>
        <w:t>Thank you for the confidence you place in Pinnacle West through your investment. We look forward to seeing you at this year's Annual Meeting.</w:t>
      </w:r>
    </w:p>
    <w:p>
      <w:pPr>
        <w:spacing w:after="0" w:line="130" w:lineRule="exact"/>
        <w:rPr>
          <w:sz w:val="20"/>
          <w:szCs w:val="20"/>
          <w:color w:val="auto"/>
        </w:rPr>
      </w:pPr>
    </w:p>
    <w:p>
      <w:pPr>
        <w:spacing w:after="0"/>
        <w:rPr>
          <w:sz w:val="20"/>
          <w:szCs w:val="20"/>
          <w:color w:val="auto"/>
        </w:rPr>
      </w:pPr>
      <w:r>
        <w:rPr>
          <w:rFonts w:ascii="Arial" w:cs="Arial" w:eastAsia="Arial" w:hAnsi="Arial"/>
          <w:sz w:val="20"/>
          <w:szCs w:val="20"/>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1101090</wp:posOffset>
            </wp:positionV>
            <wp:extent cx="7263765" cy="203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63765" cy="2032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137795</wp:posOffset>
            </wp:positionV>
            <wp:extent cx="1962785" cy="8413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962785" cy="841375"/>
                    </a:xfrm>
                    <a:prstGeom prst="rect">
                      <a:avLst/>
                    </a:prstGeom>
                    <a:noFill/>
                  </pic:spPr>
                </pic:pic>
              </a:graphicData>
            </a:graphic>
          </wp:anchor>
        </w:drawing>
      </w:r>
    </w:p>
    <w:p>
      <w:pPr>
        <w:sectPr>
          <w:pgSz w:w="11900" w:h="16838" w:orient="portrait"/>
          <w:cols w:equalWidth="0" w:num="1">
            <w:col w:w="11400"/>
          </w:cols>
          <w:pgMar w:left="240" w:top="110" w:right="259" w:bottom="1440" w:gutter="0" w:footer="0" w:header="0"/>
          <w:type w:val="continuous"/>
        </w:sectPr>
      </w:pPr>
    </w:p>
    <w:bookmarkStart w:id="3" w:name="page4"/>
    <w:bookmarkEnd w:id="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161290</wp:posOffset>
            </wp:positionV>
            <wp:extent cx="1682115" cy="3270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682115" cy="327025"/>
                    </a:xfrm>
                    <a:prstGeom prst="rect">
                      <a:avLst/>
                    </a:prstGeom>
                    <a:noFill/>
                  </pic:spPr>
                </pic:pic>
              </a:graphicData>
            </a:graphic>
          </wp:anchor>
        </w:drawing>
      </w:r>
    </w:p>
    <w:p>
      <w:pPr>
        <w:spacing w:after="0" w:line="362" w:lineRule="exact"/>
        <w:rPr>
          <w:sz w:val="20"/>
          <w:szCs w:val="20"/>
          <w:color w:val="auto"/>
        </w:rPr>
      </w:pPr>
    </w:p>
    <w:p>
      <w:pPr>
        <w:ind w:left="9180"/>
        <w:spacing w:after="0"/>
        <w:rPr>
          <w:sz w:val="20"/>
          <w:szCs w:val="20"/>
          <w:color w:val="auto"/>
        </w:rPr>
      </w:pPr>
      <w:r>
        <w:rPr>
          <w:rFonts w:ascii="Arial" w:cs="Arial" w:eastAsia="Arial" w:hAnsi="Arial"/>
          <w:sz w:val="16"/>
          <w:szCs w:val="16"/>
          <w:b w:val="1"/>
          <w:bCs w:val="1"/>
          <w:color w:val="auto"/>
        </w:rPr>
        <w:t>Kathryn L. Munro</w:t>
      </w:r>
    </w:p>
    <w:p>
      <w:pPr>
        <w:spacing w:after="0" w:line="22" w:lineRule="exact"/>
        <w:rPr>
          <w:sz w:val="20"/>
          <w:szCs w:val="20"/>
          <w:color w:val="auto"/>
        </w:rPr>
      </w:pPr>
    </w:p>
    <w:p>
      <w:pPr>
        <w:ind w:left="9180"/>
        <w:spacing w:after="0"/>
        <w:rPr>
          <w:sz w:val="20"/>
          <w:szCs w:val="20"/>
          <w:color w:val="auto"/>
        </w:rPr>
      </w:pPr>
      <w:r>
        <w:rPr>
          <w:rFonts w:ascii="Arial" w:cs="Arial" w:eastAsia="Arial" w:hAnsi="Arial"/>
          <w:sz w:val="16"/>
          <w:szCs w:val="16"/>
          <w:color w:val="auto"/>
        </w:rPr>
        <w:t>Lead Director</w:t>
      </w:r>
    </w:p>
    <w:p>
      <w:pPr>
        <w:spacing w:after="0" w:line="163" w:lineRule="exact"/>
        <w:rPr>
          <w:sz w:val="20"/>
          <w:szCs w:val="20"/>
          <w:color w:val="auto"/>
        </w:rPr>
      </w:pPr>
    </w:p>
    <w:p>
      <w:pPr>
        <w:spacing w:after="0"/>
        <w:rPr>
          <w:sz w:val="20"/>
          <w:szCs w:val="20"/>
          <w:color w:val="auto"/>
        </w:rPr>
      </w:pPr>
      <w:r>
        <w:rPr>
          <w:rFonts w:ascii="Arial" w:cs="Arial" w:eastAsia="Arial" w:hAnsi="Arial"/>
          <w:sz w:val="20"/>
          <w:szCs w:val="20"/>
          <w:color w:val="auto"/>
        </w:rPr>
        <w:t>To Our Shareholders:</w:t>
      </w:r>
    </w:p>
    <w:p>
      <w:pPr>
        <w:spacing w:after="0" w:line="187" w:lineRule="exact"/>
        <w:rPr>
          <w:sz w:val="20"/>
          <w:szCs w:val="20"/>
          <w:color w:val="auto"/>
        </w:rPr>
      </w:pPr>
    </w:p>
    <w:p>
      <w:pPr>
        <w:spacing w:after="0" w:line="247" w:lineRule="auto"/>
        <w:rPr>
          <w:sz w:val="20"/>
          <w:szCs w:val="20"/>
          <w:color w:val="auto"/>
        </w:rPr>
      </w:pPr>
      <w:r>
        <w:rPr>
          <w:rFonts w:ascii="Arial" w:cs="Arial" w:eastAsia="Arial" w:hAnsi="Arial"/>
          <w:sz w:val="20"/>
          <w:szCs w:val="20"/>
          <w:color w:val="auto"/>
        </w:rPr>
        <w:t>First and foremost, on behalf of your Board of Directors, we would like to take this opportunity to tell our fellow shareholders how honored we are to represent your interests as your Board. This is not a commitment we take lightly, and we want you to be assured that we are dedicated to our Company and its continued success.</w:t>
      </w:r>
    </w:p>
    <w:p>
      <w:pPr>
        <w:spacing w:after="0" w:line="149" w:lineRule="exact"/>
        <w:rPr>
          <w:sz w:val="20"/>
          <w:szCs w:val="20"/>
          <w:color w:val="auto"/>
        </w:rPr>
      </w:pPr>
    </w:p>
    <w:p>
      <w:pPr>
        <w:ind w:right="200"/>
        <w:spacing w:after="0" w:line="247" w:lineRule="auto"/>
        <w:rPr>
          <w:sz w:val="20"/>
          <w:szCs w:val="20"/>
          <w:color w:val="auto"/>
        </w:rPr>
      </w:pPr>
      <w:r>
        <w:rPr>
          <w:rFonts w:ascii="Arial" w:cs="Arial" w:eastAsia="Arial" w:hAnsi="Arial"/>
          <w:sz w:val="20"/>
          <w:szCs w:val="20"/>
          <w:color w:val="auto"/>
        </w:rPr>
        <w:t>Don Brandt became our Chairman of the Board and Chief Executive Officer in April 2009. He brought to the Company a focus on returning to our core business of operating and investing in a vertically integrated electric utility. He has built a strong leadership team, and the results are impressive. Here are several examples of our improved performance:</w:t>
      </w:r>
    </w:p>
    <w:p>
      <w:pPr>
        <w:spacing w:after="0" w:line="136" w:lineRule="exact"/>
        <w:rPr>
          <w:sz w:val="20"/>
          <w:szCs w:val="20"/>
          <w:color w:val="auto"/>
        </w:rPr>
      </w:pPr>
    </w:p>
    <w:p>
      <w:pPr>
        <w:ind w:left="980" w:right="220" w:hanging="491"/>
        <w:spacing w:after="0" w:line="221" w:lineRule="auto"/>
        <w:tabs>
          <w:tab w:leader="none" w:pos="980" w:val="left"/>
        </w:tabs>
        <w:numPr>
          <w:ilvl w:val="0"/>
          <w:numId w:val="4"/>
        </w:numPr>
        <w:rPr>
          <w:rFonts w:ascii="Arial" w:cs="Arial" w:eastAsia="Arial" w:hAnsi="Arial"/>
          <w:sz w:val="20"/>
          <w:szCs w:val="20"/>
          <w:color w:val="3A5575"/>
        </w:rPr>
      </w:pPr>
      <w:r>
        <w:rPr>
          <w:rFonts w:ascii="Arial" w:cs="Arial" w:eastAsia="Arial" w:hAnsi="Arial"/>
          <w:sz w:val="20"/>
          <w:szCs w:val="20"/>
          <w:b w:val="1"/>
          <w:bCs w:val="1"/>
          <w:i w:val="1"/>
          <w:iCs w:val="1"/>
          <w:u w:val="single" w:color="auto"/>
          <w:color w:val="auto"/>
        </w:rPr>
        <w:t>Total Shareholder Return</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Since April 2009, our Company's total shareholder return (stock price appreciation plus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dividends) ("TSR") has outperformed that of the S&amp;P 1500 Electric Utility Index by over 111%. Also during this period, the Company has delivered an annualized TSR of 18.8%, and ranked 6</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out of 15 in our Peer Group (as defined on page 40 of the Proxy Statement) in annualized TSR;</w:t>
      </w:r>
    </w:p>
    <w:p>
      <w:pPr>
        <w:spacing w:after="0" w:line="178" w:lineRule="exact"/>
        <w:rPr>
          <w:rFonts w:ascii="Arial" w:cs="Arial" w:eastAsia="Arial" w:hAnsi="Arial"/>
          <w:sz w:val="20"/>
          <w:szCs w:val="20"/>
          <w:color w:val="3A5575"/>
        </w:rPr>
      </w:pPr>
    </w:p>
    <w:p>
      <w:pPr>
        <w:ind w:left="980" w:right="340" w:hanging="491"/>
        <w:spacing w:after="0" w:line="265" w:lineRule="auto"/>
        <w:tabs>
          <w:tab w:leader="none" w:pos="980" w:val="left"/>
        </w:tabs>
        <w:numPr>
          <w:ilvl w:val="0"/>
          <w:numId w:val="4"/>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Earnings Performance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The compounded annual growth rate of Pinnacle West's earnings from 2009 to 2015 was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36.4% compared to –19.0% from 2003 to 2009;</w:t>
      </w:r>
    </w:p>
    <w:p>
      <w:pPr>
        <w:spacing w:after="0" w:line="142" w:lineRule="exact"/>
        <w:rPr>
          <w:rFonts w:ascii="Arial" w:cs="Arial" w:eastAsia="Arial" w:hAnsi="Arial"/>
          <w:sz w:val="20"/>
          <w:szCs w:val="20"/>
          <w:color w:val="053582"/>
        </w:rPr>
      </w:pPr>
    </w:p>
    <w:p>
      <w:pPr>
        <w:ind w:left="980" w:hanging="491"/>
        <w:spacing w:after="0"/>
        <w:tabs>
          <w:tab w:leader="none" w:pos="980" w:val="left"/>
        </w:tabs>
        <w:numPr>
          <w:ilvl w:val="0"/>
          <w:numId w:val="4"/>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Return on Equity</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Pinnacle West's average return on equity from 2010 to 2015 was 9.6% compared to 7.1% from</w:t>
      </w:r>
    </w:p>
    <w:p>
      <w:pPr>
        <w:spacing w:after="0" w:line="14" w:lineRule="exact"/>
        <w:rPr>
          <w:rFonts w:ascii="Arial" w:cs="Arial" w:eastAsia="Arial" w:hAnsi="Arial"/>
          <w:sz w:val="20"/>
          <w:szCs w:val="20"/>
          <w:color w:val="053582"/>
        </w:rPr>
      </w:pPr>
    </w:p>
    <w:p>
      <w:pPr>
        <w:ind w:left="980"/>
        <w:spacing w:after="0"/>
        <w:rPr>
          <w:rFonts w:ascii="Arial" w:cs="Arial" w:eastAsia="Arial" w:hAnsi="Arial"/>
          <w:sz w:val="20"/>
          <w:szCs w:val="20"/>
          <w:color w:val="053582"/>
        </w:rPr>
      </w:pPr>
      <w:r>
        <w:rPr>
          <w:rFonts w:ascii="Arial" w:cs="Arial" w:eastAsia="Arial" w:hAnsi="Arial"/>
          <w:sz w:val="20"/>
          <w:szCs w:val="20"/>
          <w:color w:val="auto"/>
        </w:rPr>
        <w:t>2003 to 2009:</w:t>
      </w:r>
    </w:p>
    <w:p>
      <w:pPr>
        <w:spacing w:after="0" w:line="175" w:lineRule="exact"/>
        <w:rPr>
          <w:rFonts w:ascii="Arial" w:cs="Arial" w:eastAsia="Arial" w:hAnsi="Arial"/>
          <w:sz w:val="20"/>
          <w:szCs w:val="20"/>
          <w:color w:val="053582"/>
        </w:rPr>
      </w:pPr>
    </w:p>
    <w:p>
      <w:pPr>
        <w:ind w:left="980" w:right="160" w:hanging="491"/>
        <w:spacing w:after="0" w:line="265" w:lineRule="auto"/>
        <w:tabs>
          <w:tab w:leader="none" w:pos="980" w:val="left"/>
        </w:tabs>
        <w:numPr>
          <w:ilvl w:val="0"/>
          <w:numId w:val="4"/>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Dividend</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Since 2012, the Company has raised the dividend as follows: 2012 by 3.8%; 2013 by 4.1%; 2014 by 4.8%;</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and 2015 by 5%; and</w:t>
      </w:r>
    </w:p>
    <w:p>
      <w:pPr>
        <w:spacing w:after="0" w:line="154" w:lineRule="exact"/>
        <w:rPr>
          <w:rFonts w:ascii="Arial" w:cs="Arial" w:eastAsia="Arial" w:hAnsi="Arial"/>
          <w:sz w:val="20"/>
          <w:szCs w:val="20"/>
          <w:color w:val="053582"/>
        </w:rPr>
      </w:pPr>
    </w:p>
    <w:p>
      <w:pPr>
        <w:ind w:left="980" w:right="360" w:hanging="491"/>
        <w:spacing w:after="0" w:line="265" w:lineRule="auto"/>
        <w:tabs>
          <w:tab w:leader="none" w:pos="980" w:val="left"/>
        </w:tabs>
        <w:numPr>
          <w:ilvl w:val="0"/>
          <w:numId w:val="4"/>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APS's Credit Rating</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Standard and Poor's senior unsecured credit rating for APS was upgraded three levels since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2009 improving from BBB– to the current A–.</w:t>
      </w:r>
    </w:p>
    <w:p>
      <w:pPr>
        <w:spacing w:after="0" w:line="130" w:lineRule="exact"/>
        <w:rPr>
          <w:sz w:val="20"/>
          <w:szCs w:val="20"/>
          <w:color w:val="auto"/>
        </w:rPr>
      </w:pPr>
    </w:p>
    <w:p>
      <w:pPr>
        <w:spacing w:after="0" w:line="239" w:lineRule="auto"/>
        <w:rPr>
          <w:sz w:val="20"/>
          <w:szCs w:val="20"/>
          <w:color w:val="auto"/>
        </w:rPr>
      </w:pPr>
      <w:r>
        <w:rPr>
          <w:rFonts w:ascii="Arial" w:cs="Arial" w:eastAsia="Arial" w:hAnsi="Arial"/>
          <w:sz w:val="20"/>
          <w:szCs w:val="20"/>
          <w:color w:val="auto"/>
        </w:rPr>
        <w:t>The Board's most significant priorities in 2015 included a continued focus on setting a sustainable long-term view for the success of the Company. This focus includes the reliability and security of the electric power grid, the changing needs and preferences of our customers, and the continued successful operation of our generation, transmission and distribution assets, including Palo Verde Nuclear Generating Station, the largest nuclear generating station in the United States. We also addressed leadership development, succession planning and aligning our compensation programs with performance.</w:t>
      </w:r>
    </w:p>
    <w:p>
      <w:pPr>
        <w:spacing w:after="0" w:line="155" w:lineRule="exact"/>
        <w:rPr>
          <w:sz w:val="20"/>
          <w:szCs w:val="20"/>
          <w:color w:val="auto"/>
        </w:rPr>
      </w:pPr>
    </w:p>
    <w:p>
      <w:pPr>
        <w:spacing w:after="0"/>
        <w:rPr>
          <w:sz w:val="20"/>
          <w:szCs w:val="20"/>
          <w:color w:val="auto"/>
        </w:rPr>
      </w:pPr>
      <w:r>
        <w:rPr>
          <w:rFonts w:ascii="Arial" w:cs="Arial" w:eastAsia="Arial" w:hAnsi="Arial"/>
          <w:sz w:val="20"/>
          <w:szCs w:val="20"/>
          <w:color w:val="auto"/>
        </w:rPr>
        <w:t>I would like to take this opportunity to highlight some areas of interest to our shareholders that we specifically addressed:</w:t>
      </w:r>
    </w:p>
    <w:p>
      <w:pPr>
        <w:spacing w:after="0" w:line="175" w:lineRule="exact"/>
        <w:rPr>
          <w:sz w:val="20"/>
          <w:szCs w:val="20"/>
          <w:color w:val="auto"/>
        </w:rPr>
      </w:pPr>
    </w:p>
    <w:p>
      <w:pPr>
        <w:ind w:left="980" w:right="20" w:hanging="491"/>
        <w:spacing w:after="0" w:line="239" w:lineRule="auto"/>
        <w:tabs>
          <w:tab w:leader="none" w:pos="980" w:val="left"/>
        </w:tabs>
        <w:numPr>
          <w:ilvl w:val="0"/>
          <w:numId w:val="5"/>
        </w:numPr>
        <w:rPr>
          <w:rFonts w:ascii="Arial" w:cs="Arial" w:eastAsia="Arial" w:hAnsi="Arial"/>
          <w:sz w:val="20"/>
          <w:szCs w:val="20"/>
          <w:color w:val="3A5575"/>
        </w:rPr>
      </w:pPr>
      <w:r>
        <w:rPr>
          <w:rFonts w:ascii="Arial" w:cs="Arial" w:eastAsia="Arial" w:hAnsi="Arial"/>
          <w:sz w:val="20"/>
          <w:szCs w:val="20"/>
          <w:b w:val="1"/>
          <w:bCs w:val="1"/>
          <w:i w:val="1"/>
          <w:iCs w:val="1"/>
          <w:u w:val="single" w:color="auto"/>
          <w:color w:val="auto"/>
        </w:rPr>
        <w:t>Revised CEO Incentive Plan</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Through the Company's ongoing shareholder engagement, we received feedback</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regarding the Human Resources Committee's ability to exercise discretion with respect to the CEO Incentive Plan. We have amended the CEO Incentive Plan to provide detailed metrics against which his performance will be measured and to limit the exercise of discretion solely to the occurrence of unanticipated events that might arise during the performance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114935</wp:posOffset>
            </wp:positionV>
            <wp:extent cx="7263765" cy="203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360"/>
          </w:cols>
          <w:pgMar w:left="240" w:top="110" w:right="299" w:bottom="1440" w:gutter="0" w:footer="0" w:header="0"/>
        </w:sectPr>
      </w:pPr>
    </w:p>
    <w:bookmarkStart w:id="4" w:name="page5"/>
    <w:bookmarkEnd w:id="4"/>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75" w:lineRule="exact"/>
        <w:rPr>
          <w:sz w:val="20"/>
          <w:szCs w:val="20"/>
          <w:color w:val="auto"/>
        </w:rPr>
      </w:pPr>
    </w:p>
    <w:p>
      <w:pPr>
        <w:ind w:left="980" w:hanging="491"/>
        <w:spacing w:after="0" w:line="247" w:lineRule="auto"/>
        <w:tabs>
          <w:tab w:leader="none" w:pos="980" w:val="left"/>
        </w:tabs>
        <w:numPr>
          <w:ilvl w:val="0"/>
          <w:numId w:val="6"/>
        </w:numPr>
        <w:rPr>
          <w:rFonts w:ascii="Arial" w:cs="Arial" w:eastAsia="Arial" w:hAnsi="Arial"/>
          <w:sz w:val="20"/>
          <w:szCs w:val="20"/>
          <w:color w:val="3A5575"/>
        </w:rPr>
      </w:pPr>
      <w:r>
        <w:rPr>
          <w:rFonts w:ascii="Arial" w:cs="Arial" w:eastAsia="Arial" w:hAnsi="Arial"/>
          <w:sz w:val="20"/>
          <w:szCs w:val="20"/>
          <w:b w:val="1"/>
          <w:bCs w:val="1"/>
          <w:i w:val="1"/>
          <w:iCs w:val="1"/>
          <w:u w:val="single" w:color="auto"/>
          <w:color w:val="auto"/>
        </w:rPr>
        <w:t>Increased Performance Component in Equity Awards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In prior years, the value of our annual long-term equity</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incentive awards were 55% performance-based and 45% time-based. Starting in 2016, we have revised that ratio to be 60% performance-based and 40% time-based to more closely align pay with long-term performance.</w:t>
      </w:r>
    </w:p>
    <w:p>
      <w:pPr>
        <w:spacing w:after="0" w:line="173" w:lineRule="exact"/>
        <w:rPr>
          <w:rFonts w:ascii="Arial" w:cs="Arial" w:eastAsia="Arial" w:hAnsi="Arial"/>
          <w:sz w:val="20"/>
          <w:szCs w:val="20"/>
          <w:color w:val="3A5575"/>
        </w:rPr>
      </w:pPr>
    </w:p>
    <w:p>
      <w:pPr>
        <w:ind w:left="980" w:right="20" w:hanging="491"/>
        <w:spacing w:after="0" w:line="242" w:lineRule="auto"/>
        <w:tabs>
          <w:tab w:leader="none" w:pos="980" w:val="left"/>
        </w:tabs>
        <w:numPr>
          <w:ilvl w:val="0"/>
          <w:numId w:val="6"/>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CEO Stock Ownership Guidelines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We have increased the CEO's formal stock ownership guideline requirement to a</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level corresponding more closely with our peers. As noted on pages 33 and 64 of the Proxy Statement, our Chief Executive Officer maintains a substantial ownership stake in our stock exceeding the formal guideline, aligning his interests with our shareholders.</w:t>
      </w:r>
    </w:p>
    <w:p>
      <w:pPr>
        <w:spacing w:after="0" w:line="164" w:lineRule="exact"/>
        <w:rPr>
          <w:rFonts w:ascii="Arial" w:cs="Arial" w:eastAsia="Arial" w:hAnsi="Arial"/>
          <w:sz w:val="20"/>
          <w:szCs w:val="20"/>
          <w:color w:val="053582"/>
        </w:rPr>
      </w:pPr>
    </w:p>
    <w:p>
      <w:pPr>
        <w:jc w:val="both"/>
        <w:ind w:left="980" w:right="120" w:hanging="491"/>
        <w:spacing w:after="0" w:line="247" w:lineRule="auto"/>
        <w:tabs>
          <w:tab w:leader="none" w:pos="980" w:val="left"/>
        </w:tabs>
        <w:numPr>
          <w:ilvl w:val="0"/>
          <w:numId w:val="6"/>
        </w:numPr>
        <w:rPr>
          <w:rFonts w:ascii="Arial" w:cs="Arial" w:eastAsia="Arial" w:hAnsi="Arial"/>
          <w:sz w:val="20"/>
          <w:szCs w:val="20"/>
          <w:color w:val="053582"/>
        </w:rPr>
      </w:pPr>
      <w:r>
        <w:rPr>
          <w:rFonts w:ascii="Arial" w:cs="Arial" w:eastAsia="Arial" w:hAnsi="Arial"/>
          <w:sz w:val="20"/>
          <w:szCs w:val="20"/>
          <w:b w:val="1"/>
          <w:bCs w:val="1"/>
          <w:i w:val="1"/>
          <w:iCs w:val="1"/>
          <w:u w:val="single" w:color="auto"/>
          <w:color w:val="auto"/>
        </w:rPr>
        <w:t>Clawbacks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We have included compensation clawback provisions in our 2016 performance share equity awards and</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annual cash incentive plans. These provisions will be fully compliant with the final rules adopted by the Securities and Exchange Commission and the New York Stock Exchange.</w:t>
      </w:r>
    </w:p>
    <w:p>
      <w:pPr>
        <w:spacing w:after="0" w:line="160" w:lineRule="exact"/>
        <w:rPr>
          <w:rFonts w:ascii="Arial" w:cs="Arial" w:eastAsia="Arial" w:hAnsi="Arial"/>
          <w:sz w:val="20"/>
          <w:szCs w:val="20"/>
          <w:color w:val="053582"/>
        </w:rPr>
      </w:pPr>
    </w:p>
    <w:p>
      <w:pPr>
        <w:ind w:left="980" w:right="40" w:hanging="491"/>
        <w:spacing w:after="0" w:line="292" w:lineRule="auto"/>
        <w:tabs>
          <w:tab w:leader="none" w:pos="980" w:val="left"/>
        </w:tabs>
        <w:numPr>
          <w:ilvl w:val="0"/>
          <w:numId w:val="6"/>
        </w:numPr>
        <w:rPr>
          <w:rFonts w:ascii="Arial" w:cs="Arial" w:eastAsia="Arial" w:hAnsi="Arial"/>
          <w:sz w:val="19"/>
          <w:szCs w:val="19"/>
          <w:color w:val="053582"/>
        </w:rPr>
      </w:pPr>
      <w:r>
        <w:rPr>
          <w:rFonts w:ascii="Arial" w:cs="Arial" w:eastAsia="Arial" w:hAnsi="Arial"/>
          <w:sz w:val="19"/>
          <w:szCs w:val="19"/>
          <w:b w:val="1"/>
          <w:bCs w:val="1"/>
          <w:i w:val="1"/>
          <w:iCs w:val="1"/>
          <w:u w:val="single" w:color="auto"/>
          <w:color w:val="auto"/>
        </w:rPr>
        <w:t>Retirement Age for Directors</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We have adopted a Director Retirement Policy that provides that no individual may be</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nominated for election to the Board of Directors who has attained the age of 75 years at the time of the nomination.</w:t>
      </w:r>
    </w:p>
    <w:p>
      <w:pPr>
        <w:spacing w:after="0" w:line="130" w:lineRule="exact"/>
        <w:rPr>
          <w:rFonts w:ascii="Arial" w:cs="Arial" w:eastAsia="Arial" w:hAnsi="Arial"/>
          <w:sz w:val="19"/>
          <w:szCs w:val="19"/>
          <w:color w:val="053582"/>
        </w:rPr>
      </w:pPr>
    </w:p>
    <w:p>
      <w:pPr>
        <w:ind w:left="980" w:right="460" w:hanging="491"/>
        <w:spacing w:after="0" w:line="292" w:lineRule="auto"/>
        <w:tabs>
          <w:tab w:leader="none" w:pos="980" w:val="left"/>
        </w:tabs>
        <w:numPr>
          <w:ilvl w:val="0"/>
          <w:numId w:val="6"/>
        </w:numPr>
        <w:rPr>
          <w:rFonts w:ascii="Arial" w:cs="Arial" w:eastAsia="Arial" w:hAnsi="Arial"/>
          <w:sz w:val="19"/>
          <w:szCs w:val="19"/>
          <w:color w:val="053582"/>
        </w:rPr>
      </w:pPr>
      <w:r>
        <w:rPr>
          <w:rFonts w:ascii="Arial" w:cs="Arial" w:eastAsia="Arial" w:hAnsi="Arial"/>
          <w:sz w:val="19"/>
          <w:szCs w:val="19"/>
          <w:b w:val="1"/>
          <w:bCs w:val="1"/>
          <w:i w:val="1"/>
          <w:iCs w:val="1"/>
          <w:u w:val="single" w:color="auto"/>
          <w:color w:val="auto"/>
        </w:rPr>
        <w:t>Shareholder Engagement</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Your views are important to us. Over the past several years we have formalized and</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intensified our shareholder engagement program. You will find the details on page 20 of the Proxy Statement.</w:t>
      </w:r>
    </w:p>
    <w:p>
      <w:pPr>
        <w:spacing w:after="0" w:line="106" w:lineRule="exact"/>
        <w:rPr>
          <w:sz w:val="20"/>
          <w:szCs w:val="20"/>
          <w:color w:val="auto"/>
        </w:rPr>
      </w:pPr>
    </w:p>
    <w:p>
      <w:pPr>
        <w:spacing w:after="0"/>
        <w:rPr>
          <w:sz w:val="20"/>
          <w:szCs w:val="20"/>
          <w:color w:val="auto"/>
        </w:rPr>
      </w:pPr>
      <w:r>
        <w:rPr>
          <w:rFonts w:ascii="Arial" w:cs="Arial" w:eastAsia="Arial" w:hAnsi="Arial"/>
          <w:sz w:val="20"/>
          <w:szCs w:val="20"/>
          <w:color w:val="auto"/>
        </w:rPr>
        <w:t>Thank you for your trust and support. Together we have a tremendous Company.</w:t>
      </w:r>
    </w:p>
    <w:p>
      <w:pPr>
        <w:spacing w:after="0" w:line="187" w:lineRule="exact"/>
        <w:rPr>
          <w:sz w:val="20"/>
          <w:szCs w:val="20"/>
          <w:color w:val="auto"/>
        </w:rPr>
      </w:pPr>
    </w:p>
    <w:p>
      <w:pPr>
        <w:spacing w:after="0"/>
        <w:rPr>
          <w:sz w:val="20"/>
          <w:szCs w:val="20"/>
          <w:color w:val="auto"/>
        </w:rPr>
      </w:pPr>
      <w:r>
        <w:rPr>
          <w:rFonts w:ascii="Arial" w:cs="Arial" w:eastAsia="Arial" w:hAnsi="Arial"/>
          <w:sz w:val="20"/>
          <w:szCs w:val="20"/>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758190</wp:posOffset>
            </wp:positionV>
            <wp:extent cx="7263765" cy="203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63765" cy="20320"/>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137795</wp:posOffset>
            </wp:positionV>
            <wp:extent cx="1830070" cy="4984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830070" cy="498475"/>
                    </a:xfrm>
                    <a:prstGeom prst="rect">
                      <a:avLst/>
                    </a:prstGeom>
                    <a:noFill/>
                  </pic:spPr>
                </pic:pic>
              </a:graphicData>
            </a:graphic>
          </wp:anchor>
        </w:drawing>
      </w:r>
    </w:p>
    <w:p>
      <w:pPr>
        <w:sectPr>
          <w:pgSz w:w="11900" w:h="16838" w:orient="portrait"/>
          <w:cols w:equalWidth="0" w:num="1">
            <w:col w:w="11300"/>
          </w:cols>
          <w:pgMar w:left="240" w:top="110" w:right="359" w:bottom="1440" w:gutter="0" w:footer="0" w:header="0"/>
        </w:sectPr>
      </w:pPr>
    </w:p>
    <w:bookmarkStart w:id="5" w:name="page6"/>
    <w:bookmarkEnd w:id="5"/>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1682115" cy="3270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682115" cy="327025"/>
                    </a:xfrm>
                    <a:prstGeom prst="rect">
                      <a:avLst/>
                    </a:prstGeom>
                    <a:noFill/>
                  </pic:spPr>
                </pic:pic>
              </a:graphicData>
            </a:graphic>
          </wp:anchor>
        </w:drawing>
        <w:drawing>
          <wp:anchor simplePos="0" relativeHeight="251657728" behindDoc="1" locked="0" layoutInCell="0" allowOverlap="1">
            <wp:simplePos x="0" y="0"/>
            <wp:positionH relativeFrom="column">
              <wp:posOffset>13335</wp:posOffset>
            </wp:positionH>
            <wp:positionV relativeFrom="paragraph">
              <wp:posOffset>602615</wp:posOffset>
            </wp:positionV>
            <wp:extent cx="7232650" cy="892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32650" cy="892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jc w:val="center"/>
        <w:ind w:right="-21"/>
        <w:spacing w:after="0"/>
        <w:rPr>
          <w:sz w:val="20"/>
          <w:szCs w:val="20"/>
          <w:color w:val="auto"/>
        </w:rPr>
      </w:pPr>
      <w:r>
        <w:rPr>
          <w:rFonts w:ascii="Arial" w:cs="Arial" w:eastAsia="Arial" w:hAnsi="Arial"/>
          <w:sz w:val="39"/>
          <w:szCs w:val="39"/>
          <w:b w:val="1"/>
          <w:bCs w:val="1"/>
          <w:color w:val="3A5575"/>
        </w:rPr>
        <w:t>Notice of the 2016</w:t>
      </w:r>
    </w:p>
    <w:p>
      <w:pPr>
        <w:spacing w:after="0" w:line="61" w:lineRule="exact"/>
        <w:rPr>
          <w:sz w:val="20"/>
          <w:szCs w:val="20"/>
          <w:color w:val="auto"/>
        </w:rPr>
      </w:pPr>
    </w:p>
    <w:p>
      <w:pPr>
        <w:jc w:val="center"/>
        <w:ind w:right="-21"/>
        <w:spacing w:after="0"/>
        <w:rPr>
          <w:sz w:val="20"/>
          <w:szCs w:val="20"/>
          <w:color w:val="auto"/>
        </w:rPr>
      </w:pPr>
      <w:r>
        <w:rPr>
          <w:rFonts w:ascii="Arial" w:cs="Arial" w:eastAsia="Arial" w:hAnsi="Arial"/>
          <w:sz w:val="39"/>
          <w:szCs w:val="39"/>
          <w:b w:val="1"/>
          <w:bCs w:val="1"/>
          <w:color w:val="3A5575"/>
        </w:rPr>
        <w:t>Annual Meeting of Shareholders</w:t>
      </w:r>
    </w:p>
    <w:p>
      <w:pPr>
        <w:spacing w:after="0" w:line="200" w:lineRule="exact"/>
        <w:rPr>
          <w:sz w:val="20"/>
          <w:szCs w:val="20"/>
          <w:color w:val="auto"/>
        </w:rPr>
      </w:pPr>
    </w:p>
    <w:p>
      <w:pPr>
        <w:spacing w:after="0" w:line="204" w:lineRule="exact"/>
        <w:rPr>
          <w:sz w:val="20"/>
          <w:szCs w:val="20"/>
          <w:color w:val="auto"/>
        </w:rPr>
      </w:pPr>
    </w:p>
    <w:p>
      <w:pPr>
        <w:ind w:left="2"/>
        <w:spacing w:after="0"/>
        <w:rPr>
          <w:sz w:val="20"/>
          <w:szCs w:val="20"/>
          <w:color w:val="auto"/>
        </w:rPr>
      </w:pPr>
      <w:r>
        <w:rPr>
          <w:rFonts w:ascii="Arial" w:cs="Arial" w:eastAsia="Arial" w:hAnsi="Arial"/>
          <w:sz w:val="20"/>
          <w:szCs w:val="20"/>
          <w:color w:val="auto"/>
        </w:rPr>
        <w:t>March 31, 2016</w:t>
      </w:r>
    </w:p>
    <w:p>
      <w:pPr>
        <w:spacing w:after="0" w:line="187" w:lineRule="exact"/>
        <w:rPr>
          <w:sz w:val="20"/>
          <w:szCs w:val="20"/>
          <w:color w:val="auto"/>
        </w:rPr>
      </w:pPr>
    </w:p>
    <w:p>
      <w:pPr>
        <w:ind w:left="2"/>
        <w:spacing w:after="0" w:line="247" w:lineRule="auto"/>
        <w:rPr>
          <w:sz w:val="20"/>
          <w:szCs w:val="20"/>
          <w:color w:val="auto"/>
        </w:rPr>
      </w:pPr>
      <w:r>
        <w:rPr>
          <w:rFonts w:ascii="Arial" w:cs="Arial" w:eastAsia="Arial" w:hAnsi="Arial"/>
          <w:sz w:val="20"/>
          <w:szCs w:val="20"/>
          <w:color w:val="auto"/>
        </w:rPr>
        <w:t>The 2016 Annual Meeting of Shareholders (the "Annual Meeting") of Pinnacle West Capital Corporation ("Pinnacle West", "PNW", or the "Company") will be held at the Heard Museum, 2301 North Central Avenue, Phoenix, Arizona 85004, at 10:30 a.m., Mountain Standard Time, Wednesday, May 18, 2016. The purposes of the Annual Meeting are:</w:t>
      </w:r>
    </w:p>
    <w:p>
      <w:pPr>
        <w:spacing w:after="0" w:line="136" w:lineRule="exact"/>
        <w:rPr>
          <w:sz w:val="20"/>
          <w:szCs w:val="20"/>
          <w:color w:val="auto"/>
        </w:rPr>
      </w:pPr>
    </w:p>
    <w:p>
      <w:pPr>
        <w:ind w:left="482" w:hanging="482"/>
        <w:spacing w:after="0"/>
        <w:tabs>
          <w:tab w:leader="none" w:pos="482" w:val="left"/>
        </w:tabs>
        <w:numPr>
          <w:ilvl w:val="0"/>
          <w:numId w:val="7"/>
        </w:numPr>
        <w:rPr>
          <w:rFonts w:ascii="Arial" w:cs="Arial" w:eastAsia="Arial" w:hAnsi="Arial"/>
          <w:sz w:val="20"/>
          <w:szCs w:val="20"/>
          <w:color w:val="3A5575"/>
        </w:rPr>
      </w:pPr>
      <w:r>
        <w:rPr>
          <w:rFonts w:ascii="Arial" w:cs="Arial" w:eastAsia="Arial" w:hAnsi="Arial"/>
          <w:sz w:val="20"/>
          <w:szCs w:val="20"/>
          <w:color w:val="auto"/>
        </w:rPr>
        <w:t>To elect ten directors to serve until the 2017 Annual Meeting of Shareholders (Proposal 1);</w:t>
      </w:r>
    </w:p>
    <w:p>
      <w:pPr>
        <w:spacing w:after="0" w:line="187" w:lineRule="exact"/>
        <w:rPr>
          <w:rFonts w:ascii="Arial" w:cs="Arial" w:eastAsia="Arial" w:hAnsi="Arial"/>
          <w:sz w:val="20"/>
          <w:szCs w:val="20"/>
          <w:color w:val="3A5575"/>
        </w:rPr>
      </w:pPr>
    </w:p>
    <w:p>
      <w:pPr>
        <w:ind w:left="482" w:hanging="482"/>
        <w:spacing w:after="0"/>
        <w:tabs>
          <w:tab w:leader="none" w:pos="482" w:val="left"/>
        </w:tabs>
        <w:numPr>
          <w:ilvl w:val="0"/>
          <w:numId w:val="7"/>
        </w:numPr>
        <w:rPr>
          <w:rFonts w:ascii="Arial" w:cs="Arial" w:eastAsia="Arial" w:hAnsi="Arial"/>
          <w:sz w:val="20"/>
          <w:szCs w:val="20"/>
          <w:color w:val="3A5575"/>
        </w:rPr>
      </w:pPr>
      <w:r>
        <w:rPr>
          <w:rFonts w:ascii="Arial" w:cs="Arial" w:eastAsia="Arial" w:hAnsi="Arial"/>
          <w:sz w:val="20"/>
          <w:szCs w:val="20"/>
          <w:color w:val="auto"/>
        </w:rPr>
        <w:t>To hold an advisory vote to approve executive compensation (Proposal 2);</w:t>
      </w:r>
    </w:p>
    <w:p>
      <w:pPr>
        <w:spacing w:after="0" w:line="174" w:lineRule="exact"/>
        <w:rPr>
          <w:rFonts w:ascii="Arial" w:cs="Arial" w:eastAsia="Arial" w:hAnsi="Arial"/>
          <w:sz w:val="20"/>
          <w:szCs w:val="20"/>
          <w:color w:val="3A5575"/>
        </w:rPr>
      </w:pPr>
    </w:p>
    <w:p>
      <w:pPr>
        <w:ind w:left="482" w:hanging="482"/>
        <w:spacing w:after="0"/>
        <w:tabs>
          <w:tab w:leader="none" w:pos="482" w:val="left"/>
        </w:tabs>
        <w:numPr>
          <w:ilvl w:val="0"/>
          <w:numId w:val="7"/>
        </w:numPr>
        <w:rPr>
          <w:rFonts w:ascii="Arial" w:cs="Arial" w:eastAsia="Arial" w:hAnsi="Arial"/>
          <w:sz w:val="20"/>
          <w:szCs w:val="20"/>
          <w:color w:val="3A5575"/>
        </w:rPr>
      </w:pPr>
      <w:r>
        <w:rPr>
          <w:rFonts w:ascii="Arial" w:cs="Arial" w:eastAsia="Arial" w:hAnsi="Arial"/>
          <w:sz w:val="20"/>
          <w:szCs w:val="20"/>
          <w:color w:val="auto"/>
        </w:rPr>
        <w:t>To ratify the appointment of our independent accountants for the year ending December 31, 2016 (Proposal 3);</w:t>
      </w:r>
    </w:p>
    <w:p>
      <w:pPr>
        <w:spacing w:after="0" w:line="174" w:lineRule="exact"/>
        <w:rPr>
          <w:rFonts w:ascii="Arial" w:cs="Arial" w:eastAsia="Arial" w:hAnsi="Arial"/>
          <w:sz w:val="20"/>
          <w:szCs w:val="20"/>
          <w:color w:val="3A5575"/>
        </w:rPr>
      </w:pPr>
    </w:p>
    <w:p>
      <w:pPr>
        <w:ind w:left="482" w:hanging="482"/>
        <w:spacing w:after="0"/>
        <w:tabs>
          <w:tab w:leader="none" w:pos="482" w:val="left"/>
        </w:tabs>
        <w:numPr>
          <w:ilvl w:val="0"/>
          <w:numId w:val="7"/>
        </w:numPr>
        <w:rPr>
          <w:rFonts w:ascii="Arial" w:cs="Arial" w:eastAsia="Arial" w:hAnsi="Arial"/>
          <w:sz w:val="20"/>
          <w:szCs w:val="20"/>
          <w:color w:val="3A5575"/>
        </w:rPr>
      </w:pPr>
      <w:r>
        <w:rPr>
          <w:rFonts w:ascii="Arial" w:cs="Arial" w:eastAsia="Arial" w:hAnsi="Arial"/>
          <w:sz w:val="20"/>
          <w:szCs w:val="20"/>
          <w:color w:val="auto"/>
        </w:rPr>
        <w:t>To consider a shareholder proposal, if properly presented at the Annual Meeting (Proposal 4); and</w:t>
      </w:r>
    </w:p>
    <w:p>
      <w:pPr>
        <w:spacing w:after="0" w:line="187" w:lineRule="exact"/>
        <w:rPr>
          <w:rFonts w:ascii="Arial" w:cs="Arial" w:eastAsia="Arial" w:hAnsi="Arial"/>
          <w:sz w:val="20"/>
          <w:szCs w:val="20"/>
          <w:color w:val="3A5575"/>
        </w:rPr>
      </w:pPr>
    </w:p>
    <w:p>
      <w:pPr>
        <w:ind w:left="482" w:right="1360" w:hanging="482"/>
        <w:spacing w:after="0" w:line="265" w:lineRule="auto"/>
        <w:tabs>
          <w:tab w:leader="none" w:pos="482" w:val="left"/>
        </w:tabs>
        <w:numPr>
          <w:ilvl w:val="0"/>
          <w:numId w:val="7"/>
        </w:numPr>
        <w:rPr>
          <w:rFonts w:ascii="Arial" w:cs="Arial" w:eastAsia="Arial" w:hAnsi="Arial"/>
          <w:sz w:val="20"/>
          <w:szCs w:val="20"/>
          <w:color w:val="3A5575"/>
        </w:rPr>
      </w:pPr>
      <w:r>
        <w:rPr>
          <w:rFonts w:ascii="Arial" w:cs="Arial" w:eastAsia="Arial" w:hAnsi="Arial"/>
          <w:sz w:val="20"/>
          <w:szCs w:val="20"/>
          <w:color w:val="auto"/>
        </w:rPr>
        <w:t>To transact such other business as may properly come before the Annual Meeting and at any adjournments or postponements thereof.</w:t>
      </w:r>
    </w:p>
    <w:p>
      <w:pPr>
        <w:spacing w:after="0" w:line="130" w:lineRule="exact"/>
        <w:rPr>
          <w:sz w:val="20"/>
          <w:szCs w:val="20"/>
          <w:color w:val="auto"/>
        </w:rPr>
      </w:pPr>
    </w:p>
    <w:p>
      <w:pPr>
        <w:jc w:val="both"/>
        <w:ind w:left="2" w:right="280"/>
        <w:spacing w:after="0" w:line="247" w:lineRule="auto"/>
        <w:rPr>
          <w:sz w:val="20"/>
          <w:szCs w:val="20"/>
          <w:color w:val="auto"/>
        </w:rPr>
      </w:pPr>
      <w:r>
        <w:rPr>
          <w:rFonts w:ascii="Arial" w:cs="Arial" w:eastAsia="Arial" w:hAnsi="Arial"/>
          <w:sz w:val="20"/>
          <w:szCs w:val="20"/>
          <w:color w:val="auto"/>
        </w:rPr>
        <w:t>All shareholders of record at the close of business on March 10, 2016 are entitled to notice of and to vote at the Annual Meeting. Your vote is important. Whether you plan to attend the Annual Meeting in person or not, please promptly vote by telephone, over the Internet, by proxy card, or by voting instruction form.</w:t>
      </w:r>
    </w:p>
    <w:p>
      <w:pPr>
        <w:spacing w:after="0" w:line="149" w:lineRule="exact"/>
        <w:rPr>
          <w:sz w:val="20"/>
          <w:szCs w:val="20"/>
          <w:color w:val="auto"/>
        </w:rPr>
      </w:pPr>
    </w:p>
    <w:p>
      <w:pPr>
        <w:ind w:left="2"/>
        <w:spacing w:after="0"/>
        <w:rPr>
          <w:sz w:val="20"/>
          <w:szCs w:val="20"/>
          <w:color w:val="auto"/>
        </w:rPr>
      </w:pPr>
      <w:r>
        <w:rPr>
          <w:rFonts w:ascii="Arial" w:cs="Arial" w:eastAsia="Arial" w:hAnsi="Arial"/>
          <w:sz w:val="20"/>
          <w:szCs w:val="20"/>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1471930" cy="7943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471930" cy="7943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DIANE WOOD</w:t>
      </w:r>
    </w:p>
    <w:p>
      <w:pPr>
        <w:spacing w:after="0" w:line="19" w:lineRule="exact"/>
        <w:rPr>
          <w:sz w:val="20"/>
          <w:szCs w:val="20"/>
          <w:color w:val="auto"/>
        </w:rPr>
      </w:pPr>
    </w:p>
    <w:p>
      <w:pPr>
        <w:ind w:left="2"/>
        <w:spacing w:after="0"/>
        <w:rPr>
          <w:sz w:val="20"/>
          <w:szCs w:val="20"/>
          <w:color w:val="auto"/>
        </w:rPr>
      </w:pPr>
      <w:r>
        <w:rPr>
          <w:rFonts w:ascii="Arial" w:cs="Arial" w:eastAsia="Arial" w:hAnsi="Arial"/>
          <w:sz w:val="20"/>
          <w:szCs w:val="20"/>
          <w:i w:val="1"/>
          <w:iCs w:val="1"/>
          <w:color w:val="auto"/>
        </w:rPr>
        <w:t>Corporate Secretary</w:t>
      </w:r>
    </w:p>
    <w:p>
      <w:pPr>
        <w:spacing w:after="0" w:line="163" w:lineRule="exact"/>
        <w:rPr>
          <w:sz w:val="20"/>
          <w:szCs w:val="20"/>
          <w:color w:val="auto"/>
        </w:rPr>
      </w:pPr>
    </w:p>
    <w:p>
      <w:pPr>
        <w:ind w:left="2"/>
        <w:spacing w:after="0"/>
        <w:rPr>
          <w:sz w:val="20"/>
          <w:szCs w:val="20"/>
          <w:color w:val="auto"/>
        </w:rPr>
      </w:pPr>
      <w:r>
        <w:rPr>
          <w:rFonts w:ascii="Arial" w:cs="Arial" w:eastAsia="Arial" w:hAnsi="Arial"/>
          <w:sz w:val="20"/>
          <w:szCs w:val="20"/>
          <w:color w:val="auto"/>
        </w:rPr>
        <w:t>PINNACLE WEST CAPITAL CORPORATION</w:t>
      </w:r>
    </w:p>
    <w:p>
      <w:pPr>
        <w:spacing w:after="0" w:line="6" w:lineRule="exact"/>
        <w:rPr>
          <w:sz w:val="20"/>
          <w:szCs w:val="20"/>
          <w:color w:val="auto"/>
        </w:rPr>
      </w:pPr>
    </w:p>
    <w:p>
      <w:pPr>
        <w:ind w:left="2"/>
        <w:spacing w:after="0"/>
        <w:rPr>
          <w:sz w:val="20"/>
          <w:szCs w:val="20"/>
          <w:color w:val="auto"/>
        </w:rPr>
      </w:pPr>
      <w:r>
        <w:rPr>
          <w:rFonts w:ascii="Arial" w:cs="Arial" w:eastAsia="Arial" w:hAnsi="Arial"/>
          <w:sz w:val="20"/>
          <w:szCs w:val="20"/>
          <w:color w:val="auto"/>
        </w:rPr>
        <w:t>Post Office Box 53999</w:t>
      </w:r>
    </w:p>
    <w:p>
      <w:pPr>
        <w:ind w:left="2"/>
        <w:spacing w:after="0"/>
        <w:rPr>
          <w:sz w:val="20"/>
          <w:szCs w:val="20"/>
          <w:color w:val="auto"/>
        </w:rPr>
      </w:pPr>
      <w:r>
        <w:rPr>
          <w:rFonts w:ascii="Arial" w:cs="Arial" w:eastAsia="Arial" w:hAnsi="Arial"/>
          <w:sz w:val="20"/>
          <w:szCs w:val="20"/>
          <w:color w:val="auto"/>
        </w:rPr>
        <w:t>Phoenix, Arizona 85072-3999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120015</wp:posOffset>
            </wp:positionV>
            <wp:extent cx="7263765" cy="203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02"/>
          </w:cols>
          <w:pgMar w:left="238" w:top="110" w:right="259" w:bottom="1440" w:gutter="0" w:footer="0" w:header="0"/>
        </w:sectPr>
      </w:pPr>
    </w:p>
    <w:bookmarkStart w:id="6" w:name="page7"/>
    <w:bookmarkEnd w:id="6"/>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Table of Contents</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1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60" w:type="dxa"/>
            <w:vAlign w:val="bottom"/>
            <w:gridSpan w:val="6"/>
          </w:tcPr>
          <w:p>
            <w:pPr>
              <w:ind w:left="160"/>
              <w:spacing w:after="0"/>
              <w:rPr>
                <w:sz w:val="20"/>
                <w:szCs w:val="20"/>
                <w:color w:val="auto"/>
              </w:rPr>
            </w:pPr>
            <w:r>
              <w:rPr>
                <w:rFonts w:ascii="Arial" w:cs="Arial" w:eastAsia="Arial" w:hAnsi="Arial"/>
                <w:sz w:val="16"/>
                <w:szCs w:val="16"/>
                <w:b w:val="1"/>
                <w:bCs w:val="1"/>
                <w:color w:val="3A5575"/>
              </w:rPr>
              <w:t>PAGE</w:t>
            </w:r>
          </w:p>
        </w:tc>
        <w:tc>
          <w:tcPr>
            <w:tcW w:w="0" w:type="dxa"/>
            <w:vAlign w:val="bottom"/>
          </w:tcPr>
          <w:p>
            <w:pPr>
              <w:spacing w:after="0"/>
              <w:rPr>
                <w:sz w:val="1"/>
                <w:szCs w:val="1"/>
                <w:color w:val="auto"/>
              </w:rPr>
            </w:pPr>
          </w:p>
        </w:tc>
      </w:tr>
      <w:tr>
        <w:trPr>
          <w:trHeight w:val="506"/>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3">
              <w:r>
                <w:rPr>
                  <w:rFonts w:ascii="Arial" w:cs="Arial" w:eastAsia="Arial" w:hAnsi="Arial"/>
                  <w:sz w:val="16"/>
                  <w:szCs w:val="16"/>
                  <w:b w:val="1"/>
                  <w:bCs w:val="1"/>
                  <w:color w:val="0000EE"/>
                </w:rPr>
                <w:t>LETTER FROM DON BRANDT</w:t>
              </w:r>
            </w:hyperlink>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30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20" w:type="dxa"/>
            <w:vAlign w:val="bottom"/>
            <w:tcBorders>
              <w:bottom w:val="single" w:sz="8" w:color="3A5575"/>
            </w:tcBorders>
          </w:tcPr>
          <w:p>
            <w:pPr>
              <w:spacing w:after="0" w:line="20" w:lineRule="exact"/>
              <w:rPr>
                <w:sz w:val="1"/>
                <w:szCs w:val="1"/>
                <w:color w:val="auto"/>
              </w:rPr>
            </w:pPr>
          </w:p>
        </w:tc>
        <w:tc>
          <w:tcPr>
            <w:tcW w:w="26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68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4">
              <w:r>
                <w:rPr>
                  <w:rFonts w:ascii="Arial" w:cs="Arial" w:eastAsia="Arial" w:hAnsi="Arial"/>
                  <w:sz w:val="16"/>
                  <w:szCs w:val="16"/>
                  <w:b w:val="1"/>
                  <w:bCs w:val="1"/>
                  <w:color w:val="0000EE"/>
                </w:rPr>
                <w:t>LETTER FROM KATHRYN L. MUNRO</w:t>
              </w:r>
            </w:hyperlink>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30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20" w:type="dxa"/>
            <w:vAlign w:val="bottom"/>
            <w:tcBorders>
              <w:bottom w:val="single" w:sz="8" w:color="3A5575"/>
            </w:tcBorders>
          </w:tcPr>
          <w:p>
            <w:pPr>
              <w:spacing w:after="0" w:line="20" w:lineRule="exact"/>
              <w:rPr>
                <w:sz w:val="1"/>
                <w:szCs w:val="1"/>
                <w:color w:val="auto"/>
              </w:rPr>
            </w:pPr>
          </w:p>
        </w:tc>
        <w:tc>
          <w:tcPr>
            <w:tcW w:w="26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68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6">
              <w:r>
                <w:rPr>
                  <w:rFonts w:ascii="Arial" w:cs="Arial" w:eastAsia="Arial" w:hAnsi="Arial"/>
                  <w:sz w:val="16"/>
                  <w:szCs w:val="16"/>
                  <w:b w:val="1"/>
                  <w:bCs w:val="1"/>
                  <w:color w:val="0000EE"/>
                </w:rPr>
                <w:t>NOTICE OF THE 2016 ANNUAL MEETING OF SHAREHOLDERS</w:t>
              </w:r>
            </w:hyperlink>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30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6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4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10">
              <w:r>
                <w:rPr>
                  <w:rFonts w:ascii="Arial" w:cs="Arial" w:eastAsia="Arial" w:hAnsi="Arial"/>
                  <w:sz w:val="16"/>
                  <w:szCs w:val="16"/>
                  <w:b w:val="1"/>
                  <w:bCs w:val="1"/>
                  <w:color w:val="0000EE"/>
                </w:rPr>
                <w:t>PROXY STATEMENT SUMMARY</w:t>
              </w:r>
            </w:hyperlink>
          </w:p>
        </w:tc>
        <w:tc>
          <w:tcPr>
            <w:tcW w:w="620" w:type="dxa"/>
            <w:vAlign w:val="bottom"/>
            <w:gridSpan w:val="5"/>
          </w:tcPr>
          <w:p>
            <w:pPr>
              <w:jc w:val="right"/>
              <w:ind w:right="20"/>
              <w:spacing w:after="0"/>
              <w:rPr>
                <w:rFonts w:ascii="Arial" w:cs="Arial" w:eastAsia="Arial" w:hAnsi="Arial"/>
                <w:sz w:val="16"/>
                <w:szCs w:val="16"/>
                <w:b w:val="1"/>
                <w:bCs w:val="1"/>
                <w:color w:val="0000EE"/>
              </w:rPr>
            </w:pPr>
            <w:hyperlink w:anchor="page10">
              <w:r>
                <w:rPr>
                  <w:rFonts w:ascii="Arial" w:cs="Arial" w:eastAsia="Arial" w:hAnsi="Arial"/>
                  <w:sz w:val="16"/>
                  <w:szCs w:val="16"/>
                  <w:b w:val="1"/>
                  <w:bCs w:val="1"/>
                  <w:color w:val="0000EE"/>
                </w:rPr>
                <w:t>1</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30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20" w:type="dxa"/>
            <w:vAlign w:val="bottom"/>
            <w:tcBorders>
              <w:bottom w:val="single" w:sz="8" w:color="3A5575"/>
            </w:tcBorders>
          </w:tcPr>
          <w:p>
            <w:pPr>
              <w:spacing w:after="0" w:line="20" w:lineRule="exact"/>
              <w:rPr>
                <w:sz w:val="1"/>
                <w:szCs w:val="1"/>
                <w:color w:val="auto"/>
              </w:rPr>
            </w:pPr>
          </w:p>
        </w:tc>
        <w:tc>
          <w:tcPr>
            <w:tcW w:w="26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68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color w:val="0000EE"/>
              </w:rPr>
            </w:pPr>
            <w:hyperlink w:anchor="page10">
              <w:r>
                <w:rPr>
                  <w:rFonts w:ascii="Arial" w:cs="Arial" w:eastAsia="Arial" w:hAnsi="Arial"/>
                  <w:sz w:val="16"/>
                  <w:szCs w:val="16"/>
                  <w:color w:val="0000EE"/>
                </w:rPr>
                <w:t>2015 Highlights: Performance</w:t>
              </w:r>
            </w:hyperlink>
          </w:p>
        </w:tc>
        <w:tc>
          <w:tcPr>
            <w:tcW w:w="620" w:type="dxa"/>
            <w:vAlign w:val="bottom"/>
            <w:gridSpan w:val="5"/>
          </w:tcPr>
          <w:p>
            <w:pPr>
              <w:jc w:val="right"/>
              <w:ind w:right="20"/>
              <w:spacing w:after="0"/>
              <w:rPr>
                <w:rFonts w:ascii="Arial" w:cs="Arial" w:eastAsia="Arial" w:hAnsi="Arial"/>
                <w:sz w:val="16"/>
                <w:szCs w:val="16"/>
                <w:color w:val="0000EE"/>
              </w:rPr>
            </w:pPr>
            <w:hyperlink w:anchor="page10">
              <w:r>
                <w:rPr>
                  <w:rFonts w:ascii="Arial" w:cs="Arial" w:eastAsia="Arial" w:hAnsi="Arial"/>
                  <w:sz w:val="16"/>
                  <w:szCs w:val="16"/>
                  <w:color w:val="0000EE"/>
                </w:rPr>
                <w:t>1</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100" w:type="dxa"/>
            <w:vAlign w:val="bottom"/>
            <w:tcBorders>
              <w:top w:val="single" w:sz="8" w:color="0000EE"/>
            </w:tcBorders>
            <w:gridSpan w:val="11"/>
          </w:tcPr>
          <w:p>
            <w:pPr>
              <w:spacing w:after="0" w:line="164" w:lineRule="exact"/>
              <w:rPr>
                <w:rFonts w:ascii="Arial" w:cs="Arial" w:eastAsia="Arial" w:hAnsi="Arial"/>
                <w:sz w:val="16"/>
                <w:szCs w:val="16"/>
                <w:color w:val="0000EE"/>
              </w:rPr>
            </w:pPr>
            <w:hyperlink w:anchor="page13">
              <w:r>
                <w:rPr>
                  <w:rFonts w:ascii="Arial" w:cs="Arial" w:eastAsia="Arial" w:hAnsi="Arial"/>
                  <w:sz w:val="16"/>
                  <w:szCs w:val="16"/>
                  <w:color w:val="0000EE"/>
                </w:rPr>
                <w:t>2015 Highlights: Board and</w:t>
              </w:r>
            </w:hyperlink>
          </w:p>
        </w:tc>
        <w:tc>
          <w:tcPr>
            <w:tcW w:w="6440" w:type="dxa"/>
            <w:vAlign w:val="bottom"/>
            <w:gridSpan w:val="21"/>
          </w:tcPr>
          <w:p>
            <w:pPr>
              <w:spacing w:after="0" w:line="164" w:lineRule="exact"/>
              <w:rPr>
                <w:rFonts w:ascii="Arial" w:cs="Arial" w:eastAsia="Arial" w:hAnsi="Arial"/>
                <w:sz w:val="16"/>
                <w:szCs w:val="16"/>
                <w:color w:val="0000EE"/>
              </w:rPr>
            </w:pPr>
            <w:hyperlink w:anchor="page13">
              <w:r>
                <w:rPr>
                  <w:rFonts w:ascii="Arial" w:cs="Arial" w:eastAsia="Arial" w:hAnsi="Arial"/>
                  <w:sz w:val="16"/>
                  <w:szCs w:val="16"/>
                  <w:color w:val="0000EE"/>
                </w:rPr>
                <w:t>Governance</w:t>
              </w:r>
            </w:hyperlink>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tcBorders>
          </w:tcPr>
          <w:p>
            <w:pPr>
              <w:jc w:val="right"/>
              <w:spacing w:after="0" w:line="164" w:lineRule="exact"/>
              <w:rPr>
                <w:rFonts w:ascii="Arial" w:cs="Arial" w:eastAsia="Arial" w:hAnsi="Arial"/>
                <w:sz w:val="15"/>
                <w:szCs w:val="15"/>
                <w:color w:val="0000EE"/>
                <w:w w:val="71"/>
              </w:rPr>
            </w:pPr>
            <w:hyperlink w:anchor="page13">
              <w:r>
                <w:rPr>
                  <w:rFonts w:ascii="Arial" w:cs="Arial" w:eastAsia="Arial" w:hAnsi="Arial"/>
                  <w:sz w:val="15"/>
                  <w:szCs w:val="15"/>
                  <w:color w:val="0000EE"/>
                  <w:w w:val="71"/>
                </w:rPr>
                <w:t>4</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840" w:type="dxa"/>
            <w:vAlign w:val="bottom"/>
            <w:tcBorders>
              <w:top w:val="single" w:sz="8" w:color="0000EE"/>
            </w:tcBorders>
            <w:gridSpan w:val="19"/>
          </w:tcPr>
          <w:p>
            <w:pPr>
              <w:spacing w:after="0" w:line="164" w:lineRule="exact"/>
              <w:rPr>
                <w:rFonts w:ascii="Arial" w:cs="Arial" w:eastAsia="Arial" w:hAnsi="Arial"/>
                <w:sz w:val="16"/>
                <w:szCs w:val="16"/>
                <w:color w:val="0000EE"/>
              </w:rPr>
            </w:pPr>
            <w:hyperlink w:anchor="page13">
              <w:r>
                <w:rPr>
                  <w:rFonts w:ascii="Arial" w:cs="Arial" w:eastAsia="Arial" w:hAnsi="Arial"/>
                  <w:sz w:val="16"/>
                  <w:szCs w:val="16"/>
                  <w:color w:val="0000EE"/>
                </w:rPr>
                <w:t>2015 Highlights: Compensation</w:t>
              </w:r>
            </w:hyperlink>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60" w:type="dxa"/>
            <w:vAlign w:val="bottom"/>
            <w:gridSpan w:val="2"/>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tcBorders>
          </w:tcPr>
          <w:p>
            <w:pPr>
              <w:jc w:val="right"/>
              <w:spacing w:after="0" w:line="164" w:lineRule="exact"/>
              <w:rPr>
                <w:rFonts w:ascii="Arial" w:cs="Arial" w:eastAsia="Arial" w:hAnsi="Arial"/>
                <w:sz w:val="15"/>
                <w:szCs w:val="15"/>
                <w:color w:val="0000EE"/>
                <w:w w:val="71"/>
              </w:rPr>
            </w:pPr>
            <w:hyperlink w:anchor="page13">
              <w:r>
                <w:rPr>
                  <w:rFonts w:ascii="Arial" w:cs="Arial" w:eastAsia="Arial" w:hAnsi="Arial"/>
                  <w:sz w:val="15"/>
                  <w:szCs w:val="15"/>
                  <w:color w:val="0000EE"/>
                  <w:w w:val="71"/>
                </w:rPr>
                <w:t>4</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220" w:type="dxa"/>
            <w:vAlign w:val="bottom"/>
            <w:tcBorders>
              <w:top w:val="single" w:sz="8" w:color="0000EE"/>
              <w:bottom w:val="single" w:sz="8" w:color="0000EE"/>
            </w:tcBorders>
            <w:gridSpan w:val="12"/>
          </w:tcPr>
          <w:p>
            <w:pPr>
              <w:spacing w:after="0" w:line="164" w:lineRule="exact"/>
              <w:rPr>
                <w:rFonts w:ascii="Arial" w:cs="Arial" w:eastAsia="Arial" w:hAnsi="Arial"/>
                <w:sz w:val="16"/>
                <w:szCs w:val="16"/>
                <w:color w:val="0000EE"/>
                <w:w w:val="96"/>
              </w:rPr>
            </w:pPr>
            <w:hyperlink w:anchor="page15">
              <w:r>
                <w:rPr>
                  <w:rFonts w:ascii="Arial" w:cs="Arial" w:eastAsia="Arial" w:hAnsi="Arial"/>
                  <w:sz w:val="16"/>
                  <w:szCs w:val="16"/>
                  <w:color w:val="0000EE"/>
                  <w:w w:val="96"/>
                </w:rPr>
                <w:t>Annual Meeting of Shareholders</w:t>
              </w:r>
            </w:hyperlink>
          </w:p>
        </w:tc>
        <w:tc>
          <w:tcPr>
            <w:tcW w:w="60" w:type="dxa"/>
            <w:vAlign w:val="bottom"/>
            <w:tcBorders>
              <w:bottom w:val="single" w:sz="8" w:color="0000EE"/>
            </w:tcBorders>
            <w:gridSpan w:val="2"/>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gridSpan w:val="2"/>
          </w:tcPr>
          <w:p>
            <w:pPr>
              <w:spacing w:after="0"/>
              <w:rPr>
                <w:sz w:val="14"/>
                <w:szCs w:val="14"/>
                <w:color w:val="auto"/>
              </w:rPr>
            </w:pPr>
          </w:p>
        </w:tc>
        <w:tc>
          <w:tcPr>
            <w:tcW w:w="580" w:type="dxa"/>
            <w:vAlign w:val="bottom"/>
            <w:gridSpan w:val="3"/>
          </w:tcPr>
          <w:p>
            <w:pPr>
              <w:spacing w:after="0"/>
              <w:rPr>
                <w:sz w:val="14"/>
                <w:szCs w:val="14"/>
                <w:color w:val="auto"/>
              </w:rPr>
            </w:pPr>
          </w:p>
        </w:tc>
        <w:tc>
          <w:tcPr>
            <w:tcW w:w="2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60" w:type="dxa"/>
            <w:vAlign w:val="bottom"/>
            <w:gridSpan w:val="2"/>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bottom w:val="single" w:sz="8" w:color="0000EE"/>
            </w:tcBorders>
          </w:tcPr>
          <w:p>
            <w:pPr>
              <w:jc w:val="right"/>
              <w:spacing w:after="0" w:line="164" w:lineRule="exact"/>
              <w:rPr>
                <w:rFonts w:ascii="Arial" w:cs="Arial" w:eastAsia="Arial" w:hAnsi="Arial"/>
                <w:sz w:val="15"/>
                <w:szCs w:val="15"/>
                <w:color w:val="0000EE"/>
                <w:w w:val="71"/>
              </w:rPr>
            </w:pPr>
            <w:hyperlink w:anchor="page15">
              <w:r>
                <w:rPr>
                  <w:rFonts w:ascii="Arial" w:cs="Arial" w:eastAsia="Arial" w:hAnsi="Arial"/>
                  <w:sz w:val="15"/>
                  <w:szCs w:val="15"/>
                  <w:color w:val="0000EE"/>
                  <w:w w:val="71"/>
                </w:rPr>
                <w:t>6</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15">
              <w:r>
                <w:rPr>
                  <w:rFonts w:ascii="Arial" w:cs="Arial" w:eastAsia="Arial" w:hAnsi="Arial"/>
                  <w:sz w:val="16"/>
                  <w:szCs w:val="16"/>
                  <w:color w:val="0000EE"/>
                </w:rPr>
                <w:t>Voting Matters and Board of Directors ("Board") Recommendations</w:t>
              </w:r>
            </w:hyperlink>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jc w:val="right"/>
              <w:spacing w:after="0" w:line="164" w:lineRule="exact"/>
              <w:rPr>
                <w:rFonts w:ascii="Arial" w:cs="Arial" w:eastAsia="Arial" w:hAnsi="Arial"/>
                <w:sz w:val="15"/>
                <w:szCs w:val="15"/>
                <w:color w:val="0000EE"/>
                <w:w w:val="71"/>
              </w:rPr>
            </w:pPr>
            <w:hyperlink w:anchor="page15">
              <w:r>
                <w:rPr>
                  <w:rFonts w:ascii="Arial" w:cs="Arial" w:eastAsia="Arial" w:hAnsi="Arial"/>
                  <w:sz w:val="15"/>
                  <w:szCs w:val="15"/>
                  <w:color w:val="0000EE"/>
                  <w:w w:val="71"/>
                </w:rPr>
                <w:t>6</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4720" w:type="dxa"/>
            <w:vAlign w:val="bottom"/>
            <w:tcBorders>
              <w:top w:val="single" w:sz="8" w:color="0000EE"/>
            </w:tcBorders>
            <w:gridSpan w:val="26"/>
          </w:tcPr>
          <w:p>
            <w:pPr>
              <w:spacing w:after="0" w:line="164" w:lineRule="exact"/>
              <w:rPr>
                <w:rFonts w:ascii="Arial" w:cs="Arial" w:eastAsia="Arial" w:hAnsi="Arial"/>
                <w:sz w:val="16"/>
                <w:szCs w:val="16"/>
                <w:color w:val="0000EE"/>
              </w:rPr>
            </w:pPr>
            <w:hyperlink w:anchor="page16">
              <w:r>
                <w:rPr>
                  <w:rFonts w:ascii="Arial" w:cs="Arial" w:eastAsia="Arial" w:hAnsi="Arial"/>
                  <w:sz w:val="16"/>
                  <w:szCs w:val="16"/>
                  <w:color w:val="0000EE"/>
                </w:rPr>
                <w:t>Director Nominees</w:t>
              </w:r>
            </w:hyperlink>
          </w:p>
        </w:tc>
        <w:tc>
          <w:tcPr>
            <w:tcW w:w="660" w:type="dxa"/>
            <w:vAlign w:val="bottom"/>
            <w:gridSpan w:val="2"/>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tcBorders>
          </w:tcPr>
          <w:p>
            <w:pPr>
              <w:jc w:val="right"/>
              <w:spacing w:after="0" w:line="164" w:lineRule="exact"/>
              <w:rPr>
                <w:rFonts w:ascii="Arial" w:cs="Arial" w:eastAsia="Arial" w:hAnsi="Arial"/>
                <w:sz w:val="15"/>
                <w:szCs w:val="15"/>
                <w:color w:val="0000EE"/>
                <w:w w:val="71"/>
              </w:rPr>
            </w:pPr>
            <w:hyperlink w:anchor="page16">
              <w:r>
                <w:rPr>
                  <w:rFonts w:ascii="Arial" w:cs="Arial" w:eastAsia="Arial" w:hAnsi="Arial"/>
                  <w:sz w:val="15"/>
                  <w:szCs w:val="15"/>
                  <w:color w:val="0000EE"/>
                  <w:w w:val="71"/>
                </w:rPr>
                <w:t>7</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0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17">
              <w:r>
                <w:rPr>
                  <w:rFonts w:ascii="Arial" w:cs="Arial" w:eastAsia="Arial" w:hAnsi="Arial"/>
                  <w:sz w:val="16"/>
                  <w:szCs w:val="16"/>
                  <w:b w:val="1"/>
                  <w:bCs w:val="1"/>
                  <w:color w:val="0000EE"/>
                </w:rPr>
                <w:t>PROXY STATEMENT — GENERAL INFORMATION</w:t>
              </w:r>
            </w:hyperlink>
          </w:p>
        </w:tc>
        <w:tc>
          <w:tcPr>
            <w:tcW w:w="620" w:type="dxa"/>
            <w:vAlign w:val="bottom"/>
            <w:gridSpan w:val="5"/>
          </w:tcPr>
          <w:p>
            <w:pPr>
              <w:jc w:val="right"/>
              <w:ind w:right="20"/>
              <w:spacing w:after="0"/>
              <w:rPr>
                <w:rFonts w:ascii="Arial" w:cs="Arial" w:eastAsia="Arial" w:hAnsi="Arial"/>
                <w:sz w:val="16"/>
                <w:szCs w:val="16"/>
                <w:b w:val="1"/>
                <w:bCs w:val="1"/>
                <w:color w:val="0000EE"/>
              </w:rPr>
            </w:pPr>
            <w:hyperlink w:anchor="page17">
              <w:r>
                <w:rPr>
                  <w:rFonts w:ascii="Arial" w:cs="Arial" w:eastAsia="Arial" w:hAnsi="Arial"/>
                  <w:sz w:val="16"/>
                  <w:szCs w:val="16"/>
                  <w:b w:val="1"/>
                  <w:bCs w:val="1"/>
                  <w:color w:val="0000EE"/>
                </w:rPr>
                <w:t>8</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30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68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1540" w:type="dxa"/>
            <w:vAlign w:val="bottom"/>
            <w:gridSpan w:val="6"/>
          </w:tcPr>
          <w:p>
            <w:pPr>
              <w:spacing w:after="0"/>
              <w:rPr>
                <w:rFonts w:ascii="Arial" w:cs="Arial" w:eastAsia="Arial" w:hAnsi="Arial"/>
                <w:sz w:val="16"/>
                <w:szCs w:val="16"/>
                <w:color w:val="0000EE"/>
                <w:w w:val="98"/>
              </w:rPr>
            </w:pPr>
            <w:hyperlink w:anchor="page17">
              <w:r>
                <w:rPr>
                  <w:rFonts w:ascii="Arial" w:cs="Arial" w:eastAsia="Arial" w:hAnsi="Arial"/>
                  <w:sz w:val="16"/>
                  <w:szCs w:val="16"/>
                  <w:color w:val="0000EE"/>
                  <w:w w:val="98"/>
                </w:rPr>
                <w:t>Place, Date and Time</w:t>
              </w:r>
            </w:hyperlink>
          </w:p>
        </w:tc>
        <w:tc>
          <w:tcPr>
            <w:tcW w:w="7000" w:type="dxa"/>
            <w:vAlign w:val="bottom"/>
            <w:gridSpan w:val="26"/>
          </w:tcPr>
          <w:p>
            <w:pPr>
              <w:spacing w:after="0"/>
              <w:rPr>
                <w:sz w:val="24"/>
                <w:szCs w:val="24"/>
                <w:color w:val="auto"/>
              </w:rPr>
            </w:pPr>
          </w:p>
        </w:tc>
        <w:tc>
          <w:tcPr>
            <w:tcW w:w="620" w:type="dxa"/>
            <w:vAlign w:val="bottom"/>
            <w:gridSpan w:val="5"/>
          </w:tcPr>
          <w:p>
            <w:pPr>
              <w:jc w:val="right"/>
              <w:ind w:right="20"/>
              <w:spacing w:after="0"/>
              <w:rPr>
                <w:rFonts w:ascii="Arial" w:cs="Arial" w:eastAsia="Arial" w:hAnsi="Arial"/>
                <w:sz w:val="16"/>
                <w:szCs w:val="16"/>
                <w:color w:val="0000EE"/>
              </w:rPr>
            </w:pPr>
            <w:hyperlink w:anchor="page17">
              <w:r>
                <w:rPr>
                  <w:rFonts w:ascii="Arial" w:cs="Arial" w:eastAsia="Arial" w:hAnsi="Arial"/>
                  <w:sz w:val="16"/>
                  <w:szCs w:val="16"/>
                  <w:color w:val="0000EE"/>
                </w:rPr>
                <w:t>8</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0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20" w:type="dxa"/>
            <w:vAlign w:val="bottom"/>
            <w:vMerge w:val="restart"/>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17">
              <w:r>
                <w:rPr>
                  <w:rFonts w:ascii="Arial" w:cs="Arial" w:eastAsia="Arial" w:hAnsi="Arial"/>
                  <w:sz w:val="16"/>
                  <w:szCs w:val="16"/>
                  <w:color w:val="0000EE"/>
                </w:rPr>
                <w:t>Notice of Internet Availability</w:t>
              </w:r>
            </w:hyperlink>
          </w:p>
        </w:tc>
        <w:tc>
          <w:tcPr>
            <w:tcW w:w="420" w:type="dxa"/>
            <w:vAlign w:val="bottom"/>
            <w:vMerge w:val="continue"/>
          </w:tcPr>
          <w:p>
            <w:pPr>
              <w:spacing w:after="0"/>
              <w:rPr>
                <w:sz w:val="14"/>
                <w:szCs w:val="14"/>
                <w:color w:val="auto"/>
              </w:rPr>
            </w:pPr>
          </w:p>
        </w:tc>
        <w:tc>
          <w:tcPr>
            <w:tcW w:w="20" w:type="dxa"/>
            <w:vAlign w:val="bottom"/>
            <w:vMerge w:val="continue"/>
          </w:tcPr>
          <w:p>
            <w:pPr>
              <w:spacing w:after="0"/>
              <w:rPr>
                <w:sz w:val="14"/>
                <w:szCs w:val="14"/>
                <w:color w:val="auto"/>
              </w:rPr>
            </w:pPr>
          </w:p>
        </w:tc>
        <w:tc>
          <w:tcPr>
            <w:tcW w:w="80" w:type="dxa"/>
            <w:vAlign w:val="bottom"/>
            <w:vMerge w:val="continue"/>
          </w:tcPr>
          <w:p>
            <w:pPr>
              <w:spacing w:after="0"/>
              <w:rPr>
                <w:sz w:val="14"/>
                <w:szCs w:val="14"/>
                <w:color w:val="auto"/>
              </w:rPr>
            </w:pPr>
          </w:p>
        </w:tc>
        <w:tc>
          <w:tcPr>
            <w:tcW w:w="80" w:type="dxa"/>
            <w:vAlign w:val="bottom"/>
          </w:tcPr>
          <w:p>
            <w:pPr>
              <w:jc w:val="right"/>
              <w:spacing w:after="0" w:line="164" w:lineRule="exact"/>
              <w:rPr>
                <w:rFonts w:ascii="Arial" w:cs="Arial" w:eastAsia="Arial" w:hAnsi="Arial"/>
                <w:sz w:val="15"/>
                <w:szCs w:val="15"/>
                <w:color w:val="0000EE"/>
                <w:w w:val="71"/>
              </w:rPr>
            </w:pPr>
            <w:hyperlink w:anchor="page17">
              <w:r>
                <w:rPr>
                  <w:rFonts w:ascii="Arial" w:cs="Arial" w:eastAsia="Arial" w:hAnsi="Arial"/>
                  <w:sz w:val="15"/>
                  <w:szCs w:val="15"/>
                  <w:color w:val="0000EE"/>
                  <w:w w:val="71"/>
                </w:rPr>
                <w:t>8</w:t>
              </w:r>
            </w:hyperlink>
          </w:p>
        </w:tc>
        <w:tc>
          <w:tcPr>
            <w:tcW w:w="20" w:type="dxa"/>
            <w:vAlign w:val="bottom"/>
            <w:vMerge w:val="continue"/>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020" w:type="dxa"/>
            <w:vAlign w:val="bottom"/>
            <w:tcBorders>
              <w:top w:val="single" w:sz="8" w:color="0000EE"/>
            </w:tcBorders>
            <w:gridSpan w:val="10"/>
          </w:tcPr>
          <w:p>
            <w:pPr>
              <w:spacing w:after="0" w:line="164" w:lineRule="exact"/>
              <w:rPr>
                <w:rFonts w:ascii="Arial" w:cs="Arial" w:eastAsia="Arial" w:hAnsi="Arial"/>
                <w:sz w:val="16"/>
                <w:szCs w:val="16"/>
                <w:color w:val="0000EE"/>
              </w:rPr>
            </w:pPr>
            <w:hyperlink w:anchor="page17">
              <w:r>
                <w:rPr>
                  <w:rFonts w:ascii="Arial" w:cs="Arial" w:eastAsia="Arial" w:hAnsi="Arial"/>
                  <w:sz w:val="16"/>
                  <w:szCs w:val="16"/>
                  <w:color w:val="0000EE"/>
                </w:rPr>
                <w:t>Record Date; Shareholders</w:t>
              </w:r>
            </w:hyperlink>
          </w:p>
        </w:tc>
        <w:tc>
          <w:tcPr>
            <w:tcW w:w="6520" w:type="dxa"/>
            <w:vAlign w:val="bottom"/>
            <w:gridSpan w:val="22"/>
          </w:tcPr>
          <w:p>
            <w:pPr>
              <w:spacing w:after="0" w:line="164" w:lineRule="exact"/>
              <w:rPr>
                <w:rFonts w:ascii="Arial" w:cs="Arial" w:eastAsia="Arial" w:hAnsi="Arial"/>
                <w:sz w:val="16"/>
                <w:szCs w:val="16"/>
                <w:color w:val="0000EE"/>
              </w:rPr>
            </w:pPr>
            <w:hyperlink w:anchor="page17">
              <w:r>
                <w:rPr>
                  <w:rFonts w:ascii="Arial" w:cs="Arial" w:eastAsia="Arial" w:hAnsi="Arial"/>
                  <w:sz w:val="16"/>
                  <w:szCs w:val="16"/>
                  <w:color w:val="0000EE"/>
                </w:rPr>
                <w:t>Entitled to Vote</w:t>
              </w:r>
            </w:hyperlink>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tcBorders>
          </w:tcPr>
          <w:p>
            <w:pPr>
              <w:jc w:val="right"/>
              <w:spacing w:after="0" w:line="164" w:lineRule="exact"/>
              <w:rPr>
                <w:rFonts w:ascii="Arial" w:cs="Arial" w:eastAsia="Arial" w:hAnsi="Arial"/>
                <w:sz w:val="15"/>
                <w:szCs w:val="15"/>
                <w:color w:val="0000EE"/>
                <w:w w:val="71"/>
              </w:rPr>
            </w:pPr>
            <w:hyperlink w:anchor="page17">
              <w:r>
                <w:rPr>
                  <w:rFonts w:ascii="Arial" w:cs="Arial" w:eastAsia="Arial" w:hAnsi="Arial"/>
                  <w:sz w:val="15"/>
                  <w:szCs w:val="15"/>
                  <w:color w:val="0000EE"/>
                  <w:w w:val="71"/>
                </w:rPr>
                <w:t>8</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3060" w:type="dxa"/>
            <w:vAlign w:val="bottom"/>
            <w:tcBorders>
              <w:top w:val="single" w:sz="8" w:color="0000EE"/>
            </w:tcBorders>
            <w:gridSpan w:val="20"/>
          </w:tcPr>
          <w:p>
            <w:pPr>
              <w:spacing w:after="0" w:line="164" w:lineRule="exact"/>
              <w:rPr>
                <w:rFonts w:ascii="Arial" w:cs="Arial" w:eastAsia="Arial" w:hAnsi="Arial"/>
                <w:sz w:val="16"/>
                <w:szCs w:val="16"/>
                <w:color w:val="0000EE"/>
              </w:rPr>
            </w:pPr>
            <w:hyperlink w:anchor="page17">
              <w:r>
                <w:rPr>
                  <w:rFonts w:ascii="Arial" w:cs="Arial" w:eastAsia="Arial" w:hAnsi="Arial"/>
                  <w:sz w:val="16"/>
                  <w:szCs w:val="16"/>
                  <w:color w:val="0000EE"/>
                </w:rPr>
                <w:t>Voting</w:t>
              </w:r>
            </w:hyperlink>
          </w:p>
        </w:tc>
        <w:tc>
          <w:tcPr>
            <w:tcW w:w="2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20" w:type="dxa"/>
            <w:vAlign w:val="bottom"/>
            <w:gridSpan w:val="2"/>
          </w:tcPr>
          <w:p>
            <w:pPr>
              <w:spacing w:after="0"/>
              <w:rPr>
                <w:sz w:val="14"/>
                <w:szCs w:val="14"/>
                <w:color w:val="auto"/>
              </w:rPr>
            </w:pPr>
          </w:p>
        </w:tc>
        <w:tc>
          <w:tcPr>
            <w:tcW w:w="60" w:type="dxa"/>
            <w:vAlign w:val="bottom"/>
          </w:tcPr>
          <w:p>
            <w:pPr>
              <w:spacing w:after="0"/>
              <w:rPr>
                <w:sz w:val="14"/>
                <w:szCs w:val="14"/>
                <w:color w:val="auto"/>
              </w:rPr>
            </w:pPr>
          </w:p>
        </w:tc>
        <w:tc>
          <w:tcPr>
            <w:tcW w:w="900" w:type="dxa"/>
            <w:vAlign w:val="bottom"/>
            <w:gridSpan w:val="3"/>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tcBorders>
          </w:tcPr>
          <w:p>
            <w:pPr>
              <w:jc w:val="right"/>
              <w:spacing w:after="0" w:line="164" w:lineRule="exact"/>
              <w:rPr>
                <w:rFonts w:ascii="Arial" w:cs="Arial" w:eastAsia="Arial" w:hAnsi="Arial"/>
                <w:sz w:val="15"/>
                <w:szCs w:val="15"/>
                <w:color w:val="0000EE"/>
                <w:w w:val="71"/>
              </w:rPr>
            </w:pPr>
            <w:hyperlink w:anchor="page17">
              <w:r>
                <w:rPr>
                  <w:rFonts w:ascii="Arial" w:cs="Arial" w:eastAsia="Arial" w:hAnsi="Arial"/>
                  <w:sz w:val="15"/>
                  <w:szCs w:val="15"/>
                  <w:color w:val="0000EE"/>
                  <w:w w:val="71"/>
                </w:rPr>
                <w:t>8</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440" w:type="dxa"/>
            <w:vAlign w:val="bottom"/>
            <w:tcBorders>
              <w:top w:val="single" w:sz="8" w:color="0000EE"/>
              <w:bottom w:val="single" w:sz="8" w:color="0000EE"/>
            </w:tcBorders>
          </w:tcPr>
          <w:p>
            <w:pPr>
              <w:spacing w:after="0" w:line="164" w:lineRule="exact"/>
              <w:rPr>
                <w:rFonts w:ascii="Arial" w:cs="Arial" w:eastAsia="Arial" w:hAnsi="Arial"/>
                <w:sz w:val="16"/>
                <w:szCs w:val="16"/>
                <w:color w:val="0000EE"/>
                <w:w w:val="72"/>
              </w:rPr>
            </w:pPr>
            <w:hyperlink w:anchor="page18">
              <w:r>
                <w:rPr>
                  <w:rFonts w:ascii="Arial" w:cs="Arial" w:eastAsia="Arial" w:hAnsi="Arial"/>
                  <w:sz w:val="16"/>
                  <w:szCs w:val="16"/>
                  <w:color w:val="0000EE"/>
                  <w:w w:val="72"/>
                </w:rPr>
                <w:t>Quorum</w:t>
              </w:r>
            </w:hyperlink>
          </w:p>
        </w:tc>
        <w:tc>
          <w:tcPr>
            <w:tcW w:w="140" w:type="dxa"/>
            <w:vAlign w:val="bottom"/>
            <w:tcBorders>
              <w:bottom w:val="single" w:sz="8" w:color="0000EE"/>
            </w:tcBorders>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0" w:type="dxa"/>
            <w:vAlign w:val="bottom"/>
            <w:gridSpan w:val="3"/>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20" w:type="dxa"/>
            <w:vAlign w:val="bottom"/>
            <w:gridSpan w:val="5"/>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gridSpan w:val="2"/>
          </w:tcPr>
          <w:p>
            <w:pPr>
              <w:spacing w:after="0"/>
              <w:rPr>
                <w:sz w:val="14"/>
                <w:szCs w:val="14"/>
                <w:color w:val="auto"/>
              </w:rPr>
            </w:pPr>
          </w:p>
        </w:tc>
        <w:tc>
          <w:tcPr>
            <w:tcW w:w="840" w:type="dxa"/>
            <w:vAlign w:val="bottom"/>
            <w:gridSpan w:val="4"/>
          </w:tcPr>
          <w:p>
            <w:pPr>
              <w:spacing w:after="0"/>
              <w:rPr>
                <w:sz w:val="14"/>
                <w:szCs w:val="14"/>
                <w:color w:val="auto"/>
              </w:rPr>
            </w:pPr>
          </w:p>
        </w:tc>
        <w:tc>
          <w:tcPr>
            <w:tcW w:w="380" w:type="dxa"/>
            <w:vAlign w:val="bottom"/>
          </w:tcPr>
          <w:p>
            <w:pPr>
              <w:spacing w:after="0"/>
              <w:rPr>
                <w:sz w:val="14"/>
                <w:szCs w:val="14"/>
                <w:color w:val="auto"/>
              </w:rPr>
            </w:pPr>
          </w:p>
        </w:tc>
        <w:tc>
          <w:tcPr>
            <w:tcW w:w="720" w:type="dxa"/>
            <w:vAlign w:val="bottom"/>
            <w:gridSpan w:val="2"/>
          </w:tcPr>
          <w:p>
            <w:pPr>
              <w:spacing w:after="0"/>
              <w:rPr>
                <w:sz w:val="14"/>
                <w:szCs w:val="14"/>
                <w:color w:val="auto"/>
              </w:rPr>
            </w:pPr>
          </w:p>
        </w:tc>
        <w:tc>
          <w:tcPr>
            <w:tcW w:w="60" w:type="dxa"/>
            <w:vAlign w:val="bottom"/>
          </w:tcPr>
          <w:p>
            <w:pPr>
              <w:spacing w:after="0"/>
              <w:rPr>
                <w:sz w:val="14"/>
                <w:szCs w:val="14"/>
                <w:color w:val="auto"/>
              </w:rPr>
            </w:pPr>
          </w:p>
        </w:tc>
        <w:tc>
          <w:tcPr>
            <w:tcW w:w="900" w:type="dxa"/>
            <w:vAlign w:val="bottom"/>
            <w:gridSpan w:val="3"/>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0000EE"/>
              <w:bottom w:val="single" w:sz="8" w:color="0000EE"/>
            </w:tcBorders>
          </w:tcPr>
          <w:p>
            <w:pPr>
              <w:jc w:val="right"/>
              <w:spacing w:after="0" w:line="164" w:lineRule="exact"/>
              <w:rPr>
                <w:rFonts w:ascii="Arial" w:cs="Arial" w:eastAsia="Arial" w:hAnsi="Arial"/>
                <w:sz w:val="15"/>
                <w:szCs w:val="15"/>
                <w:color w:val="0000EE"/>
                <w:w w:val="71"/>
              </w:rPr>
            </w:pPr>
            <w:hyperlink w:anchor="page18">
              <w:r>
                <w:rPr>
                  <w:rFonts w:ascii="Arial" w:cs="Arial" w:eastAsia="Arial" w:hAnsi="Arial"/>
                  <w:sz w:val="15"/>
                  <w:szCs w:val="15"/>
                  <w:color w:val="0000EE"/>
                  <w:w w:val="71"/>
                </w:rPr>
                <w:t>9</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1020" w:type="dxa"/>
            <w:vAlign w:val="bottom"/>
            <w:tcBorders>
              <w:bottom w:val="single" w:sz="8" w:color="0000EE"/>
            </w:tcBorders>
            <w:gridSpan w:val="3"/>
          </w:tcPr>
          <w:p>
            <w:pPr>
              <w:spacing w:after="0" w:line="164" w:lineRule="exact"/>
              <w:rPr>
                <w:rFonts w:ascii="Arial" w:cs="Arial" w:eastAsia="Arial" w:hAnsi="Arial"/>
                <w:sz w:val="16"/>
                <w:szCs w:val="16"/>
                <w:color w:val="0000EE"/>
                <w:w w:val="97"/>
              </w:rPr>
            </w:pPr>
            <w:hyperlink w:anchor="page18">
              <w:r>
                <w:rPr>
                  <w:rFonts w:ascii="Arial" w:cs="Arial" w:eastAsia="Arial" w:hAnsi="Arial"/>
                  <w:sz w:val="16"/>
                  <w:szCs w:val="16"/>
                  <w:color w:val="0000EE"/>
                  <w:w w:val="97"/>
                </w:rPr>
                <w:t>Vote Required</w:t>
              </w:r>
            </w:hyperlink>
          </w:p>
        </w:tc>
        <w:tc>
          <w:tcPr>
            <w:tcW w:w="7520" w:type="dxa"/>
            <w:vAlign w:val="bottom"/>
            <w:gridSpan w:val="29"/>
          </w:tcPr>
          <w:p>
            <w:pPr>
              <w:spacing w:after="0"/>
              <w:rPr>
                <w:sz w:val="14"/>
                <w:szCs w:val="14"/>
                <w:color w:val="auto"/>
              </w:rPr>
            </w:pPr>
          </w:p>
        </w:tc>
        <w:tc>
          <w:tcPr>
            <w:tcW w:w="4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bottom w:val="single" w:sz="8" w:color="0000EE"/>
            </w:tcBorders>
          </w:tcPr>
          <w:p>
            <w:pPr>
              <w:jc w:val="right"/>
              <w:spacing w:after="0" w:line="164" w:lineRule="exact"/>
              <w:rPr>
                <w:rFonts w:ascii="Arial" w:cs="Arial" w:eastAsia="Arial" w:hAnsi="Arial"/>
                <w:sz w:val="15"/>
                <w:szCs w:val="15"/>
                <w:color w:val="0000EE"/>
                <w:w w:val="71"/>
              </w:rPr>
            </w:pPr>
            <w:hyperlink w:anchor="page18">
              <w:r>
                <w:rPr>
                  <w:rFonts w:ascii="Arial" w:cs="Arial" w:eastAsia="Arial" w:hAnsi="Arial"/>
                  <w:sz w:val="15"/>
                  <w:szCs w:val="15"/>
                  <w:color w:val="0000EE"/>
                  <w:w w:val="71"/>
                </w:rPr>
                <w:t>9</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19">
              <w:r>
                <w:rPr>
                  <w:rFonts w:ascii="Arial" w:cs="Arial" w:eastAsia="Arial" w:hAnsi="Arial"/>
                  <w:sz w:val="16"/>
                  <w:szCs w:val="16"/>
                  <w:color w:val="0000EE"/>
                </w:rPr>
                <w:t>Board Recommendations</w:t>
              </w:r>
            </w:hyperlink>
          </w:p>
        </w:tc>
        <w:tc>
          <w:tcPr>
            <w:tcW w:w="600" w:type="dxa"/>
            <w:vAlign w:val="bottom"/>
            <w:gridSpan w:val="4"/>
          </w:tcPr>
          <w:p>
            <w:pPr>
              <w:jc w:val="right"/>
              <w:spacing w:after="0" w:line="164" w:lineRule="exact"/>
              <w:rPr>
                <w:rFonts w:ascii="Arial" w:cs="Arial" w:eastAsia="Arial" w:hAnsi="Arial"/>
                <w:sz w:val="16"/>
                <w:szCs w:val="16"/>
                <w:color w:val="0000EE"/>
              </w:rPr>
            </w:pPr>
            <w:hyperlink w:anchor="page19">
              <w:r>
                <w:rPr>
                  <w:rFonts w:ascii="Arial" w:cs="Arial" w:eastAsia="Arial" w:hAnsi="Arial"/>
                  <w:sz w:val="16"/>
                  <w:szCs w:val="16"/>
                  <w:color w:val="0000EE"/>
                </w:rPr>
                <w:t>10</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1800" w:type="dxa"/>
            <w:vAlign w:val="bottom"/>
            <w:tcBorders>
              <w:top w:val="single" w:sz="8" w:color="0000EE"/>
            </w:tcBorders>
            <w:gridSpan w:val="8"/>
          </w:tcPr>
          <w:p>
            <w:pPr>
              <w:spacing w:after="0" w:line="164" w:lineRule="exact"/>
              <w:rPr>
                <w:rFonts w:ascii="Arial" w:cs="Arial" w:eastAsia="Arial" w:hAnsi="Arial"/>
                <w:sz w:val="16"/>
                <w:szCs w:val="16"/>
                <w:color w:val="0000EE"/>
                <w:w w:val="99"/>
              </w:rPr>
            </w:pPr>
            <w:hyperlink w:anchor="page20">
              <w:r>
                <w:rPr>
                  <w:rFonts w:ascii="Arial" w:cs="Arial" w:eastAsia="Arial" w:hAnsi="Arial"/>
                  <w:sz w:val="16"/>
                  <w:szCs w:val="16"/>
                  <w:color w:val="0000EE"/>
                  <w:w w:val="99"/>
                </w:rPr>
                <w:t>Attendance at the Annual</w:t>
              </w:r>
            </w:hyperlink>
          </w:p>
        </w:tc>
        <w:tc>
          <w:tcPr>
            <w:tcW w:w="6740" w:type="dxa"/>
            <w:vAlign w:val="bottom"/>
            <w:gridSpan w:val="24"/>
          </w:tcPr>
          <w:p>
            <w:pPr>
              <w:ind w:left="40"/>
              <w:spacing w:after="0" w:line="164" w:lineRule="exact"/>
              <w:rPr>
                <w:rFonts w:ascii="Arial" w:cs="Arial" w:eastAsia="Arial" w:hAnsi="Arial"/>
                <w:sz w:val="16"/>
                <w:szCs w:val="16"/>
                <w:color w:val="0000EE"/>
              </w:rPr>
            </w:pPr>
            <w:hyperlink w:anchor="page20">
              <w:r>
                <w:rPr>
                  <w:rFonts w:ascii="Arial" w:cs="Arial" w:eastAsia="Arial" w:hAnsi="Arial"/>
                  <w:sz w:val="16"/>
                  <w:szCs w:val="16"/>
                  <w:color w:val="0000EE"/>
                </w:rPr>
                <w:t>Meeting</w:t>
              </w:r>
            </w:hyperlink>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0">
              <w:r>
                <w:rPr>
                  <w:rFonts w:ascii="Arial" w:cs="Arial" w:eastAsia="Arial" w:hAnsi="Arial"/>
                  <w:sz w:val="16"/>
                  <w:szCs w:val="16"/>
                  <w:color w:val="0000EE"/>
                  <w:w w:val="89"/>
                </w:rPr>
                <w:t>11</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20" w:type="dxa"/>
            <w:vAlign w:val="bottom"/>
            <w:gridSpan w:val="4"/>
            <w:shd w:val="clear" w:color="auto" w:fill="0000EE"/>
          </w:tcPr>
          <w:p>
            <w:pPr>
              <w:spacing w:after="0" w:line="20" w:lineRule="exact"/>
              <w:rPr>
                <w:sz w:val="1"/>
                <w:szCs w:val="1"/>
                <w:color w:val="auto"/>
              </w:rPr>
            </w:pPr>
          </w:p>
        </w:tc>
        <w:tc>
          <w:tcPr>
            <w:tcW w:w="400" w:type="dxa"/>
            <w:vAlign w:val="bottom"/>
            <w:gridSpan w:val="3"/>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20" w:type="dxa"/>
            <w:vAlign w:val="bottom"/>
            <w:gridSpan w:val="5"/>
            <w:shd w:val="clear" w:color="auto" w:fill="0000EE"/>
          </w:tcPr>
          <w:p>
            <w:pPr>
              <w:spacing w:after="0" w:line="20" w:lineRule="exact"/>
              <w:rPr>
                <w:sz w:val="1"/>
                <w:szCs w:val="1"/>
                <w:color w:val="auto"/>
              </w:rPr>
            </w:pPr>
          </w:p>
        </w:tc>
        <w:tc>
          <w:tcPr>
            <w:tcW w:w="120" w:type="dxa"/>
            <w:vAlign w:val="bottom"/>
            <w:tcBorders>
              <w:right w:val="single" w:sz="8" w:color="0000EE"/>
            </w:tcBorders>
            <w:shd w:val="clear" w:color="auto" w:fill="0000EE"/>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840" w:type="dxa"/>
            <w:vAlign w:val="bottom"/>
            <w:gridSpan w:val="4"/>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0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40" w:type="dxa"/>
            <w:vAlign w:val="bottom"/>
            <w:gridSpan w:val="2"/>
            <w:vMerge w:val="restart"/>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21">
              <w:r>
                <w:rPr>
                  <w:rFonts w:ascii="Arial" w:cs="Arial" w:eastAsia="Arial" w:hAnsi="Arial"/>
                  <w:sz w:val="16"/>
                  <w:szCs w:val="16"/>
                  <w:color w:val="0000EE"/>
                </w:rPr>
                <w:t>Delivery of Annual Reports and Proxy Statements to a Shared Address and Obtaining a Copy of the Annual Report</w:t>
              </w:r>
            </w:hyperlink>
          </w:p>
        </w:tc>
        <w:tc>
          <w:tcPr>
            <w:tcW w:w="440" w:type="dxa"/>
            <w:vAlign w:val="bottom"/>
            <w:gridSpan w:val="2"/>
            <w:vMerge w:val="continue"/>
          </w:tcPr>
          <w:p>
            <w:pPr>
              <w:spacing w:after="0"/>
              <w:rPr>
                <w:sz w:val="14"/>
                <w:szCs w:val="14"/>
                <w:color w:val="auto"/>
              </w:rPr>
            </w:pPr>
          </w:p>
        </w:tc>
        <w:tc>
          <w:tcPr>
            <w:tcW w:w="160" w:type="dxa"/>
            <w:vAlign w:val="bottom"/>
            <w:gridSpan w:val="2"/>
          </w:tcPr>
          <w:p>
            <w:pPr>
              <w:jc w:val="right"/>
              <w:spacing w:after="0" w:line="164" w:lineRule="exact"/>
              <w:rPr>
                <w:rFonts w:ascii="Arial" w:cs="Arial" w:eastAsia="Arial" w:hAnsi="Arial"/>
                <w:sz w:val="16"/>
                <w:szCs w:val="16"/>
                <w:color w:val="0000EE"/>
                <w:w w:val="78"/>
              </w:rPr>
            </w:pPr>
            <w:hyperlink w:anchor="page21">
              <w:r>
                <w:rPr>
                  <w:rFonts w:ascii="Arial" w:cs="Arial" w:eastAsia="Arial" w:hAnsi="Arial"/>
                  <w:sz w:val="16"/>
                  <w:szCs w:val="16"/>
                  <w:color w:val="0000EE"/>
                  <w:w w:val="78"/>
                </w:rPr>
                <w:t>12</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100" w:type="dxa"/>
            <w:vAlign w:val="bottom"/>
            <w:tcBorders>
              <w:top w:val="single" w:sz="8" w:color="0000EE"/>
            </w:tcBorders>
            <w:gridSpan w:val="31"/>
          </w:tcPr>
          <w:p>
            <w:pPr>
              <w:spacing w:after="0" w:line="164" w:lineRule="exact"/>
              <w:rPr>
                <w:rFonts w:ascii="Arial" w:cs="Arial" w:eastAsia="Arial" w:hAnsi="Arial"/>
                <w:sz w:val="16"/>
                <w:szCs w:val="16"/>
                <w:color w:val="0000EE"/>
              </w:rPr>
            </w:pPr>
            <w:hyperlink w:anchor="page22">
              <w:r>
                <w:rPr>
                  <w:rFonts w:ascii="Arial" w:cs="Arial" w:eastAsia="Arial" w:hAnsi="Arial"/>
                  <w:sz w:val="16"/>
                  <w:szCs w:val="16"/>
                  <w:color w:val="0000EE"/>
                </w:rPr>
                <w:t>Shareholder Proposals or Director Nominations for the 2017 Annual Meeting</w:t>
              </w:r>
            </w:hyperlink>
          </w:p>
        </w:tc>
        <w:tc>
          <w:tcPr>
            <w:tcW w:w="4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2">
              <w:r>
                <w:rPr>
                  <w:rFonts w:ascii="Arial" w:cs="Arial" w:eastAsia="Arial" w:hAnsi="Arial"/>
                  <w:sz w:val="16"/>
                  <w:szCs w:val="16"/>
                  <w:color w:val="0000EE"/>
                  <w:w w:val="89"/>
                </w:rPr>
                <w:t>13</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5400" w:type="dxa"/>
            <w:vAlign w:val="bottom"/>
            <w:tcBorders>
              <w:top w:val="single" w:sz="8" w:color="0000EE"/>
            </w:tcBorders>
            <w:gridSpan w:val="29"/>
          </w:tcPr>
          <w:p>
            <w:pPr>
              <w:spacing w:after="0" w:line="164" w:lineRule="exact"/>
              <w:rPr>
                <w:rFonts w:ascii="Arial" w:cs="Arial" w:eastAsia="Arial" w:hAnsi="Arial"/>
                <w:sz w:val="16"/>
                <w:szCs w:val="16"/>
                <w:color w:val="0000EE"/>
              </w:rPr>
            </w:pPr>
            <w:hyperlink w:anchor="page22">
              <w:r>
                <w:rPr>
                  <w:rFonts w:ascii="Arial" w:cs="Arial" w:eastAsia="Arial" w:hAnsi="Arial"/>
                  <w:sz w:val="16"/>
                  <w:szCs w:val="16"/>
                  <w:color w:val="0000EE"/>
                </w:rPr>
                <w:t>Proxy Solicitation</w:t>
              </w:r>
            </w:hyperlink>
          </w:p>
        </w:tc>
        <w:tc>
          <w:tcPr>
            <w:tcW w:w="560" w:type="dxa"/>
            <w:vAlign w:val="bottom"/>
          </w:tcPr>
          <w:p>
            <w:pPr>
              <w:spacing w:after="0"/>
              <w:rPr>
                <w:sz w:val="14"/>
                <w:szCs w:val="14"/>
                <w:color w:val="auto"/>
              </w:rPr>
            </w:pPr>
          </w:p>
        </w:tc>
        <w:tc>
          <w:tcPr>
            <w:tcW w:w="2580" w:type="dxa"/>
            <w:vAlign w:val="bottom"/>
            <w:gridSpan w:val="2"/>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2">
              <w:r>
                <w:rPr>
                  <w:rFonts w:ascii="Arial" w:cs="Arial" w:eastAsia="Arial" w:hAnsi="Arial"/>
                  <w:sz w:val="16"/>
                  <w:szCs w:val="16"/>
                  <w:color w:val="0000EE"/>
                  <w:w w:val="89"/>
                </w:rPr>
                <w:t>13</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20" w:type="dxa"/>
            <w:vAlign w:val="bottom"/>
            <w:gridSpan w:val="4"/>
            <w:shd w:val="clear" w:color="auto" w:fill="0000EE"/>
          </w:tcPr>
          <w:p>
            <w:pPr>
              <w:spacing w:after="0" w:line="20" w:lineRule="exact"/>
              <w:rPr>
                <w:sz w:val="1"/>
                <w:szCs w:val="1"/>
                <w:color w:val="auto"/>
              </w:rPr>
            </w:pPr>
          </w:p>
        </w:tc>
        <w:tc>
          <w:tcPr>
            <w:tcW w:w="4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20" w:type="dxa"/>
            <w:vAlign w:val="bottom"/>
            <w:gridSpan w:val="5"/>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840" w:type="dxa"/>
            <w:vAlign w:val="bottom"/>
            <w:gridSpan w:val="4"/>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900" w:type="dxa"/>
            <w:vAlign w:val="bottom"/>
            <w:gridSpan w:val="3"/>
          </w:tcPr>
          <w:p>
            <w:pPr>
              <w:spacing w:after="0" w:line="20" w:lineRule="exact"/>
              <w:rPr>
                <w:sz w:val="1"/>
                <w:szCs w:val="1"/>
                <w:color w:val="auto"/>
              </w:rPr>
            </w:pPr>
          </w:p>
        </w:tc>
        <w:tc>
          <w:tcPr>
            <w:tcW w:w="580" w:type="dxa"/>
            <w:vAlign w:val="bottom"/>
            <w:gridSpan w:val="2"/>
          </w:tcPr>
          <w:p>
            <w:pPr>
              <w:spacing w:after="0" w:line="20" w:lineRule="exact"/>
              <w:rPr>
                <w:sz w:val="1"/>
                <w:szCs w:val="1"/>
                <w:color w:val="auto"/>
              </w:rPr>
            </w:pPr>
          </w:p>
        </w:tc>
        <w:tc>
          <w:tcPr>
            <w:tcW w:w="258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b w:val="1"/>
                <w:bCs w:val="1"/>
                <w:color w:val="0000EE"/>
              </w:rPr>
            </w:pPr>
            <w:hyperlink w:anchor="page23">
              <w:r>
                <w:rPr>
                  <w:rFonts w:ascii="Arial" w:cs="Arial" w:eastAsia="Arial" w:hAnsi="Arial"/>
                  <w:sz w:val="16"/>
                  <w:szCs w:val="16"/>
                  <w:b w:val="1"/>
                  <w:bCs w:val="1"/>
                  <w:color w:val="0000EE"/>
                </w:rPr>
                <w:t>INFORMATION ABOUT OUR BOARD AND CORPORATE GOVERNANCE</w:t>
              </w:r>
            </w:hyperlink>
          </w:p>
        </w:tc>
        <w:tc>
          <w:tcPr>
            <w:tcW w:w="600" w:type="dxa"/>
            <w:vAlign w:val="bottom"/>
            <w:gridSpan w:val="4"/>
          </w:tcPr>
          <w:p>
            <w:pPr>
              <w:jc w:val="right"/>
              <w:spacing w:after="0"/>
              <w:rPr>
                <w:rFonts w:ascii="Arial" w:cs="Arial" w:eastAsia="Arial" w:hAnsi="Arial"/>
                <w:sz w:val="16"/>
                <w:szCs w:val="16"/>
                <w:b w:val="1"/>
                <w:bCs w:val="1"/>
                <w:color w:val="0000EE"/>
              </w:rPr>
            </w:pPr>
            <w:hyperlink w:anchor="page23">
              <w:r>
                <w:rPr>
                  <w:rFonts w:ascii="Arial" w:cs="Arial" w:eastAsia="Arial" w:hAnsi="Arial"/>
                  <w:sz w:val="16"/>
                  <w:szCs w:val="16"/>
                  <w:b w:val="1"/>
                  <w:bCs w:val="1"/>
                  <w:color w:val="0000EE"/>
                </w:rPr>
                <w:t>14</w:t>
              </w:r>
            </w:hyperlink>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30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6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4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60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color w:val="0000EE"/>
              </w:rPr>
            </w:pPr>
            <w:hyperlink w:anchor="page23">
              <w:r>
                <w:rPr>
                  <w:rFonts w:ascii="Arial" w:cs="Arial" w:eastAsia="Arial" w:hAnsi="Arial"/>
                  <w:sz w:val="16"/>
                  <w:szCs w:val="16"/>
                  <w:color w:val="0000EE"/>
                </w:rPr>
                <w:t>Board Meetings and Attendance</w:t>
              </w:r>
            </w:hyperlink>
          </w:p>
        </w:tc>
        <w:tc>
          <w:tcPr>
            <w:tcW w:w="600" w:type="dxa"/>
            <w:vAlign w:val="bottom"/>
            <w:gridSpan w:val="4"/>
          </w:tcPr>
          <w:p>
            <w:pPr>
              <w:jc w:val="right"/>
              <w:spacing w:after="0"/>
              <w:rPr>
                <w:rFonts w:ascii="Arial" w:cs="Arial" w:eastAsia="Arial" w:hAnsi="Arial"/>
                <w:sz w:val="16"/>
                <w:szCs w:val="16"/>
                <w:color w:val="0000EE"/>
              </w:rPr>
            </w:pPr>
            <w:hyperlink w:anchor="page23">
              <w:r>
                <w:rPr>
                  <w:rFonts w:ascii="Arial" w:cs="Arial" w:eastAsia="Arial" w:hAnsi="Arial"/>
                  <w:sz w:val="16"/>
                  <w:szCs w:val="16"/>
                  <w:color w:val="0000EE"/>
                </w:rPr>
                <w:t>14</w:t>
              </w:r>
            </w:hyperlink>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280" w:type="dxa"/>
            <w:vAlign w:val="bottom"/>
            <w:tcBorders>
              <w:top w:val="single" w:sz="8" w:color="0000EE"/>
            </w:tcBorders>
            <w:gridSpan w:val="14"/>
          </w:tcPr>
          <w:p>
            <w:pPr>
              <w:spacing w:after="0" w:line="164" w:lineRule="exact"/>
              <w:rPr>
                <w:rFonts w:ascii="Arial" w:cs="Arial" w:eastAsia="Arial" w:hAnsi="Arial"/>
                <w:sz w:val="16"/>
                <w:szCs w:val="16"/>
                <w:color w:val="0000EE"/>
              </w:rPr>
            </w:pPr>
            <w:hyperlink w:anchor="page23">
              <w:r>
                <w:rPr>
                  <w:rFonts w:ascii="Arial" w:cs="Arial" w:eastAsia="Arial" w:hAnsi="Arial"/>
                  <w:sz w:val="16"/>
                  <w:szCs w:val="16"/>
                  <w:color w:val="0000EE"/>
                </w:rPr>
                <w:t>Board Committees</w:t>
              </w:r>
            </w:hyperlink>
          </w:p>
        </w:tc>
        <w:tc>
          <w:tcPr>
            <w:tcW w:w="120" w:type="dxa"/>
            <w:vAlign w:val="bottom"/>
          </w:tcPr>
          <w:p>
            <w:pPr>
              <w:spacing w:after="0"/>
              <w:rPr>
                <w:sz w:val="14"/>
                <w:szCs w:val="14"/>
                <w:color w:val="auto"/>
              </w:rPr>
            </w:pPr>
          </w:p>
        </w:tc>
        <w:tc>
          <w:tcPr>
            <w:tcW w:w="80" w:type="dxa"/>
            <w:vAlign w:val="bottom"/>
            <w:gridSpan w:val="2"/>
          </w:tcPr>
          <w:p>
            <w:pPr>
              <w:spacing w:after="0"/>
              <w:rPr>
                <w:sz w:val="14"/>
                <w:szCs w:val="14"/>
                <w:color w:val="auto"/>
              </w:rPr>
            </w:pPr>
          </w:p>
        </w:tc>
        <w:tc>
          <w:tcPr>
            <w:tcW w:w="840" w:type="dxa"/>
            <w:vAlign w:val="bottom"/>
            <w:gridSpan w:val="4"/>
          </w:tcPr>
          <w:p>
            <w:pPr>
              <w:spacing w:after="0"/>
              <w:rPr>
                <w:sz w:val="14"/>
                <w:szCs w:val="14"/>
                <w:color w:val="auto"/>
              </w:rPr>
            </w:pPr>
          </w:p>
        </w:tc>
        <w:tc>
          <w:tcPr>
            <w:tcW w:w="380" w:type="dxa"/>
            <w:vAlign w:val="bottom"/>
          </w:tcPr>
          <w:p>
            <w:pPr>
              <w:spacing w:after="0"/>
              <w:rPr>
                <w:sz w:val="14"/>
                <w:szCs w:val="14"/>
                <w:color w:val="auto"/>
              </w:rPr>
            </w:pPr>
          </w:p>
        </w:tc>
        <w:tc>
          <w:tcPr>
            <w:tcW w:w="720" w:type="dxa"/>
            <w:vAlign w:val="bottom"/>
            <w:gridSpan w:val="2"/>
          </w:tcPr>
          <w:p>
            <w:pPr>
              <w:spacing w:after="0"/>
              <w:rPr>
                <w:sz w:val="14"/>
                <w:szCs w:val="14"/>
                <w:color w:val="auto"/>
              </w:rPr>
            </w:pPr>
          </w:p>
        </w:tc>
        <w:tc>
          <w:tcPr>
            <w:tcW w:w="60" w:type="dxa"/>
            <w:vAlign w:val="bottom"/>
          </w:tcPr>
          <w:p>
            <w:pPr>
              <w:spacing w:after="0"/>
              <w:rPr>
                <w:sz w:val="14"/>
                <w:szCs w:val="14"/>
                <w:color w:val="auto"/>
              </w:rPr>
            </w:pPr>
          </w:p>
        </w:tc>
        <w:tc>
          <w:tcPr>
            <w:tcW w:w="1480" w:type="dxa"/>
            <w:vAlign w:val="bottom"/>
            <w:gridSpan w:val="5"/>
          </w:tcPr>
          <w:p>
            <w:pPr>
              <w:spacing w:after="0"/>
              <w:rPr>
                <w:sz w:val="14"/>
                <w:szCs w:val="14"/>
                <w:color w:val="auto"/>
              </w:rPr>
            </w:pPr>
          </w:p>
        </w:tc>
        <w:tc>
          <w:tcPr>
            <w:tcW w:w="2580" w:type="dxa"/>
            <w:vAlign w:val="bottom"/>
            <w:gridSpan w:val="2"/>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3">
              <w:r>
                <w:rPr>
                  <w:rFonts w:ascii="Arial" w:cs="Arial" w:eastAsia="Arial" w:hAnsi="Arial"/>
                  <w:sz w:val="16"/>
                  <w:szCs w:val="16"/>
                  <w:color w:val="0000EE"/>
                  <w:w w:val="89"/>
                </w:rPr>
                <w:t>14</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320" w:type="dxa"/>
            <w:vAlign w:val="bottom"/>
            <w:gridSpan w:val="5"/>
            <w:shd w:val="clear" w:color="auto" w:fill="0000EE"/>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540" w:type="dxa"/>
            <w:vAlign w:val="bottom"/>
            <w:gridSpan w:val="6"/>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840" w:type="dxa"/>
            <w:vAlign w:val="bottom"/>
            <w:gridSpan w:val="4"/>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80" w:type="dxa"/>
            <w:vAlign w:val="bottom"/>
            <w:gridSpan w:val="5"/>
          </w:tcPr>
          <w:p>
            <w:pPr>
              <w:spacing w:after="0" w:line="20" w:lineRule="exact"/>
              <w:rPr>
                <w:sz w:val="1"/>
                <w:szCs w:val="1"/>
                <w:color w:val="auto"/>
              </w:rPr>
            </w:pPr>
          </w:p>
        </w:tc>
        <w:tc>
          <w:tcPr>
            <w:tcW w:w="2580" w:type="dxa"/>
            <w:vAlign w:val="bottom"/>
            <w:gridSpan w:val="2"/>
          </w:tcPr>
          <w:p>
            <w:pPr>
              <w:spacing w:after="0" w:line="20" w:lineRule="exact"/>
              <w:rPr>
                <w:sz w:val="1"/>
                <w:szCs w:val="1"/>
                <w:color w:val="auto"/>
              </w:rPr>
            </w:pPr>
          </w:p>
        </w:tc>
        <w:tc>
          <w:tcPr>
            <w:tcW w:w="420" w:type="dxa"/>
            <w:vAlign w:val="bottom"/>
            <w:vMerge w:val="restart"/>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26">
              <w:r>
                <w:rPr>
                  <w:rFonts w:ascii="Arial" w:cs="Arial" w:eastAsia="Arial" w:hAnsi="Arial"/>
                  <w:sz w:val="16"/>
                  <w:szCs w:val="16"/>
                  <w:color w:val="0000EE"/>
                </w:rPr>
                <w:t>The Board's Leadership Structure</w:t>
              </w:r>
            </w:hyperlink>
          </w:p>
        </w:tc>
        <w:tc>
          <w:tcPr>
            <w:tcW w:w="420" w:type="dxa"/>
            <w:vAlign w:val="bottom"/>
            <w:vMerge w:val="continue"/>
          </w:tcPr>
          <w:p>
            <w:pPr>
              <w:spacing w:after="0"/>
              <w:rPr>
                <w:sz w:val="14"/>
                <w:szCs w:val="14"/>
                <w:color w:val="auto"/>
              </w:rPr>
            </w:pPr>
          </w:p>
        </w:tc>
        <w:tc>
          <w:tcPr>
            <w:tcW w:w="180" w:type="dxa"/>
            <w:vAlign w:val="bottom"/>
            <w:gridSpan w:val="3"/>
          </w:tcPr>
          <w:p>
            <w:pPr>
              <w:jc w:val="right"/>
              <w:spacing w:after="0" w:line="164" w:lineRule="exact"/>
              <w:rPr>
                <w:rFonts w:ascii="Arial" w:cs="Arial" w:eastAsia="Arial" w:hAnsi="Arial"/>
                <w:sz w:val="16"/>
                <w:szCs w:val="16"/>
                <w:color w:val="0000EE"/>
                <w:w w:val="89"/>
              </w:rPr>
            </w:pPr>
            <w:hyperlink w:anchor="page26">
              <w:r>
                <w:rPr>
                  <w:rFonts w:ascii="Arial" w:cs="Arial" w:eastAsia="Arial" w:hAnsi="Arial"/>
                  <w:sz w:val="16"/>
                  <w:szCs w:val="16"/>
                  <w:color w:val="0000EE"/>
                  <w:w w:val="89"/>
                </w:rPr>
                <w:t>17</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400" w:type="dxa"/>
            <w:vAlign w:val="bottom"/>
            <w:tcBorders>
              <w:top w:val="single" w:sz="8" w:color="0000EE"/>
              <w:bottom w:val="single" w:sz="8" w:color="0000EE"/>
            </w:tcBorders>
            <w:gridSpan w:val="15"/>
          </w:tcPr>
          <w:p>
            <w:pPr>
              <w:spacing w:after="0" w:line="164" w:lineRule="exact"/>
              <w:rPr>
                <w:rFonts w:ascii="Arial" w:cs="Arial" w:eastAsia="Arial" w:hAnsi="Arial"/>
                <w:sz w:val="16"/>
                <w:szCs w:val="16"/>
                <w:color w:val="0000EE"/>
                <w:w w:val="94"/>
              </w:rPr>
            </w:pPr>
            <w:hyperlink w:anchor="page27">
              <w:r>
                <w:rPr>
                  <w:rFonts w:ascii="Arial" w:cs="Arial" w:eastAsia="Arial" w:hAnsi="Arial"/>
                  <w:sz w:val="16"/>
                  <w:szCs w:val="16"/>
                  <w:color w:val="0000EE"/>
                  <w:w w:val="94"/>
                </w:rPr>
                <w:t>The Board's Role in Risk Oversight</w:t>
              </w:r>
            </w:hyperlink>
          </w:p>
        </w:tc>
        <w:tc>
          <w:tcPr>
            <w:tcW w:w="80" w:type="dxa"/>
            <w:vAlign w:val="bottom"/>
            <w:tcBorders>
              <w:bottom w:val="single" w:sz="8" w:color="0000EE"/>
            </w:tcBorders>
            <w:gridSpan w:val="2"/>
          </w:tcPr>
          <w:p>
            <w:pPr>
              <w:spacing w:after="0"/>
              <w:rPr>
                <w:sz w:val="14"/>
                <w:szCs w:val="14"/>
                <w:color w:val="auto"/>
              </w:rPr>
            </w:pPr>
          </w:p>
        </w:tc>
        <w:tc>
          <w:tcPr>
            <w:tcW w:w="840" w:type="dxa"/>
            <w:vAlign w:val="bottom"/>
            <w:gridSpan w:val="4"/>
          </w:tcPr>
          <w:p>
            <w:pPr>
              <w:spacing w:after="0"/>
              <w:rPr>
                <w:sz w:val="14"/>
                <w:szCs w:val="14"/>
                <w:color w:val="auto"/>
              </w:rPr>
            </w:pPr>
          </w:p>
        </w:tc>
        <w:tc>
          <w:tcPr>
            <w:tcW w:w="380" w:type="dxa"/>
            <w:vAlign w:val="bottom"/>
          </w:tcPr>
          <w:p>
            <w:pPr>
              <w:spacing w:after="0"/>
              <w:rPr>
                <w:sz w:val="14"/>
                <w:szCs w:val="14"/>
                <w:color w:val="auto"/>
              </w:rPr>
            </w:pPr>
          </w:p>
        </w:tc>
        <w:tc>
          <w:tcPr>
            <w:tcW w:w="720" w:type="dxa"/>
            <w:vAlign w:val="bottom"/>
            <w:gridSpan w:val="2"/>
          </w:tcPr>
          <w:p>
            <w:pPr>
              <w:spacing w:after="0"/>
              <w:rPr>
                <w:sz w:val="14"/>
                <w:szCs w:val="14"/>
                <w:color w:val="auto"/>
              </w:rPr>
            </w:pPr>
          </w:p>
        </w:tc>
        <w:tc>
          <w:tcPr>
            <w:tcW w:w="60" w:type="dxa"/>
            <w:vAlign w:val="bottom"/>
          </w:tcPr>
          <w:p>
            <w:pPr>
              <w:spacing w:after="0"/>
              <w:rPr>
                <w:sz w:val="14"/>
                <w:szCs w:val="14"/>
                <w:color w:val="auto"/>
              </w:rPr>
            </w:pPr>
          </w:p>
        </w:tc>
        <w:tc>
          <w:tcPr>
            <w:tcW w:w="1480" w:type="dxa"/>
            <w:vAlign w:val="bottom"/>
            <w:gridSpan w:val="5"/>
          </w:tcPr>
          <w:p>
            <w:pPr>
              <w:spacing w:after="0"/>
              <w:rPr>
                <w:sz w:val="14"/>
                <w:szCs w:val="14"/>
                <w:color w:val="auto"/>
              </w:rPr>
            </w:pPr>
          </w:p>
        </w:tc>
        <w:tc>
          <w:tcPr>
            <w:tcW w:w="2580" w:type="dxa"/>
            <w:vAlign w:val="bottom"/>
            <w:gridSpan w:val="2"/>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bottom w:val="single" w:sz="8" w:color="0000EE"/>
            </w:tcBorders>
            <w:gridSpan w:val="3"/>
          </w:tcPr>
          <w:p>
            <w:pPr>
              <w:jc w:val="right"/>
              <w:spacing w:after="0" w:line="164" w:lineRule="exact"/>
              <w:rPr>
                <w:rFonts w:ascii="Arial" w:cs="Arial" w:eastAsia="Arial" w:hAnsi="Arial"/>
                <w:sz w:val="16"/>
                <w:szCs w:val="16"/>
                <w:color w:val="0000EE"/>
                <w:w w:val="89"/>
              </w:rPr>
            </w:pPr>
            <w:hyperlink w:anchor="page27">
              <w:r>
                <w:rPr>
                  <w:rFonts w:ascii="Arial" w:cs="Arial" w:eastAsia="Arial" w:hAnsi="Arial"/>
                  <w:sz w:val="16"/>
                  <w:szCs w:val="16"/>
                  <w:color w:val="0000EE"/>
                  <w:w w:val="89"/>
                </w:rPr>
                <w:t>18</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540" w:type="dxa"/>
            <w:vAlign w:val="bottom"/>
            <w:gridSpan w:val="32"/>
          </w:tcPr>
          <w:p>
            <w:pPr>
              <w:spacing w:after="0" w:line="164" w:lineRule="exact"/>
              <w:rPr>
                <w:rFonts w:ascii="Arial" w:cs="Arial" w:eastAsia="Arial" w:hAnsi="Arial"/>
                <w:sz w:val="16"/>
                <w:szCs w:val="16"/>
                <w:color w:val="0000EE"/>
              </w:rPr>
            </w:pPr>
            <w:hyperlink w:anchor="page28">
              <w:r>
                <w:rPr>
                  <w:rFonts w:ascii="Arial" w:cs="Arial" w:eastAsia="Arial" w:hAnsi="Arial"/>
                  <w:sz w:val="16"/>
                  <w:szCs w:val="16"/>
                  <w:color w:val="0000EE"/>
                </w:rPr>
                <w:t>Director Resignation Due to a Substantial Change in their Primary Business Position</w:t>
              </w:r>
            </w:hyperlink>
          </w:p>
        </w:tc>
        <w:tc>
          <w:tcPr>
            <w:tcW w:w="420" w:type="dxa"/>
            <w:vAlign w:val="bottom"/>
          </w:tcPr>
          <w:p>
            <w:pPr>
              <w:spacing w:after="0"/>
              <w:rPr>
                <w:sz w:val="14"/>
                <w:szCs w:val="14"/>
                <w:color w:val="auto"/>
              </w:rPr>
            </w:pPr>
          </w:p>
        </w:tc>
        <w:tc>
          <w:tcPr>
            <w:tcW w:w="180" w:type="dxa"/>
            <w:vAlign w:val="bottom"/>
            <w:gridSpan w:val="3"/>
          </w:tcPr>
          <w:p>
            <w:pPr>
              <w:jc w:val="right"/>
              <w:spacing w:after="0" w:line="164" w:lineRule="exact"/>
              <w:rPr>
                <w:rFonts w:ascii="Arial" w:cs="Arial" w:eastAsia="Arial" w:hAnsi="Arial"/>
                <w:sz w:val="16"/>
                <w:szCs w:val="16"/>
                <w:color w:val="0000EE"/>
                <w:w w:val="89"/>
              </w:rPr>
            </w:pPr>
            <w:hyperlink w:anchor="page28">
              <w:r>
                <w:rPr>
                  <w:rFonts w:ascii="Arial" w:cs="Arial" w:eastAsia="Arial" w:hAnsi="Arial"/>
                  <w:sz w:val="16"/>
                  <w:szCs w:val="16"/>
                  <w:color w:val="0000EE"/>
                  <w:w w:val="89"/>
                </w:rPr>
                <w:t>19</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5960" w:type="dxa"/>
            <w:vAlign w:val="bottom"/>
            <w:tcBorders>
              <w:top w:val="single" w:sz="8" w:color="0000EE"/>
            </w:tcBorders>
            <w:gridSpan w:val="30"/>
          </w:tcPr>
          <w:p>
            <w:pPr>
              <w:spacing w:after="0" w:line="164" w:lineRule="exact"/>
              <w:rPr>
                <w:rFonts w:ascii="Arial" w:cs="Arial" w:eastAsia="Arial" w:hAnsi="Arial"/>
                <w:sz w:val="16"/>
                <w:szCs w:val="16"/>
                <w:color w:val="0000EE"/>
              </w:rPr>
            </w:pPr>
            <w:hyperlink w:anchor="page28">
              <w:r>
                <w:rPr>
                  <w:rFonts w:ascii="Arial" w:cs="Arial" w:eastAsia="Arial" w:hAnsi="Arial"/>
                  <w:sz w:val="16"/>
                  <w:szCs w:val="16"/>
                  <w:color w:val="0000EE"/>
                </w:rPr>
                <w:t>Director Retirement Policy</w:t>
              </w:r>
            </w:hyperlink>
          </w:p>
        </w:tc>
        <w:tc>
          <w:tcPr>
            <w:tcW w:w="2580" w:type="dxa"/>
            <w:vAlign w:val="bottom"/>
            <w:gridSpan w:val="2"/>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8">
              <w:r>
                <w:rPr>
                  <w:rFonts w:ascii="Arial" w:cs="Arial" w:eastAsia="Arial" w:hAnsi="Arial"/>
                  <w:sz w:val="16"/>
                  <w:szCs w:val="16"/>
                  <w:color w:val="0000EE"/>
                  <w:w w:val="89"/>
                </w:rPr>
                <w:t>19</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1860" w:type="dxa"/>
            <w:vAlign w:val="bottom"/>
            <w:tcBorders>
              <w:top w:val="single" w:sz="8" w:color="0000EE"/>
            </w:tcBorders>
            <w:gridSpan w:val="9"/>
          </w:tcPr>
          <w:p>
            <w:pPr>
              <w:spacing w:after="0" w:line="164" w:lineRule="exact"/>
              <w:rPr>
                <w:rFonts w:ascii="Arial" w:cs="Arial" w:eastAsia="Arial" w:hAnsi="Arial"/>
                <w:sz w:val="16"/>
                <w:szCs w:val="16"/>
                <w:color w:val="0000EE"/>
              </w:rPr>
            </w:pPr>
            <w:hyperlink w:anchor="page29">
              <w:r>
                <w:rPr>
                  <w:rFonts w:ascii="Arial" w:cs="Arial" w:eastAsia="Arial" w:hAnsi="Arial"/>
                  <w:sz w:val="16"/>
                  <w:szCs w:val="16"/>
                  <w:color w:val="0000EE"/>
                </w:rPr>
                <w:t>Shareholder Engagement</w:t>
              </w:r>
            </w:hyperlink>
          </w:p>
        </w:tc>
        <w:tc>
          <w:tcPr>
            <w:tcW w:w="6680" w:type="dxa"/>
            <w:vAlign w:val="bottom"/>
            <w:gridSpan w:val="23"/>
          </w:tcPr>
          <w:p>
            <w:pPr>
              <w:spacing w:after="0" w:line="164" w:lineRule="exact"/>
              <w:rPr>
                <w:rFonts w:ascii="Arial" w:cs="Arial" w:eastAsia="Arial" w:hAnsi="Arial"/>
                <w:sz w:val="16"/>
                <w:szCs w:val="16"/>
                <w:color w:val="0000EE"/>
              </w:rPr>
            </w:pPr>
            <w:hyperlink w:anchor="page29">
              <w:r>
                <w:rPr>
                  <w:rFonts w:ascii="Arial" w:cs="Arial" w:eastAsia="Arial" w:hAnsi="Arial"/>
                  <w:sz w:val="16"/>
                  <w:szCs w:val="16"/>
                  <w:color w:val="0000EE"/>
                </w:rPr>
                <w:t>and Communications with the Board</w:t>
              </w:r>
            </w:hyperlink>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29">
              <w:r>
                <w:rPr>
                  <w:rFonts w:ascii="Arial" w:cs="Arial" w:eastAsia="Arial" w:hAnsi="Arial"/>
                  <w:sz w:val="16"/>
                  <w:szCs w:val="16"/>
                  <w:color w:val="0000EE"/>
                  <w:w w:val="89"/>
                </w:rPr>
                <w:t>20</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4420" w:type="dxa"/>
            <w:vAlign w:val="bottom"/>
            <w:tcBorders>
              <w:top w:val="single" w:sz="8" w:color="0000EE"/>
            </w:tcBorders>
            <w:gridSpan w:val="24"/>
          </w:tcPr>
          <w:p>
            <w:pPr>
              <w:spacing w:after="0" w:line="164" w:lineRule="exact"/>
              <w:rPr>
                <w:rFonts w:ascii="Arial" w:cs="Arial" w:eastAsia="Arial" w:hAnsi="Arial"/>
                <w:sz w:val="16"/>
                <w:szCs w:val="16"/>
                <w:color w:val="0000EE"/>
              </w:rPr>
            </w:pPr>
            <w:hyperlink w:anchor="page30">
              <w:r>
                <w:rPr>
                  <w:rFonts w:ascii="Arial" w:cs="Arial" w:eastAsia="Arial" w:hAnsi="Arial"/>
                  <w:sz w:val="16"/>
                  <w:szCs w:val="16"/>
                  <w:color w:val="0000EE"/>
                </w:rPr>
                <w:t>Codes of Ethics and APS Core Strategic Framework</w:t>
              </w:r>
            </w:hyperlink>
          </w:p>
        </w:tc>
        <w:tc>
          <w:tcPr>
            <w:tcW w:w="60" w:type="dxa"/>
            <w:vAlign w:val="bottom"/>
          </w:tcPr>
          <w:p>
            <w:pPr>
              <w:spacing w:after="0"/>
              <w:rPr>
                <w:sz w:val="14"/>
                <w:szCs w:val="14"/>
                <w:color w:val="auto"/>
              </w:rPr>
            </w:pPr>
          </w:p>
        </w:tc>
        <w:tc>
          <w:tcPr>
            <w:tcW w:w="4060" w:type="dxa"/>
            <w:vAlign w:val="bottom"/>
            <w:gridSpan w:val="7"/>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30">
              <w:r>
                <w:rPr>
                  <w:rFonts w:ascii="Arial" w:cs="Arial" w:eastAsia="Arial" w:hAnsi="Arial"/>
                  <w:sz w:val="16"/>
                  <w:szCs w:val="16"/>
                  <w:color w:val="0000EE"/>
                  <w:w w:val="89"/>
                </w:rPr>
                <w:t>21</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3700" w:type="dxa"/>
            <w:vAlign w:val="bottom"/>
            <w:tcBorders>
              <w:top w:val="single" w:sz="8" w:color="0000EE"/>
            </w:tcBorders>
            <w:gridSpan w:val="22"/>
          </w:tcPr>
          <w:p>
            <w:pPr>
              <w:spacing w:after="0" w:line="164" w:lineRule="exact"/>
              <w:rPr>
                <w:rFonts w:ascii="Arial" w:cs="Arial" w:eastAsia="Arial" w:hAnsi="Arial"/>
                <w:sz w:val="16"/>
                <w:szCs w:val="16"/>
                <w:color w:val="0000EE"/>
                <w:w w:val="98"/>
              </w:rPr>
            </w:pPr>
            <w:hyperlink w:anchor="page31">
              <w:r>
                <w:rPr>
                  <w:rFonts w:ascii="Arial" w:cs="Arial" w:eastAsia="Arial" w:hAnsi="Arial"/>
                  <w:sz w:val="16"/>
                  <w:szCs w:val="16"/>
                  <w:color w:val="0000EE"/>
                  <w:w w:val="98"/>
                </w:rPr>
                <w:t>Director Qualifications and Selection of Nominees for</w:t>
              </w:r>
            </w:hyperlink>
          </w:p>
        </w:tc>
        <w:tc>
          <w:tcPr>
            <w:tcW w:w="4840" w:type="dxa"/>
            <w:vAlign w:val="bottom"/>
            <w:gridSpan w:val="10"/>
          </w:tcPr>
          <w:p>
            <w:pPr>
              <w:ind w:left="80"/>
              <w:spacing w:after="0" w:line="164" w:lineRule="exact"/>
              <w:rPr>
                <w:rFonts w:ascii="Arial" w:cs="Arial" w:eastAsia="Arial" w:hAnsi="Arial"/>
                <w:sz w:val="16"/>
                <w:szCs w:val="16"/>
                <w:color w:val="0000EE"/>
              </w:rPr>
            </w:pPr>
            <w:hyperlink w:anchor="page31">
              <w:r>
                <w:rPr>
                  <w:rFonts w:ascii="Arial" w:cs="Arial" w:eastAsia="Arial" w:hAnsi="Arial"/>
                  <w:sz w:val="16"/>
                  <w:szCs w:val="16"/>
                  <w:color w:val="0000EE"/>
                </w:rPr>
                <w:t>the Board</w:t>
              </w:r>
            </w:hyperlink>
          </w:p>
        </w:tc>
        <w:tc>
          <w:tcPr>
            <w:tcW w:w="420" w:type="dxa"/>
            <w:vAlign w:val="bottom"/>
          </w:tcPr>
          <w:p>
            <w:pPr>
              <w:spacing w:after="0"/>
              <w:rPr>
                <w:sz w:val="14"/>
                <w:szCs w:val="14"/>
                <w:color w:val="auto"/>
              </w:rPr>
            </w:pPr>
          </w:p>
        </w:tc>
        <w:tc>
          <w:tcPr>
            <w:tcW w:w="180" w:type="dxa"/>
            <w:vAlign w:val="bottom"/>
            <w:tcBorders>
              <w:top w:val="single" w:sz="8" w:color="0000EE"/>
            </w:tcBorders>
            <w:gridSpan w:val="3"/>
          </w:tcPr>
          <w:p>
            <w:pPr>
              <w:jc w:val="right"/>
              <w:spacing w:after="0" w:line="164" w:lineRule="exact"/>
              <w:rPr>
                <w:rFonts w:ascii="Arial" w:cs="Arial" w:eastAsia="Arial" w:hAnsi="Arial"/>
                <w:sz w:val="16"/>
                <w:szCs w:val="16"/>
                <w:color w:val="0000EE"/>
                <w:w w:val="89"/>
              </w:rPr>
            </w:pPr>
            <w:hyperlink w:anchor="page31">
              <w:r>
                <w:rPr>
                  <w:rFonts w:ascii="Arial" w:cs="Arial" w:eastAsia="Arial" w:hAnsi="Arial"/>
                  <w:sz w:val="16"/>
                  <w:szCs w:val="16"/>
                  <w:color w:val="0000EE"/>
                  <w:w w:val="89"/>
                </w:rPr>
                <w:t>22</w:t>
              </w:r>
            </w:hyperlink>
          </w:p>
        </w:tc>
        <w:tc>
          <w:tcPr>
            <w:tcW w:w="2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85"/>
        </w:trPr>
        <w:tc>
          <w:tcPr>
            <w:tcW w:w="1140" w:type="dxa"/>
            <w:vAlign w:val="bottom"/>
          </w:tcPr>
          <w:p>
            <w:pPr>
              <w:spacing w:after="0"/>
              <w:rPr>
                <w:sz w:val="24"/>
                <w:szCs w:val="24"/>
                <w:color w:val="auto"/>
              </w:rPr>
            </w:pPr>
          </w:p>
        </w:tc>
        <w:tc>
          <w:tcPr>
            <w:tcW w:w="4480" w:type="dxa"/>
            <w:vAlign w:val="bottom"/>
            <w:tcBorders>
              <w:top w:val="single" w:sz="8" w:color="0000EE"/>
            </w:tcBorders>
            <w:gridSpan w:val="25"/>
          </w:tcPr>
          <w:p>
            <w:pPr>
              <w:spacing w:after="0"/>
              <w:rPr>
                <w:rFonts w:ascii="Arial" w:cs="Arial" w:eastAsia="Arial" w:hAnsi="Arial"/>
                <w:sz w:val="16"/>
                <w:szCs w:val="16"/>
                <w:b w:val="1"/>
                <w:bCs w:val="1"/>
                <w:color w:val="0000EE"/>
              </w:rPr>
            </w:pPr>
            <w:hyperlink w:anchor="page34">
              <w:r>
                <w:rPr>
                  <w:rFonts w:ascii="Arial" w:cs="Arial" w:eastAsia="Arial" w:hAnsi="Arial"/>
                  <w:sz w:val="16"/>
                  <w:szCs w:val="16"/>
                  <w:b w:val="1"/>
                  <w:bCs w:val="1"/>
                  <w:color w:val="0000EE"/>
                </w:rPr>
                <w:t>PROPOSAL 1 — ELECTION OF DIRECTORS</w:t>
              </w:r>
            </w:hyperlink>
          </w:p>
        </w:tc>
        <w:tc>
          <w:tcPr>
            <w:tcW w:w="4060" w:type="dxa"/>
            <w:vAlign w:val="bottom"/>
            <w:gridSpan w:val="7"/>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Borders>
              <w:top w:val="single" w:sz="8" w:color="0000EE"/>
            </w:tcBorders>
            <w:gridSpan w:val="3"/>
          </w:tcPr>
          <w:p>
            <w:pPr>
              <w:jc w:val="right"/>
              <w:spacing w:after="0"/>
              <w:rPr>
                <w:rFonts w:ascii="Arial" w:cs="Arial" w:eastAsia="Arial" w:hAnsi="Arial"/>
                <w:sz w:val="16"/>
                <w:szCs w:val="16"/>
                <w:b w:val="1"/>
                <w:bCs w:val="1"/>
                <w:color w:val="0000EE"/>
                <w:w w:val="89"/>
              </w:rPr>
            </w:pPr>
            <w:hyperlink w:anchor="page34">
              <w:r>
                <w:rPr>
                  <w:rFonts w:ascii="Arial" w:cs="Arial" w:eastAsia="Arial" w:hAnsi="Arial"/>
                  <w:sz w:val="16"/>
                  <w:szCs w:val="16"/>
                  <w:b w:val="1"/>
                  <w:bCs w:val="1"/>
                  <w:color w:val="0000EE"/>
                  <w:w w:val="89"/>
                </w:rPr>
                <w:t>25</w:t>
              </w:r>
            </w:hyperlink>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14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00" w:type="dxa"/>
            <w:vAlign w:val="bottom"/>
            <w:tcBorders>
              <w:top w:val="single" w:sz="8" w:color="0000EE"/>
              <w:bottom w:val="single" w:sz="8" w:color="3A5575"/>
            </w:tcBorders>
          </w:tcPr>
          <w:p>
            <w:pPr>
              <w:spacing w:after="0" w:line="20" w:lineRule="exact"/>
              <w:rPr>
                <w:sz w:val="1"/>
                <w:szCs w:val="1"/>
                <w:color w:val="auto"/>
              </w:rPr>
            </w:pPr>
          </w:p>
        </w:tc>
        <w:tc>
          <w:tcPr>
            <w:tcW w:w="10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30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22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68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60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560" w:type="dxa"/>
            <w:vAlign w:val="bottom"/>
            <w:tcBorders>
              <w:bottom w:val="single" w:sz="8" w:color="3A5575"/>
            </w:tcBorders>
          </w:tcPr>
          <w:p>
            <w:pPr>
              <w:spacing w:after="0" w:line="20" w:lineRule="exact"/>
              <w:rPr>
                <w:sz w:val="1"/>
                <w:szCs w:val="1"/>
                <w:color w:val="auto"/>
              </w:rPr>
            </w:pPr>
          </w:p>
        </w:tc>
        <w:tc>
          <w:tcPr>
            <w:tcW w:w="214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420" w:type="dxa"/>
            <w:vAlign w:val="bottom"/>
            <w:tcBorders>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40" w:type="dxa"/>
            <w:vAlign w:val="bottom"/>
            <w:gridSpan w:val="32"/>
          </w:tcPr>
          <w:p>
            <w:pPr>
              <w:spacing w:after="0"/>
              <w:rPr>
                <w:rFonts w:ascii="Arial" w:cs="Arial" w:eastAsia="Arial" w:hAnsi="Arial"/>
                <w:sz w:val="16"/>
                <w:szCs w:val="16"/>
                <w:color w:val="0000EE"/>
              </w:rPr>
            </w:pPr>
            <w:hyperlink w:anchor="page40">
              <w:r>
                <w:rPr>
                  <w:rFonts w:ascii="Arial" w:cs="Arial" w:eastAsia="Arial" w:hAnsi="Arial"/>
                  <w:sz w:val="16"/>
                  <w:szCs w:val="16"/>
                  <w:color w:val="0000EE"/>
                </w:rPr>
                <w:t>Director Independence</w:t>
              </w:r>
            </w:hyperlink>
          </w:p>
        </w:tc>
        <w:tc>
          <w:tcPr>
            <w:tcW w:w="600" w:type="dxa"/>
            <w:vAlign w:val="bottom"/>
            <w:gridSpan w:val="4"/>
          </w:tcPr>
          <w:p>
            <w:pPr>
              <w:jc w:val="right"/>
              <w:spacing w:after="0"/>
              <w:rPr>
                <w:rFonts w:ascii="Arial" w:cs="Arial" w:eastAsia="Arial" w:hAnsi="Arial"/>
                <w:sz w:val="16"/>
                <w:szCs w:val="16"/>
                <w:color w:val="0000EE"/>
              </w:rPr>
            </w:pPr>
            <w:hyperlink w:anchor="page40">
              <w:r>
                <w:rPr>
                  <w:rFonts w:ascii="Arial" w:cs="Arial" w:eastAsia="Arial" w:hAnsi="Arial"/>
                  <w:sz w:val="16"/>
                  <w:szCs w:val="16"/>
                  <w:color w:val="0000EE"/>
                </w:rPr>
                <w:t>31</w:t>
              </w:r>
            </w:hyperlink>
          </w:p>
        </w:tc>
        <w:tc>
          <w:tcPr>
            <w:tcW w:w="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5"/>
        </w:trPr>
        <w:tc>
          <w:tcPr>
            <w:tcW w:w="1140" w:type="dxa"/>
            <w:vAlign w:val="bottom"/>
          </w:tcPr>
          <w:p>
            <w:pPr>
              <w:spacing w:after="0"/>
              <w:rPr>
                <w:sz w:val="24"/>
                <w:szCs w:val="24"/>
                <w:color w:val="auto"/>
              </w:rPr>
            </w:pPr>
          </w:p>
        </w:tc>
        <w:tc>
          <w:tcPr>
            <w:tcW w:w="440" w:type="dxa"/>
            <w:vAlign w:val="bottom"/>
            <w:tcBorders>
              <w:top w:val="single" w:sz="8" w:color="0000EE"/>
            </w:tcBorders>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440" w:type="dxa"/>
            <w:vAlign w:val="bottom"/>
            <w:tcBorders>
              <w:top w:val="single" w:sz="8" w:color="0000EE"/>
            </w:tcBorders>
          </w:tcPr>
          <w:p>
            <w:pPr>
              <w:spacing w:after="0"/>
              <w:rPr>
                <w:sz w:val="24"/>
                <w:szCs w:val="24"/>
                <w:color w:val="auto"/>
              </w:rPr>
            </w:pPr>
          </w:p>
        </w:tc>
        <w:tc>
          <w:tcPr>
            <w:tcW w:w="20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22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580" w:type="dxa"/>
            <w:vAlign w:val="bottom"/>
            <w:gridSpan w:val="2"/>
          </w:tcPr>
          <w:p>
            <w:pPr>
              <w:ind w:left="52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420" w:type="dxa"/>
            <w:vAlign w:val="bottom"/>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20" w:type="dxa"/>
            <w:vAlign w:val="bottom"/>
          </w:tcPr>
          <w:p>
            <w:pPr>
              <w:spacing w:after="0"/>
              <w:rPr>
                <w:sz w:val="24"/>
                <w:szCs w:val="24"/>
                <w:color w:val="auto"/>
              </w:rPr>
            </w:pPr>
          </w:p>
        </w:tc>
        <w:tc>
          <w:tcPr>
            <w:tcW w:w="1140" w:type="dxa"/>
            <w:vAlign w:val="bottom"/>
          </w:tcPr>
          <w:p>
            <w:pPr>
              <w:ind w:left="1080"/>
              <w:spacing w:after="0"/>
              <w:rPr>
                <w:sz w:val="20"/>
                <w:szCs w:val="20"/>
                <w:color w:val="auto"/>
              </w:rPr>
            </w:pPr>
            <w:r>
              <w:rPr>
                <w:rFonts w:ascii="Arial" w:cs="Arial" w:eastAsia="Arial" w:hAnsi="Arial"/>
                <w:sz w:val="16"/>
                <w:szCs w:val="16"/>
                <w:b w:val="1"/>
                <w:bCs w:val="1"/>
                <w:color w:val="auto"/>
                <w:w w:val="88"/>
              </w:rPr>
              <w:t>i</w:t>
            </w:r>
          </w:p>
        </w:tc>
        <w:tc>
          <w:tcPr>
            <w:tcW w:w="0" w:type="dxa"/>
            <w:vAlign w:val="bottom"/>
          </w:tcPr>
          <w:p>
            <w:pPr>
              <w:spacing w:after="0"/>
              <w:rPr>
                <w:sz w:val="1"/>
                <w:szCs w:val="1"/>
                <w:color w:val="auto"/>
              </w:rPr>
            </w:pPr>
          </w:p>
        </w:tc>
      </w:tr>
      <w:tr>
        <w:trPr>
          <w:trHeight w:val="157"/>
        </w:trPr>
        <w:tc>
          <w:tcPr>
            <w:tcW w:w="1140" w:type="dxa"/>
            <w:vAlign w:val="bottom"/>
            <w:tcBorders>
              <w:bottom w:val="single" w:sz="8" w:color="808080"/>
            </w:tcBorders>
          </w:tcPr>
          <w:p>
            <w:pPr>
              <w:spacing w:after="0"/>
              <w:rPr>
                <w:sz w:val="13"/>
                <w:szCs w:val="13"/>
                <w:color w:val="auto"/>
              </w:rPr>
            </w:pPr>
          </w:p>
        </w:tc>
        <w:tc>
          <w:tcPr>
            <w:tcW w:w="440" w:type="dxa"/>
            <w:vAlign w:val="bottom"/>
            <w:tcBorders>
              <w:bottom w:val="single" w:sz="8" w:color="808080"/>
            </w:tcBorders>
          </w:tcPr>
          <w:p>
            <w:pPr>
              <w:spacing w:after="0"/>
              <w:rPr>
                <w:sz w:val="13"/>
                <w:szCs w:val="13"/>
                <w:color w:val="auto"/>
              </w:rPr>
            </w:pPr>
          </w:p>
        </w:tc>
        <w:tc>
          <w:tcPr>
            <w:tcW w:w="140" w:type="dxa"/>
            <w:vAlign w:val="bottom"/>
            <w:tcBorders>
              <w:bottom w:val="single" w:sz="8" w:color="808080"/>
            </w:tcBorders>
          </w:tcPr>
          <w:p>
            <w:pPr>
              <w:spacing w:after="0"/>
              <w:rPr>
                <w:sz w:val="13"/>
                <w:szCs w:val="13"/>
                <w:color w:val="auto"/>
              </w:rPr>
            </w:pPr>
          </w:p>
        </w:tc>
        <w:tc>
          <w:tcPr>
            <w:tcW w:w="440" w:type="dxa"/>
            <w:vAlign w:val="bottom"/>
            <w:tcBorders>
              <w:bottom w:val="single" w:sz="8" w:color="808080"/>
            </w:tcBorders>
          </w:tcPr>
          <w:p>
            <w:pPr>
              <w:spacing w:after="0"/>
              <w:rPr>
                <w:sz w:val="13"/>
                <w:szCs w:val="13"/>
                <w:color w:val="auto"/>
              </w:rPr>
            </w:pPr>
          </w:p>
        </w:tc>
        <w:tc>
          <w:tcPr>
            <w:tcW w:w="200" w:type="dxa"/>
            <w:vAlign w:val="bottom"/>
            <w:tcBorders>
              <w:bottom w:val="single" w:sz="8" w:color="808080"/>
            </w:tcBorders>
          </w:tcPr>
          <w:p>
            <w:pPr>
              <w:spacing w:after="0"/>
              <w:rPr>
                <w:sz w:val="13"/>
                <w:szCs w:val="13"/>
                <w:color w:val="auto"/>
              </w:rPr>
            </w:pPr>
          </w:p>
        </w:tc>
        <w:tc>
          <w:tcPr>
            <w:tcW w:w="100" w:type="dxa"/>
            <w:vAlign w:val="bottom"/>
            <w:tcBorders>
              <w:bottom w:val="single" w:sz="8" w:color="808080"/>
            </w:tcBorders>
          </w:tcPr>
          <w:p>
            <w:pPr>
              <w:spacing w:after="0"/>
              <w:rPr>
                <w:sz w:val="13"/>
                <w:szCs w:val="13"/>
                <w:color w:val="auto"/>
              </w:rPr>
            </w:pPr>
          </w:p>
        </w:tc>
        <w:tc>
          <w:tcPr>
            <w:tcW w:w="220" w:type="dxa"/>
            <w:vAlign w:val="bottom"/>
            <w:tcBorders>
              <w:bottom w:val="single" w:sz="8" w:color="808080"/>
            </w:tcBorders>
          </w:tcPr>
          <w:p>
            <w:pPr>
              <w:spacing w:after="0"/>
              <w:rPr>
                <w:sz w:val="13"/>
                <w:szCs w:val="13"/>
                <w:color w:val="auto"/>
              </w:rPr>
            </w:pPr>
          </w:p>
        </w:tc>
        <w:tc>
          <w:tcPr>
            <w:tcW w:w="80" w:type="dxa"/>
            <w:vAlign w:val="bottom"/>
            <w:tcBorders>
              <w:bottom w:val="single" w:sz="8" w:color="808080"/>
            </w:tcBorders>
          </w:tcPr>
          <w:p>
            <w:pPr>
              <w:spacing w:after="0"/>
              <w:rPr>
                <w:sz w:val="13"/>
                <w:szCs w:val="13"/>
                <w:color w:val="auto"/>
              </w:rPr>
            </w:pPr>
          </w:p>
        </w:tc>
        <w:tc>
          <w:tcPr>
            <w:tcW w:w="180" w:type="dxa"/>
            <w:vAlign w:val="bottom"/>
            <w:tcBorders>
              <w:bottom w:val="single" w:sz="8" w:color="808080"/>
            </w:tcBorders>
          </w:tcPr>
          <w:p>
            <w:pPr>
              <w:spacing w:after="0"/>
              <w:rPr>
                <w:sz w:val="13"/>
                <w:szCs w:val="13"/>
                <w:color w:val="auto"/>
              </w:rPr>
            </w:pPr>
          </w:p>
        </w:tc>
        <w:tc>
          <w:tcPr>
            <w:tcW w:w="60" w:type="dxa"/>
            <w:vAlign w:val="bottom"/>
            <w:tcBorders>
              <w:bottom w:val="single" w:sz="8" w:color="808080"/>
            </w:tcBorders>
          </w:tcPr>
          <w:p>
            <w:pPr>
              <w:spacing w:after="0"/>
              <w:rPr>
                <w:sz w:val="13"/>
                <w:szCs w:val="13"/>
                <w:color w:val="auto"/>
              </w:rPr>
            </w:pPr>
          </w:p>
        </w:tc>
        <w:tc>
          <w:tcPr>
            <w:tcW w:w="160" w:type="dxa"/>
            <w:vAlign w:val="bottom"/>
            <w:tcBorders>
              <w:bottom w:val="single" w:sz="8" w:color="808080"/>
            </w:tcBorders>
          </w:tcPr>
          <w:p>
            <w:pPr>
              <w:spacing w:after="0"/>
              <w:rPr>
                <w:sz w:val="13"/>
                <w:szCs w:val="13"/>
                <w:color w:val="auto"/>
              </w:rPr>
            </w:pPr>
          </w:p>
        </w:tc>
        <w:tc>
          <w:tcPr>
            <w:tcW w:w="80" w:type="dxa"/>
            <w:vAlign w:val="bottom"/>
            <w:tcBorders>
              <w:bottom w:val="single" w:sz="8" w:color="808080"/>
            </w:tcBorders>
          </w:tcPr>
          <w:p>
            <w:pPr>
              <w:spacing w:after="0"/>
              <w:rPr>
                <w:sz w:val="13"/>
                <w:szCs w:val="13"/>
                <w:color w:val="auto"/>
              </w:rPr>
            </w:pPr>
          </w:p>
        </w:tc>
        <w:tc>
          <w:tcPr>
            <w:tcW w:w="120" w:type="dxa"/>
            <w:vAlign w:val="bottom"/>
            <w:tcBorders>
              <w:bottom w:val="single" w:sz="8" w:color="808080"/>
            </w:tcBorders>
          </w:tcPr>
          <w:p>
            <w:pPr>
              <w:spacing w:after="0"/>
              <w:rPr>
                <w:sz w:val="13"/>
                <w:szCs w:val="13"/>
                <w:color w:val="auto"/>
              </w:rPr>
            </w:pPr>
          </w:p>
        </w:tc>
        <w:tc>
          <w:tcPr>
            <w:tcW w:w="4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12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60" w:type="dxa"/>
            <w:vAlign w:val="bottom"/>
            <w:tcBorders>
              <w:bottom w:val="single" w:sz="8" w:color="808080"/>
            </w:tcBorders>
          </w:tcPr>
          <w:p>
            <w:pPr>
              <w:spacing w:after="0"/>
              <w:rPr>
                <w:sz w:val="13"/>
                <w:szCs w:val="13"/>
                <w:color w:val="auto"/>
              </w:rPr>
            </w:pPr>
          </w:p>
        </w:tc>
        <w:tc>
          <w:tcPr>
            <w:tcW w:w="300" w:type="dxa"/>
            <w:vAlign w:val="bottom"/>
            <w:tcBorders>
              <w:bottom w:val="single" w:sz="8" w:color="808080"/>
            </w:tcBorders>
          </w:tcPr>
          <w:p>
            <w:pPr>
              <w:spacing w:after="0"/>
              <w:rPr>
                <w:sz w:val="13"/>
                <w:szCs w:val="13"/>
                <w:color w:val="auto"/>
              </w:rPr>
            </w:pPr>
          </w:p>
        </w:tc>
        <w:tc>
          <w:tcPr>
            <w:tcW w:w="60" w:type="dxa"/>
            <w:vAlign w:val="bottom"/>
            <w:tcBorders>
              <w:bottom w:val="single" w:sz="8" w:color="808080"/>
            </w:tcBorders>
          </w:tcPr>
          <w:p>
            <w:pPr>
              <w:spacing w:after="0"/>
              <w:rPr>
                <w:sz w:val="13"/>
                <w:szCs w:val="13"/>
                <w:color w:val="auto"/>
              </w:rPr>
            </w:pPr>
          </w:p>
        </w:tc>
        <w:tc>
          <w:tcPr>
            <w:tcW w:w="220" w:type="dxa"/>
            <w:vAlign w:val="bottom"/>
            <w:tcBorders>
              <w:bottom w:val="single" w:sz="8" w:color="808080"/>
            </w:tcBorders>
          </w:tcPr>
          <w:p>
            <w:pPr>
              <w:spacing w:after="0"/>
              <w:rPr>
                <w:sz w:val="13"/>
                <w:szCs w:val="13"/>
                <w:color w:val="auto"/>
              </w:rPr>
            </w:pPr>
          </w:p>
        </w:tc>
        <w:tc>
          <w:tcPr>
            <w:tcW w:w="260" w:type="dxa"/>
            <w:vAlign w:val="bottom"/>
            <w:tcBorders>
              <w:bottom w:val="single" w:sz="8" w:color="808080"/>
            </w:tcBorders>
          </w:tcPr>
          <w:p>
            <w:pPr>
              <w:spacing w:after="0"/>
              <w:rPr>
                <w:sz w:val="13"/>
                <w:szCs w:val="13"/>
                <w:color w:val="auto"/>
              </w:rPr>
            </w:pPr>
          </w:p>
        </w:tc>
        <w:tc>
          <w:tcPr>
            <w:tcW w:w="380" w:type="dxa"/>
            <w:vAlign w:val="bottom"/>
            <w:tcBorders>
              <w:bottom w:val="single" w:sz="8" w:color="808080"/>
            </w:tcBorders>
          </w:tcPr>
          <w:p>
            <w:pPr>
              <w:spacing w:after="0"/>
              <w:rPr>
                <w:sz w:val="13"/>
                <w:szCs w:val="13"/>
                <w:color w:val="auto"/>
              </w:rPr>
            </w:pPr>
          </w:p>
        </w:tc>
        <w:tc>
          <w:tcPr>
            <w:tcW w:w="40" w:type="dxa"/>
            <w:vAlign w:val="bottom"/>
            <w:tcBorders>
              <w:bottom w:val="single" w:sz="8" w:color="808080"/>
            </w:tcBorders>
          </w:tcPr>
          <w:p>
            <w:pPr>
              <w:spacing w:after="0"/>
              <w:rPr>
                <w:sz w:val="13"/>
                <w:szCs w:val="13"/>
                <w:color w:val="auto"/>
              </w:rPr>
            </w:pPr>
          </w:p>
        </w:tc>
        <w:tc>
          <w:tcPr>
            <w:tcW w:w="680" w:type="dxa"/>
            <w:vAlign w:val="bottom"/>
            <w:tcBorders>
              <w:bottom w:val="single" w:sz="8" w:color="808080"/>
            </w:tcBorders>
          </w:tcPr>
          <w:p>
            <w:pPr>
              <w:spacing w:after="0"/>
              <w:rPr>
                <w:sz w:val="13"/>
                <w:szCs w:val="13"/>
                <w:color w:val="auto"/>
              </w:rPr>
            </w:pPr>
          </w:p>
        </w:tc>
        <w:tc>
          <w:tcPr>
            <w:tcW w:w="60" w:type="dxa"/>
            <w:vAlign w:val="bottom"/>
            <w:tcBorders>
              <w:bottom w:val="single" w:sz="8" w:color="808080"/>
            </w:tcBorders>
          </w:tcPr>
          <w:p>
            <w:pPr>
              <w:spacing w:after="0"/>
              <w:rPr>
                <w:sz w:val="13"/>
                <w:szCs w:val="13"/>
                <w:color w:val="auto"/>
              </w:rPr>
            </w:pPr>
          </w:p>
        </w:tc>
        <w:tc>
          <w:tcPr>
            <w:tcW w:w="240" w:type="dxa"/>
            <w:vAlign w:val="bottom"/>
            <w:tcBorders>
              <w:bottom w:val="single" w:sz="8" w:color="808080"/>
            </w:tcBorders>
          </w:tcPr>
          <w:p>
            <w:pPr>
              <w:spacing w:after="0"/>
              <w:rPr>
                <w:sz w:val="13"/>
                <w:szCs w:val="13"/>
                <w:color w:val="auto"/>
              </w:rPr>
            </w:pPr>
          </w:p>
        </w:tc>
        <w:tc>
          <w:tcPr>
            <w:tcW w:w="60" w:type="dxa"/>
            <w:vAlign w:val="bottom"/>
            <w:tcBorders>
              <w:bottom w:val="single" w:sz="8" w:color="808080"/>
            </w:tcBorders>
          </w:tcPr>
          <w:p>
            <w:pPr>
              <w:spacing w:after="0"/>
              <w:rPr>
                <w:sz w:val="13"/>
                <w:szCs w:val="13"/>
                <w:color w:val="auto"/>
              </w:rPr>
            </w:pPr>
          </w:p>
        </w:tc>
        <w:tc>
          <w:tcPr>
            <w:tcW w:w="60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560" w:type="dxa"/>
            <w:vAlign w:val="bottom"/>
            <w:tcBorders>
              <w:bottom w:val="single" w:sz="8" w:color="808080"/>
            </w:tcBorders>
          </w:tcPr>
          <w:p>
            <w:pPr>
              <w:spacing w:after="0"/>
              <w:rPr>
                <w:sz w:val="13"/>
                <w:szCs w:val="13"/>
                <w:color w:val="auto"/>
              </w:rPr>
            </w:pPr>
          </w:p>
        </w:tc>
        <w:tc>
          <w:tcPr>
            <w:tcW w:w="2140" w:type="dxa"/>
            <w:vAlign w:val="bottom"/>
            <w:tcBorders>
              <w:bottom w:val="single" w:sz="8" w:color="808080"/>
            </w:tcBorders>
          </w:tcPr>
          <w:p>
            <w:pPr>
              <w:spacing w:after="0"/>
              <w:rPr>
                <w:sz w:val="13"/>
                <w:szCs w:val="13"/>
                <w:color w:val="auto"/>
              </w:rPr>
            </w:pPr>
          </w:p>
        </w:tc>
        <w:tc>
          <w:tcPr>
            <w:tcW w:w="440" w:type="dxa"/>
            <w:vAlign w:val="bottom"/>
            <w:tcBorders>
              <w:bottom w:val="single" w:sz="8" w:color="808080"/>
            </w:tcBorders>
          </w:tcPr>
          <w:p>
            <w:pPr>
              <w:spacing w:after="0"/>
              <w:rPr>
                <w:sz w:val="13"/>
                <w:szCs w:val="13"/>
                <w:color w:val="auto"/>
              </w:rPr>
            </w:pPr>
          </w:p>
        </w:tc>
        <w:tc>
          <w:tcPr>
            <w:tcW w:w="42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80" w:type="dxa"/>
            <w:vAlign w:val="bottom"/>
            <w:tcBorders>
              <w:bottom w:val="single" w:sz="8" w:color="808080"/>
            </w:tcBorders>
          </w:tcPr>
          <w:p>
            <w:pPr>
              <w:spacing w:after="0"/>
              <w:rPr>
                <w:sz w:val="13"/>
                <w:szCs w:val="13"/>
                <w:color w:val="auto"/>
              </w:rPr>
            </w:pPr>
          </w:p>
        </w:tc>
        <w:tc>
          <w:tcPr>
            <w:tcW w:w="8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1140" w:type="dxa"/>
            <w:vAlign w:val="bottom"/>
            <w:tcBorders>
              <w:bottom w:val="single" w:sz="8" w:color="808080"/>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6214110</wp:posOffset>
            </wp:positionH>
            <wp:positionV relativeFrom="paragraph">
              <wp:posOffset>-281940</wp:posOffset>
            </wp:positionV>
            <wp:extent cx="841375" cy="1638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7" w:name="page8"/>
    <w:bookmarkEnd w:id="7"/>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9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14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760" w:type="dxa"/>
            <w:vAlign w:val="bottom"/>
            <w:gridSpan w:val="3"/>
          </w:tcPr>
          <w:p>
            <w:pPr>
              <w:jc w:val="right"/>
              <w:ind w:right="1140"/>
              <w:spacing w:after="0"/>
              <w:rPr>
                <w:sz w:val="20"/>
                <w:szCs w:val="20"/>
                <w:color w:val="auto"/>
              </w:rPr>
            </w:pPr>
            <w:r>
              <w:rPr>
                <w:rFonts w:ascii="Arial" w:cs="Arial" w:eastAsia="Arial" w:hAnsi="Arial"/>
                <w:sz w:val="16"/>
                <w:szCs w:val="16"/>
                <w:b w:val="1"/>
                <w:bCs w:val="1"/>
                <w:color w:val="3A5575"/>
              </w:rPr>
              <w:t>PAGE</w:t>
            </w:r>
          </w:p>
        </w:tc>
        <w:tc>
          <w:tcPr>
            <w:tcW w:w="0" w:type="dxa"/>
            <w:vAlign w:val="bottom"/>
          </w:tcPr>
          <w:p>
            <w:pPr>
              <w:spacing w:after="0"/>
              <w:rPr>
                <w:sz w:val="1"/>
                <w:szCs w:val="1"/>
                <w:color w:val="auto"/>
              </w:rPr>
            </w:pPr>
          </w:p>
        </w:tc>
      </w:tr>
      <w:tr>
        <w:trPr>
          <w:trHeight w:val="72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42">
              <w:r>
                <w:rPr>
                  <w:rFonts w:ascii="Arial" w:cs="Arial" w:eastAsia="Arial" w:hAnsi="Arial"/>
                  <w:sz w:val="16"/>
                  <w:szCs w:val="16"/>
                  <w:b w:val="1"/>
                  <w:bCs w:val="1"/>
                  <w:color w:val="0000EE"/>
                </w:rPr>
                <w:t>STOCK MATTERS</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42">
              <w:r>
                <w:rPr>
                  <w:rFonts w:ascii="Arial" w:cs="Arial" w:eastAsia="Arial" w:hAnsi="Arial"/>
                  <w:sz w:val="16"/>
                  <w:szCs w:val="16"/>
                  <w:b w:val="1"/>
                  <w:bCs w:val="1"/>
                  <w:color w:val="0000EE"/>
                </w:rPr>
                <w:t>33</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color w:val="0000EE"/>
              </w:rPr>
            </w:pPr>
            <w:hyperlink w:anchor="page42">
              <w:r>
                <w:rPr>
                  <w:rFonts w:ascii="Arial" w:cs="Arial" w:eastAsia="Arial" w:hAnsi="Arial"/>
                  <w:sz w:val="16"/>
                  <w:szCs w:val="16"/>
                  <w:color w:val="0000EE"/>
                </w:rPr>
                <w:t>Ownership of Pinnacle West Stock</w:t>
              </w:r>
            </w:hyperlink>
          </w:p>
        </w:tc>
        <w:tc>
          <w:tcPr>
            <w:tcW w:w="620" w:type="dxa"/>
            <w:vAlign w:val="bottom"/>
            <w:gridSpan w:val="2"/>
          </w:tcPr>
          <w:p>
            <w:pPr>
              <w:jc w:val="right"/>
              <w:spacing w:after="0"/>
              <w:rPr>
                <w:rFonts w:ascii="Arial" w:cs="Arial" w:eastAsia="Arial" w:hAnsi="Arial"/>
                <w:sz w:val="16"/>
                <w:szCs w:val="16"/>
                <w:color w:val="0000EE"/>
              </w:rPr>
            </w:pPr>
            <w:hyperlink w:anchor="page42">
              <w:r>
                <w:rPr>
                  <w:rFonts w:ascii="Arial" w:cs="Arial" w:eastAsia="Arial" w:hAnsi="Arial"/>
                  <w:sz w:val="16"/>
                  <w:szCs w:val="16"/>
                  <w:color w:val="0000EE"/>
                </w:rPr>
                <w:t>33</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440" w:type="dxa"/>
            <w:vAlign w:val="bottom"/>
            <w:tcBorders>
              <w:top w:val="single" w:sz="8" w:color="0000EE"/>
              <w:bottom w:val="single" w:sz="8" w:color="0000EE"/>
            </w:tcBorders>
            <w:gridSpan w:val="9"/>
          </w:tcPr>
          <w:p>
            <w:pPr>
              <w:spacing w:after="0" w:line="164" w:lineRule="exact"/>
              <w:rPr>
                <w:rFonts w:ascii="Arial" w:cs="Arial" w:eastAsia="Arial" w:hAnsi="Arial"/>
                <w:sz w:val="16"/>
                <w:szCs w:val="16"/>
                <w:color w:val="0000EE"/>
                <w:w w:val="96"/>
              </w:rPr>
            </w:pPr>
            <w:hyperlink w:anchor="page43">
              <w:r>
                <w:rPr>
                  <w:rFonts w:ascii="Arial" w:cs="Arial" w:eastAsia="Arial" w:hAnsi="Arial"/>
                  <w:sz w:val="16"/>
                  <w:szCs w:val="16"/>
                  <w:color w:val="0000EE"/>
                  <w:w w:val="96"/>
                </w:rPr>
                <w:t>Section 16(a) Beneficial Ownership</w:t>
              </w:r>
            </w:hyperlink>
          </w:p>
        </w:tc>
        <w:tc>
          <w:tcPr>
            <w:tcW w:w="60" w:type="dxa"/>
            <w:vAlign w:val="bottom"/>
            <w:tcBorders>
              <w:bottom w:val="single" w:sz="8" w:color="0000EE"/>
            </w:tcBorders>
          </w:tcPr>
          <w:p>
            <w:pPr>
              <w:spacing w:after="0"/>
              <w:rPr>
                <w:sz w:val="14"/>
                <w:szCs w:val="14"/>
                <w:color w:val="auto"/>
              </w:rPr>
            </w:pPr>
          </w:p>
        </w:tc>
        <w:tc>
          <w:tcPr>
            <w:tcW w:w="1620" w:type="dxa"/>
            <w:vAlign w:val="bottom"/>
            <w:tcBorders>
              <w:bottom w:val="single" w:sz="8" w:color="0000EE"/>
            </w:tcBorders>
            <w:gridSpan w:val="10"/>
          </w:tcPr>
          <w:p>
            <w:pPr>
              <w:ind w:left="40"/>
              <w:spacing w:after="0" w:line="164" w:lineRule="exact"/>
              <w:rPr>
                <w:rFonts w:ascii="Arial" w:cs="Arial" w:eastAsia="Arial" w:hAnsi="Arial"/>
                <w:sz w:val="16"/>
                <w:szCs w:val="16"/>
                <w:color w:val="0000EE"/>
                <w:w w:val="98"/>
              </w:rPr>
            </w:pPr>
            <w:hyperlink w:anchor="page43">
              <w:r>
                <w:rPr>
                  <w:rFonts w:ascii="Arial" w:cs="Arial" w:eastAsia="Arial" w:hAnsi="Arial"/>
                  <w:sz w:val="16"/>
                  <w:szCs w:val="16"/>
                  <w:color w:val="0000EE"/>
                  <w:w w:val="98"/>
                </w:rPr>
                <w:t>Reporting Compliance</w:t>
              </w:r>
            </w:hyperlink>
          </w:p>
        </w:tc>
        <w:tc>
          <w:tcPr>
            <w:tcW w:w="4400" w:type="dxa"/>
            <w:vAlign w:val="bottom"/>
            <w:gridSpan w:val="6"/>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bottom w:val="single" w:sz="8" w:color="0000EE"/>
            </w:tcBorders>
          </w:tcPr>
          <w:p>
            <w:pPr>
              <w:jc w:val="right"/>
              <w:spacing w:after="0" w:line="164" w:lineRule="exact"/>
              <w:rPr>
                <w:rFonts w:ascii="Arial" w:cs="Arial" w:eastAsia="Arial" w:hAnsi="Arial"/>
                <w:sz w:val="16"/>
                <w:szCs w:val="16"/>
                <w:color w:val="0000EE"/>
                <w:w w:val="89"/>
              </w:rPr>
            </w:pPr>
            <w:hyperlink w:anchor="page43">
              <w:r>
                <w:rPr>
                  <w:rFonts w:ascii="Arial" w:cs="Arial" w:eastAsia="Arial" w:hAnsi="Arial"/>
                  <w:sz w:val="16"/>
                  <w:szCs w:val="16"/>
                  <w:color w:val="0000EE"/>
                  <w:w w:val="89"/>
                </w:rPr>
                <w:t>34</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85"/>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44">
              <w:r>
                <w:rPr>
                  <w:rFonts w:ascii="Arial" w:cs="Arial" w:eastAsia="Arial" w:hAnsi="Arial"/>
                  <w:sz w:val="16"/>
                  <w:szCs w:val="16"/>
                  <w:b w:val="1"/>
                  <w:bCs w:val="1"/>
                  <w:color w:val="0000EE"/>
                </w:rPr>
                <w:t>RELATED PARTY TRANSACTIONS</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44">
              <w:r>
                <w:rPr>
                  <w:rFonts w:ascii="Arial" w:cs="Arial" w:eastAsia="Arial" w:hAnsi="Arial"/>
                  <w:sz w:val="16"/>
                  <w:szCs w:val="16"/>
                  <w:b w:val="1"/>
                  <w:bCs w:val="1"/>
                  <w:color w:val="0000EE"/>
                </w:rPr>
                <w:t>35</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45">
              <w:r>
                <w:rPr>
                  <w:rFonts w:ascii="Arial" w:cs="Arial" w:eastAsia="Arial" w:hAnsi="Arial"/>
                  <w:sz w:val="16"/>
                  <w:szCs w:val="16"/>
                  <w:b w:val="1"/>
                  <w:bCs w:val="1"/>
                  <w:color w:val="0000EE"/>
                </w:rPr>
                <w:t>REPORT OF THE HUMAN RESOURCES COMMITTEE</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45">
              <w:r>
                <w:rPr>
                  <w:rFonts w:ascii="Arial" w:cs="Arial" w:eastAsia="Arial" w:hAnsi="Arial"/>
                  <w:sz w:val="16"/>
                  <w:szCs w:val="16"/>
                  <w:b w:val="1"/>
                  <w:bCs w:val="1"/>
                  <w:color w:val="0000EE"/>
                </w:rPr>
                <w:t>36</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46">
              <w:r>
                <w:rPr>
                  <w:rFonts w:ascii="Arial" w:cs="Arial" w:eastAsia="Arial" w:hAnsi="Arial"/>
                  <w:sz w:val="16"/>
                  <w:szCs w:val="16"/>
                  <w:b w:val="1"/>
                  <w:bCs w:val="1"/>
                  <w:color w:val="0000EE"/>
                </w:rPr>
                <w:t>EXECUTIVE COMPENSATION</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46">
              <w:r>
                <w:rPr>
                  <w:rFonts w:ascii="Arial" w:cs="Arial" w:eastAsia="Arial" w:hAnsi="Arial"/>
                  <w:sz w:val="16"/>
                  <w:szCs w:val="16"/>
                  <w:b w:val="1"/>
                  <w:bCs w:val="1"/>
                  <w:color w:val="0000EE"/>
                </w:rPr>
                <w:t>37</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color w:val="0000EE"/>
              </w:rPr>
            </w:pPr>
            <w:hyperlink w:anchor="page46">
              <w:r>
                <w:rPr>
                  <w:rFonts w:ascii="Arial" w:cs="Arial" w:eastAsia="Arial" w:hAnsi="Arial"/>
                  <w:sz w:val="16"/>
                  <w:szCs w:val="16"/>
                  <w:color w:val="0000EE"/>
                </w:rPr>
                <w:t>Compensation Discussion and Analysis ("CD&amp;A")</w:t>
              </w:r>
            </w:hyperlink>
          </w:p>
        </w:tc>
        <w:tc>
          <w:tcPr>
            <w:tcW w:w="620" w:type="dxa"/>
            <w:vAlign w:val="bottom"/>
            <w:gridSpan w:val="2"/>
          </w:tcPr>
          <w:p>
            <w:pPr>
              <w:jc w:val="right"/>
              <w:spacing w:after="0"/>
              <w:rPr>
                <w:rFonts w:ascii="Arial" w:cs="Arial" w:eastAsia="Arial" w:hAnsi="Arial"/>
                <w:sz w:val="16"/>
                <w:szCs w:val="16"/>
                <w:color w:val="0000EE"/>
              </w:rPr>
            </w:pPr>
            <w:hyperlink w:anchor="page46">
              <w:r>
                <w:rPr>
                  <w:rFonts w:ascii="Arial" w:cs="Arial" w:eastAsia="Arial" w:hAnsi="Arial"/>
                  <w:sz w:val="16"/>
                  <w:szCs w:val="16"/>
                  <w:color w:val="0000EE"/>
                </w:rPr>
                <w:t>37</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3500" w:type="dxa"/>
            <w:vAlign w:val="bottom"/>
            <w:tcBorders>
              <w:top w:val="single" w:sz="8" w:color="0000EE"/>
            </w:tcBorders>
            <w:gridSpan w:val="17"/>
          </w:tcPr>
          <w:p>
            <w:pPr>
              <w:spacing w:after="0" w:line="164" w:lineRule="exact"/>
              <w:rPr>
                <w:rFonts w:ascii="Arial" w:cs="Arial" w:eastAsia="Arial" w:hAnsi="Arial"/>
                <w:sz w:val="16"/>
                <w:szCs w:val="16"/>
                <w:color w:val="0000EE"/>
              </w:rPr>
            </w:pPr>
            <w:hyperlink w:anchor="page52">
              <w:r>
                <w:rPr>
                  <w:rFonts w:ascii="Arial" w:cs="Arial" w:eastAsia="Arial" w:hAnsi="Arial"/>
                  <w:sz w:val="16"/>
                  <w:szCs w:val="16"/>
                  <w:color w:val="0000EE"/>
                </w:rPr>
                <w:t>Executive Compensation Components</w:t>
              </w:r>
            </w:hyperlink>
          </w:p>
        </w:tc>
        <w:tc>
          <w:tcPr>
            <w:tcW w:w="120" w:type="dxa"/>
            <w:vAlign w:val="bottom"/>
          </w:tcPr>
          <w:p>
            <w:pPr>
              <w:spacing w:after="0"/>
              <w:rPr>
                <w:sz w:val="14"/>
                <w:szCs w:val="14"/>
                <w:color w:val="auto"/>
              </w:rPr>
            </w:pPr>
          </w:p>
        </w:tc>
        <w:tc>
          <w:tcPr>
            <w:tcW w:w="560" w:type="dxa"/>
            <w:vAlign w:val="bottom"/>
            <w:gridSpan w:val="3"/>
          </w:tcPr>
          <w:p>
            <w:pPr>
              <w:spacing w:after="0"/>
              <w:rPr>
                <w:sz w:val="14"/>
                <w:szCs w:val="14"/>
                <w:color w:val="auto"/>
              </w:rPr>
            </w:pPr>
          </w:p>
        </w:tc>
        <w:tc>
          <w:tcPr>
            <w:tcW w:w="9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52">
              <w:r>
                <w:rPr>
                  <w:rFonts w:ascii="Arial" w:cs="Arial" w:eastAsia="Arial" w:hAnsi="Arial"/>
                  <w:sz w:val="16"/>
                  <w:szCs w:val="16"/>
                  <w:color w:val="0000EE"/>
                  <w:w w:val="89"/>
                </w:rPr>
                <w:t>43</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720" w:type="dxa"/>
            <w:vAlign w:val="bottom"/>
            <w:tcBorders>
              <w:top w:val="single" w:sz="8" w:color="0000EE"/>
            </w:tcBorders>
            <w:gridSpan w:val="13"/>
          </w:tcPr>
          <w:p>
            <w:pPr>
              <w:spacing w:after="0" w:line="164" w:lineRule="exact"/>
              <w:rPr>
                <w:rFonts w:ascii="Arial" w:cs="Arial" w:eastAsia="Arial" w:hAnsi="Arial"/>
                <w:sz w:val="16"/>
                <w:szCs w:val="16"/>
                <w:color w:val="0000EE"/>
              </w:rPr>
            </w:pPr>
            <w:hyperlink w:anchor="page74">
              <w:r>
                <w:rPr>
                  <w:rFonts w:ascii="Arial" w:cs="Arial" w:eastAsia="Arial" w:hAnsi="Arial"/>
                  <w:sz w:val="16"/>
                  <w:szCs w:val="16"/>
                  <w:color w:val="0000EE"/>
                </w:rPr>
                <w:t>Summary Compensation Table</w:t>
              </w:r>
            </w:hyperlink>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360" w:type="dxa"/>
            <w:vAlign w:val="bottom"/>
            <w:gridSpan w:val="2"/>
          </w:tcPr>
          <w:p>
            <w:pPr>
              <w:spacing w:after="0"/>
              <w:rPr>
                <w:sz w:val="14"/>
                <w:szCs w:val="14"/>
                <w:color w:val="auto"/>
              </w:rPr>
            </w:pPr>
          </w:p>
        </w:tc>
        <w:tc>
          <w:tcPr>
            <w:tcW w:w="560" w:type="dxa"/>
            <w:vAlign w:val="bottom"/>
            <w:gridSpan w:val="3"/>
          </w:tcPr>
          <w:p>
            <w:pPr>
              <w:spacing w:after="0"/>
              <w:rPr>
                <w:sz w:val="14"/>
                <w:szCs w:val="14"/>
                <w:color w:val="auto"/>
              </w:rPr>
            </w:pPr>
          </w:p>
        </w:tc>
        <w:tc>
          <w:tcPr>
            <w:tcW w:w="9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74">
              <w:r>
                <w:rPr>
                  <w:rFonts w:ascii="Arial" w:cs="Arial" w:eastAsia="Arial" w:hAnsi="Arial"/>
                  <w:sz w:val="16"/>
                  <w:szCs w:val="16"/>
                  <w:color w:val="0000EE"/>
                  <w:w w:val="89"/>
                </w:rPr>
                <w:t>65</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180" w:type="dxa"/>
            <w:vAlign w:val="bottom"/>
            <w:tcBorders>
              <w:top w:val="single" w:sz="8" w:color="0000EE"/>
            </w:tcBorders>
            <w:gridSpan w:val="4"/>
          </w:tcPr>
          <w:p>
            <w:pPr>
              <w:spacing w:after="0" w:line="164" w:lineRule="exact"/>
              <w:rPr>
                <w:rFonts w:ascii="Arial" w:cs="Arial" w:eastAsia="Arial" w:hAnsi="Arial"/>
                <w:sz w:val="16"/>
                <w:szCs w:val="16"/>
                <w:color w:val="0000EE"/>
              </w:rPr>
            </w:pPr>
            <w:hyperlink w:anchor="page76">
              <w:r>
                <w:rPr>
                  <w:rFonts w:ascii="Arial" w:cs="Arial" w:eastAsia="Arial" w:hAnsi="Arial"/>
                  <w:sz w:val="16"/>
                  <w:szCs w:val="16"/>
                  <w:color w:val="0000EE"/>
                </w:rPr>
                <w:t>Grants of Plan-Based Awards</w:t>
              </w:r>
            </w:hyperlink>
          </w:p>
        </w:tc>
        <w:tc>
          <w:tcPr>
            <w:tcW w:w="20" w:type="dxa"/>
            <w:vAlign w:val="bottom"/>
          </w:tcPr>
          <w:p>
            <w:pPr>
              <w:spacing w:after="0"/>
              <w:rPr>
                <w:sz w:val="14"/>
                <w:szCs w:val="14"/>
                <w:color w:val="auto"/>
              </w:rPr>
            </w:pPr>
          </w:p>
        </w:tc>
        <w:tc>
          <w:tcPr>
            <w:tcW w:w="80" w:type="dxa"/>
            <w:vAlign w:val="bottom"/>
            <w:gridSpan w:val="2"/>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gridSpan w:val="2"/>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gridSpan w:val="3"/>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360" w:type="dxa"/>
            <w:vAlign w:val="bottom"/>
            <w:gridSpan w:val="2"/>
          </w:tcPr>
          <w:p>
            <w:pPr>
              <w:spacing w:after="0"/>
              <w:rPr>
                <w:sz w:val="14"/>
                <w:szCs w:val="14"/>
                <w:color w:val="auto"/>
              </w:rPr>
            </w:pPr>
          </w:p>
        </w:tc>
        <w:tc>
          <w:tcPr>
            <w:tcW w:w="560" w:type="dxa"/>
            <w:vAlign w:val="bottom"/>
            <w:gridSpan w:val="3"/>
          </w:tcPr>
          <w:p>
            <w:pPr>
              <w:spacing w:after="0"/>
              <w:rPr>
                <w:sz w:val="14"/>
                <w:szCs w:val="14"/>
                <w:color w:val="auto"/>
              </w:rPr>
            </w:pPr>
          </w:p>
        </w:tc>
        <w:tc>
          <w:tcPr>
            <w:tcW w:w="9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76">
              <w:r>
                <w:rPr>
                  <w:rFonts w:ascii="Arial" w:cs="Arial" w:eastAsia="Arial" w:hAnsi="Arial"/>
                  <w:sz w:val="16"/>
                  <w:szCs w:val="16"/>
                  <w:color w:val="0000EE"/>
                  <w:w w:val="89"/>
                </w:rPr>
                <w:t>67</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100" w:type="dxa"/>
            <w:vAlign w:val="bottom"/>
            <w:gridSpan w:val="3"/>
            <w:shd w:val="clear" w:color="auto" w:fill="0000EE"/>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gridSpan w:val="2"/>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vMerge w:val="restart"/>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4"/>
        </w:trPr>
        <w:tc>
          <w:tcPr>
            <w:tcW w:w="1140" w:type="dxa"/>
            <w:vAlign w:val="bottom"/>
          </w:tcPr>
          <w:p>
            <w:pPr>
              <w:spacing w:after="0"/>
              <w:rPr>
                <w:sz w:val="14"/>
                <w:szCs w:val="14"/>
                <w:color w:val="auto"/>
              </w:rPr>
            </w:pPr>
          </w:p>
        </w:tc>
        <w:tc>
          <w:tcPr>
            <w:tcW w:w="8520" w:type="dxa"/>
            <w:vAlign w:val="bottom"/>
            <w:gridSpan w:val="26"/>
          </w:tcPr>
          <w:p>
            <w:pPr>
              <w:spacing w:after="0" w:line="164" w:lineRule="exact"/>
              <w:rPr>
                <w:rFonts w:ascii="Arial" w:cs="Arial" w:eastAsia="Arial" w:hAnsi="Arial"/>
                <w:sz w:val="16"/>
                <w:szCs w:val="16"/>
                <w:color w:val="0000EE"/>
              </w:rPr>
            </w:pPr>
            <w:hyperlink w:anchor="page77">
              <w:r>
                <w:rPr>
                  <w:rFonts w:ascii="Arial" w:cs="Arial" w:eastAsia="Arial" w:hAnsi="Arial"/>
                  <w:sz w:val="16"/>
                  <w:szCs w:val="16"/>
                  <w:color w:val="0000EE"/>
                </w:rPr>
                <w:t>Narrative Disclosure to Summary Compensation Table and Grants of Plan-Based Awards Table</w:t>
              </w:r>
            </w:hyperlink>
          </w:p>
        </w:tc>
        <w:tc>
          <w:tcPr>
            <w:tcW w:w="440" w:type="dxa"/>
            <w:vAlign w:val="bottom"/>
            <w:vMerge w:val="continue"/>
          </w:tcPr>
          <w:p>
            <w:pPr>
              <w:spacing w:after="0"/>
              <w:rPr>
                <w:sz w:val="14"/>
                <w:szCs w:val="14"/>
                <w:color w:val="auto"/>
              </w:rPr>
            </w:pPr>
          </w:p>
        </w:tc>
        <w:tc>
          <w:tcPr>
            <w:tcW w:w="180" w:type="dxa"/>
            <w:vAlign w:val="bottom"/>
          </w:tcPr>
          <w:p>
            <w:pPr>
              <w:jc w:val="right"/>
              <w:spacing w:after="0" w:line="164" w:lineRule="exact"/>
              <w:rPr>
                <w:rFonts w:ascii="Arial" w:cs="Arial" w:eastAsia="Arial" w:hAnsi="Arial"/>
                <w:sz w:val="16"/>
                <w:szCs w:val="16"/>
                <w:color w:val="0000EE"/>
                <w:w w:val="89"/>
              </w:rPr>
            </w:pPr>
            <w:hyperlink w:anchor="page77">
              <w:r>
                <w:rPr>
                  <w:rFonts w:ascii="Arial" w:cs="Arial" w:eastAsia="Arial" w:hAnsi="Arial"/>
                  <w:sz w:val="16"/>
                  <w:szCs w:val="16"/>
                  <w:color w:val="0000EE"/>
                  <w:w w:val="89"/>
                </w:rPr>
                <w:t>68</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6720" w:type="dxa"/>
            <w:vAlign w:val="bottom"/>
            <w:tcBorders>
              <w:top w:val="single" w:sz="8" w:color="0000EE"/>
            </w:tcBorders>
            <w:gridSpan w:val="24"/>
          </w:tcPr>
          <w:p>
            <w:pPr>
              <w:spacing w:after="0" w:line="164" w:lineRule="exact"/>
              <w:rPr>
                <w:rFonts w:ascii="Arial" w:cs="Arial" w:eastAsia="Arial" w:hAnsi="Arial"/>
                <w:sz w:val="16"/>
                <w:szCs w:val="16"/>
                <w:color w:val="0000EE"/>
              </w:rPr>
            </w:pPr>
            <w:hyperlink w:anchor="page80">
              <w:r>
                <w:rPr>
                  <w:rFonts w:ascii="Arial" w:cs="Arial" w:eastAsia="Arial" w:hAnsi="Arial"/>
                  <w:sz w:val="16"/>
                  <w:szCs w:val="16"/>
                  <w:color w:val="0000EE"/>
                </w:rPr>
                <w:t>Outstanding Equity Awards at Fiscal Year-End</w:t>
              </w:r>
            </w:hyperlink>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80">
              <w:r>
                <w:rPr>
                  <w:rFonts w:ascii="Arial" w:cs="Arial" w:eastAsia="Arial" w:hAnsi="Arial"/>
                  <w:sz w:val="16"/>
                  <w:szCs w:val="16"/>
                  <w:color w:val="0000EE"/>
                  <w:w w:val="89"/>
                </w:rPr>
                <w:t>71</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3260" w:type="dxa"/>
            <w:vAlign w:val="bottom"/>
            <w:tcBorders>
              <w:top w:val="single" w:sz="8" w:color="0000EE"/>
            </w:tcBorders>
            <w:gridSpan w:val="16"/>
          </w:tcPr>
          <w:p>
            <w:pPr>
              <w:spacing w:after="0" w:line="164" w:lineRule="exact"/>
              <w:rPr>
                <w:rFonts w:ascii="Arial" w:cs="Arial" w:eastAsia="Arial" w:hAnsi="Arial"/>
                <w:sz w:val="16"/>
                <w:szCs w:val="16"/>
                <w:color w:val="0000EE"/>
              </w:rPr>
            </w:pPr>
            <w:hyperlink w:anchor="page82">
              <w:r>
                <w:rPr>
                  <w:rFonts w:ascii="Arial" w:cs="Arial" w:eastAsia="Arial" w:hAnsi="Arial"/>
                  <w:sz w:val="16"/>
                  <w:szCs w:val="16"/>
                  <w:color w:val="0000EE"/>
                </w:rPr>
                <w:t>Option Exercises and Stock Vested</w:t>
              </w:r>
            </w:hyperlink>
          </w:p>
        </w:tc>
        <w:tc>
          <w:tcPr>
            <w:tcW w:w="360" w:type="dxa"/>
            <w:vAlign w:val="bottom"/>
            <w:gridSpan w:val="2"/>
          </w:tcPr>
          <w:p>
            <w:pPr>
              <w:spacing w:after="0"/>
              <w:rPr>
                <w:sz w:val="14"/>
                <w:szCs w:val="14"/>
                <w:color w:val="auto"/>
              </w:rPr>
            </w:pPr>
          </w:p>
        </w:tc>
        <w:tc>
          <w:tcPr>
            <w:tcW w:w="560" w:type="dxa"/>
            <w:vAlign w:val="bottom"/>
            <w:gridSpan w:val="3"/>
          </w:tcPr>
          <w:p>
            <w:pPr>
              <w:spacing w:after="0"/>
              <w:rPr>
                <w:sz w:val="14"/>
                <w:szCs w:val="14"/>
                <w:color w:val="auto"/>
              </w:rPr>
            </w:pPr>
          </w:p>
        </w:tc>
        <w:tc>
          <w:tcPr>
            <w:tcW w:w="9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280" w:type="dxa"/>
            <w:vAlign w:val="bottom"/>
            <w:gridSpan w:val="2"/>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82">
              <w:r>
                <w:rPr>
                  <w:rFonts w:ascii="Arial" w:cs="Arial" w:eastAsia="Arial" w:hAnsi="Arial"/>
                  <w:sz w:val="16"/>
                  <w:szCs w:val="16"/>
                  <w:color w:val="0000EE"/>
                  <w:w w:val="89"/>
                </w:rPr>
                <w:t>73</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1200" w:type="dxa"/>
            <w:vAlign w:val="bottom"/>
            <w:tcBorders>
              <w:top w:val="single" w:sz="8" w:color="0000EE"/>
              <w:bottom w:val="single" w:sz="8" w:color="0000EE"/>
            </w:tcBorders>
          </w:tcPr>
          <w:p>
            <w:pPr>
              <w:spacing w:after="0" w:line="164" w:lineRule="exact"/>
              <w:rPr>
                <w:rFonts w:ascii="Arial" w:cs="Arial" w:eastAsia="Arial" w:hAnsi="Arial"/>
                <w:sz w:val="16"/>
                <w:szCs w:val="16"/>
                <w:color w:val="0000EE"/>
                <w:w w:val="98"/>
              </w:rPr>
            </w:pPr>
            <w:hyperlink w:anchor="page84">
              <w:r>
                <w:rPr>
                  <w:rFonts w:ascii="Arial" w:cs="Arial" w:eastAsia="Arial" w:hAnsi="Arial"/>
                  <w:sz w:val="16"/>
                  <w:szCs w:val="16"/>
                  <w:color w:val="0000EE"/>
                  <w:w w:val="98"/>
                </w:rPr>
                <w:t>Pension Benefits</w:t>
              </w:r>
            </w:hyperlink>
          </w:p>
        </w:tc>
        <w:tc>
          <w:tcPr>
            <w:tcW w:w="160" w:type="dxa"/>
            <w:vAlign w:val="bottom"/>
            <w:tcBorders>
              <w:top w:val="single" w:sz="8" w:color="0000EE"/>
            </w:tcBorders>
          </w:tcPr>
          <w:p>
            <w:pPr>
              <w:spacing w:after="0"/>
              <w:rPr>
                <w:sz w:val="14"/>
                <w:szCs w:val="14"/>
                <w:color w:val="auto"/>
              </w:rPr>
            </w:pPr>
          </w:p>
        </w:tc>
        <w:tc>
          <w:tcPr>
            <w:tcW w:w="740" w:type="dxa"/>
            <w:vAlign w:val="bottom"/>
            <w:tcBorders>
              <w:top w:val="single" w:sz="8" w:color="0000EE"/>
            </w:tcBorders>
          </w:tcPr>
          <w:p>
            <w:pPr>
              <w:spacing w:after="0"/>
              <w:rPr>
                <w:sz w:val="14"/>
                <w:szCs w:val="14"/>
                <w:color w:val="auto"/>
              </w:rPr>
            </w:pPr>
          </w:p>
        </w:tc>
        <w:tc>
          <w:tcPr>
            <w:tcW w:w="80" w:type="dxa"/>
            <w:vAlign w:val="bottom"/>
            <w:tcBorders>
              <w:top w:val="single" w:sz="8" w:color="0000EE"/>
            </w:tcBorders>
          </w:tcPr>
          <w:p>
            <w:pPr>
              <w:spacing w:after="0"/>
              <w:rPr>
                <w:sz w:val="14"/>
                <w:szCs w:val="14"/>
                <w:color w:val="auto"/>
              </w:rPr>
            </w:pPr>
          </w:p>
        </w:tc>
        <w:tc>
          <w:tcPr>
            <w:tcW w:w="20" w:type="dxa"/>
            <w:vAlign w:val="bottom"/>
            <w:tcBorders>
              <w:top w:val="single" w:sz="8" w:color="0000EE"/>
            </w:tcBorders>
          </w:tcPr>
          <w:p>
            <w:pPr>
              <w:spacing w:after="0"/>
              <w:rPr>
                <w:sz w:val="14"/>
                <w:szCs w:val="14"/>
                <w:color w:val="auto"/>
              </w:rPr>
            </w:pPr>
          </w:p>
        </w:tc>
        <w:tc>
          <w:tcPr>
            <w:tcW w:w="40" w:type="dxa"/>
            <w:vAlign w:val="bottom"/>
            <w:tcBorders>
              <w:top w:val="single" w:sz="8" w:color="0000EE"/>
            </w:tcBorders>
          </w:tcPr>
          <w:p>
            <w:pPr>
              <w:spacing w:after="0"/>
              <w:rPr>
                <w:sz w:val="14"/>
                <w:szCs w:val="14"/>
                <w:color w:val="auto"/>
              </w:rPr>
            </w:pPr>
          </w:p>
        </w:tc>
        <w:tc>
          <w:tcPr>
            <w:tcW w:w="40" w:type="dxa"/>
            <w:vAlign w:val="bottom"/>
            <w:tcBorders>
              <w:top w:val="single" w:sz="8" w:color="0000EE"/>
            </w:tcBorders>
          </w:tcPr>
          <w:p>
            <w:pPr>
              <w:spacing w:after="0"/>
              <w:rPr>
                <w:sz w:val="14"/>
                <w:szCs w:val="14"/>
                <w:color w:val="auto"/>
              </w:rPr>
            </w:pPr>
          </w:p>
        </w:tc>
        <w:tc>
          <w:tcPr>
            <w:tcW w:w="40" w:type="dxa"/>
            <w:vAlign w:val="bottom"/>
            <w:tcBorders>
              <w:top w:val="single" w:sz="8" w:color="0000EE"/>
            </w:tcBorders>
          </w:tcPr>
          <w:p>
            <w:pPr>
              <w:spacing w:after="0"/>
              <w:rPr>
                <w:sz w:val="14"/>
                <w:szCs w:val="14"/>
                <w:color w:val="auto"/>
              </w:rPr>
            </w:pPr>
          </w:p>
        </w:tc>
        <w:tc>
          <w:tcPr>
            <w:tcW w:w="120" w:type="dxa"/>
            <w:vAlign w:val="bottom"/>
            <w:tcBorders>
              <w:top w:val="single" w:sz="8" w:color="0000EE"/>
            </w:tcBorders>
          </w:tcPr>
          <w:p>
            <w:pPr>
              <w:spacing w:after="0"/>
              <w:rPr>
                <w:sz w:val="14"/>
                <w:szCs w:val="14"/>
                <w:color w:val="auto"/>
              </w:rPr>
            </w:pPr>
          </w:p>
        </w:tc>
        <w:tc>
          <w:tcPr>
            <w:tcW w:w="60" w:type="dxa"/>
            <w:vAlign w:val="bottom"/>
            <w:tcBorders>
              <w:top w:val="single" w:sz="8" w:color="0000EE"/>
            </w:tcBorders>
          </w:tcPr>
          <w:p>
            <w:pPr>
              <w:spacing w:after="0"/>
              <w:rPr>
                <w:sz w:val="14"/>
                <w:szCs w:val="14"/>
                <w:color w:val="auto"/>
              </w:rPr>
            </w:pPr>
          </w:p>
        </w:tc>
        <w:tc>
          <w:tcPr>
            <w:tcW w:w="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bottom w:val="single" w:sz="8" w:color="0000EE"/>
            </w:tcBorders>
          </w:tcPr>
          <w:p>
            <w:pPr>
              <w:jc w:val="right"/>
              <w:spacing w:after="0" w:line="164" w:lineRule="exact"/>
              <w:rPr>
                <w:rFonts w:ascii="Arial" w:cs="Arial" w:eastAsia="Arial" w:hAnsi="Arial"/>
                <w:sz w:val="16"/>
                <w:szCs w:val="16"/>
                <w:color w:val="0000EE"/>
                <w:w w:val="89"/>
              </w:rPr>
            </w:pPr>
            <w:hyperlink w:anchor="page84">
              <w:r>
                <w:rPr>
                  <w:rFonts w:ascii="Arial" w:cs="Arial" w:eastAsia="Arial" w:hAnsi="Arial"/>
                  <w:sz w:val="16"/>
                  <w:szCs w:val="16"/>
                  <w:color w:val="0000EE"/>
                  <w:w w:val="89"/>
                </w:rPr>
                <w:t>75</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200" w:type="dxa"/>
            <w:vAlign w:val="bottom"/>
            <w:tcBorders>
              <w:bottom w:val="single" w:sz="8" w:color="0000EE"/>
            </w:tcBorders>
            <w:gridSpan w:val="5"/>
          </w:tcPr>
          <w:p>
            <w:pPr>
              <w:spacing w:after="0" w:line="164" w:lineRule="exact"/>
              <w:rPr>
                <w:rFonts w:ascii="Arial" w:cs="Arial" w:eastAsia="Arial" w:hAnsi="Arial"/>
                <w:sz w:val="16"/>
                <w:szCs w:val="16"/>
                <w:color w:val="0000EE"/>
                <w:w w:val="99"/>
              </w:rPr>
            </w:pPr>
            <w:hyperlink w:anchor="page85">
              <w:r>
                <w:rPr>
                  <w:rFonts w:ascii="Arial" w:cs="Arial" w:eastAsia="Arial" w:hAnsi="Arial"/>
                  <w:sz w:val="16"/>
                  <w:szCs w:val="16"/>
                  <w:color w:val="0000EE"/>
                  <w:w w:val="99"/>
                </w:rPr>
                <w:t>Discussion of Pension Benefits</w:t>
              </w:r>
            </w:hyperlink>
          </w:p>
        </w:tc>
        <w:tc>
          <w:tcPr>
            <w:tcW w:w="6320" w:type="dxa"/>
            <w:vAlign w:val="bottom"/>
            <w:gridSpan w:val="21"/>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bottom w:val="single" w:sz="8" w:color="0000EE"/>
            </w:tcBorders>
          </w:tcPr>
          <w:p>
            <w:pPr>
              <w:jc w:val="right"/>
              <w:spacing w:after="0" w:line="164" w:lineRule="exact"/>
              <w:rPr>
                <w:rFonts w:ascii="Arial" w:cs="Arial" w:eastAsia="Arial" w:hAnsi="Arial"/>
                <w:sz w:val="16"/>
                <w:szCs w:val="16"/>
                <w:color w:val="0000EE"/>
                <w:w w:val="89"/>
              </w:rPr>
            </w:pPr>
            <w:hyperlink w:anchor="page85">
              <w:r>
                <w:rPr>
                  <w:rFonts w:ascii="Arial" w:cs="Arial" w:eastAsia="Arial" w:hAnsi="Arial"/>
                  <w:sz w:val="16"/>
                  <w:szCs w:val="16"/>
                  <w:color w:val="0000EE"/>
                  <w:w w:val="89"/>
                </w:rPr>
                <w:t>76</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520" w:type="dxa"/>
            <w:vAlign w:val="bottom"/>
            <w:gridSpan w:val="26"/>
          </w:tcPr>
          <w:p>
            <w:pPr>
              <w:spacing w:after="0" w:line="164" w:lineRule="exact"/>
              <w:rPr>
                <w:rFonts w:ascii="Arial" w:cs="Arial" w:eastAsia="Arial" w:hAnsi="Arial"/>
                <w:sz w:val="16"/>
                <w:szCs w:val="16"/>
                <w:color w:val="0000EE"/>
              </w:rPr>
            </w:pPr>
            <w:hyperlink w:anchor="page88">
              <w:r>
                <w:rPr>
                  <w:rFonts w:ascii="Arial" w:cs="Arial" w:eastAsia="Arial" w:hAnsi="Arial"/>
                  <w:sz w:val="16"/>
                  <w:szCs w:val="16"/>
                  <w:color w:val="0000EE"/>
                </w:rPr>
                <w:t>Nonqualified Deferred Compensation</w:t>
              </w:r>
            </w:hyperlink>
          </w:p>
        </w:tc>
        <w:tc>
          <w:tcPr>
            <w:tcW w:w="440" w:type="dxa"/>
            <w:vAlign w:val="bottom"/>
          </w:tcPr>
          <w:p>
            <w:pPr>
              <w:spacing w:after="0"/>
              <w:rPr>
                <w:sz w:val="14"/>
                <w:szCs w:val="14"/>
                <w:color w:val="auto"/>
              </w:rPr>
            </w:pPr>
          </w:p>
        </w:tc>
        <w:tc>
          <w:tcPr>
            <w:tcW w:w="180" w:type="dxa"/>
            <w:vAlign w:val="bottom"/>
          </w:tcPr>
          <w:p>
            <w:pPr>
              <w:jc w:val="right"/>
              <w:spacing w:after="0" w:line="164" w:lineRule="exact"/>
              <w:rPr>
                <w:rFonts w:ascii="Arial" w:cs="Arial" w:eastAsia="Arial" w:hAnsi="Arial"/>
                <w:sz w:val="16"/>
                <w:szCs w:val="16"/>
                <w:color w:val="0000EE"/>
                <w:w w:val="89"/>
              </w:rPr>
            </w:pPr>
            <w:hyperlink w:anchor="page88">
              <w:r>
                <w:rPr>
                  <w:rFonts w:ascii="Arial" w:cs="Arial" w:eastAsia="Arial" w:hAnsi="Arial"/>
                  <w:sz w:val="16"/>
                  <w:szCs w:val="16"/>
                  <w:color w:val="0000EE"/>
                  <w:w w:val="89"/>
                </w:rPr>
                <w:t>79</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620" w:type="dxa"/>
            <w:vAlign w:val="bottom"/>
            <w:tcBorders>
              <w:top w:val="single" w:sz="8" w:color="0000EE"/>
            </w:tcBorders>
            <w:gridSpan w:val="11"/>
          </w:tcPr>
          <w:p>
            <w:pPr>
              <w:spacing w:after="0" w:line="164" w:lineRule="exact"/>
              <w:rPr>
                <w:rFonts w:ascii="Arial" w:cs="Arial" w:eastAsia="Arial" w:hAnsi="Arial"/>
                <w:sz w:val="16"/>
                <w:szCs w:val="16"/>
                <w:color w:val="0000EE"/>
              </w:rPr>
            </w:pPr>
            <w:hyperlink w:anchor="page89">
              <w:r>
                <w:rPr>
                  <w:rFonts w:ascii="Arial" w:cs="Arial" w:eastAsia="Arial" w:hAnsi="Arial"/>
                  <w:sz w:val="16"/>
                  <w:szCs w:val="16"/>
                  <w:color w:val="0000EE"/>
                </w:rPr>
                <w:t>Discussion of Nonqualified Deferred</w:t>
              </w:r>
            </w:hyperlink>
          </w:p>
        </w:tc>
        <w:tc>
          <w:tcPr>
            <w:tcW w:w="5900" w:type="dxa"/>
            <w:vAlign w:val="bottom"/>
            <w:gridSpan w:val="15"/>
          </w:tcPr>
          <w:p>
            <w:pPr>
              <w:spacing w:after="0" w:line="164" w:lineRule="exact"/>
              <w:rPr>
                <w:rFonts w:ascii="Arial" w:cs="Arial" w:eastAsia="Arial" w:hAnsi="Arial"/>
                <w:sz w:val="16"/>
                <w:szCs w:val="16"/>
                <w:color w:val="0000EE"/>
              </w:rPr>
            </w:pPr>
            <w:hyperlink w:anchor="page89">
              <w:r>
                <w:rPr>
                  <w:rFonts w:ascii="Arial" w:cs="Arial" w:eastAsia="Arial" w:hAnsi="Arial"/>
                  <w:sz w:val="16"/>
                  <w:szCs w:val="16"/>
                  <w:color w:val="0000EE"/>
                </w:rPr>
                <w:t>Compensation</w:t>
              </w:r>
            </w:hyperlink>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89">
              <w:r>
                <w:rPr>
                  <w:rFonts w:ascii="Arial" w:cs="Arial" w:eastAsia="Arial" w:hAnsi="Arial"/>
                  <w:sz w:val="16"/>
                  <w:szCs w:val="16"/>
                  <w:color w:val="0000EE"/>
                  <w:w w:val="89"/>
                </w:rPr>
                <w:t>80</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3620" w:type="dxa"/>
            <w:vAlign w:val="bottom"/>
            <w:tcBorders>
              <w:top w:val="single" w:sz="8" w:color="0000EE"/>
              <w:bottom w:val="single" w:sz="8" w:color="0000EE"/>
            </w:tcBorders>
            <w:gridSpan w:val="18"/>
          </w:tcPr>
          <w:p>
            <w:pPr>
              <w:spacing w:after="0" w:line="164" w:lineRule="exact"/>
              <w:rPr>
                <w:rFonts w:ascii="Arial" w:cs="Arial" w:eastAsia="Arial" w:hAnsi="Arial"/>
                <w:sz w:val="16"/>
                <w:szCs w:val="16"/>
                <w:color w:val="0000EE"/>
                <w:w w:val="98"/>
              </w:rPr>
            </w:pPr>
            <w:hyperlink w:anchor="page91">
              <w:r>
                <w:rPr>
                  <w:rFonts w:ascii="Arial" w:cs="Arial" w:eastAsia="Arial" w:hAnsi="Arial"/>
                  <w:sz w:val="16"/>
                  <w:szCs w:val="16"/>
                  <w:color w:val="0000EE"/>
                  <w:w w:val="98"/>
                </w:rPr>
                <w:t>Potential Payments upon Termination or Change of</w:t>
              </w:r>
            </w:hyperlink>
          </w:p>
        </w:tc>
        <w:tc>
          <w:tcPr>
            <w:tcW w:w="560" w:type="dxa"/>
            <w:vAlign w:val="bottom"/>
            <w:tcBorders>
              <w:bottom w:val="single" w:sz="8" w:color="0000EE"/>
            </w:tcBorders>
            <w:gridSpan w:val="3"/>
          </w:tcPr>
          <w:p>
            <w:pPr>
              <w:ind w:left="40"/>
              <w:spacing w:after="0" w:line="164" w:lineRule="exact"/>
              <w:rPr>
                <w:rFonts w:ascii="Arial" w:cs="Arial" w:eastAsia="Arial" w:hAnsi="Arial"/>
                <w:sz w:val="16"/>
                <w:szCs w:val="16"/>
                <w:color w:val="0000EE"/>
                <w:w w:val="96"/>
              </w:rPr>
            </w:pPr>
            <w:hyperlink w:anchor="page91">
              <w:r>
                <w:rPr>
                  <w:rFonts w:ascii="Arial" w:cs="Arial" w:eastAsia="Arial" w:hAnsi="Arial"/>
                  <w:sz w:val="16"/>
                  <w:szCs w:val="16"/>
                  <w:color w:val="0000EE"/>
                  <w:w w:val="96"/>
                </w:rPr>
                <w:t>Control</w:t>
              </w:r>
            </w:hyperlink>
          </w:p>
        </w:tc>
        <w:tc>
          <w:tcPr>
            <w:tcW w:w="4340" w:type="dxa"/>
            <w:vAlign w:val="bottom"/>
            <w:gridSpan w:val="5"/>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bottom w:val="single" w:sz="8" w:color="0000EE"/>
            </w:tcBorders>
          </w:tcPr>
          <w:p>
            <w:pPr>
              <w:jc w:val="right"/>
              <w:spacing w:after="0" w:line="164" w:lineRule="exact"/>
              <w:rPr>
                <w:rFonts w:ascii="Arial" w:cs="Arial" w:eastAsia="Arial" w:hAnsi="Arial"/>
                <w:sz w:val="16"/>
                <w:szCs w:val="16"/>
                <w:color w:val="0000EE"/>
                <w:w w:val="89"/>
              </w:rPr>
            </w:pPr>
            <w:hyperlink w:anchor="page91">
              <w:r>
                <w:rPr>
                  <w:rFonts w:ascii="Arial" w:cs="Arial" w:eastAsia="Arial" w:hAnsi="Arial"/>
                  <w:sz w:val="16"/>
                  <w:szCs w:val="16"/>
                  <w:color w:val="0000EE"/>
                  <w:w w:val="89"/>
                </w:rPr>
                <w:t>82</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85"/>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96">
              <w:r>
                <w:rPr>
                  <w:rFonts w:ascii="Arial" w:cs="Arial" w:eastAsia="Arial" w:hAnsi="Arial"/>
                  <w:sz w:val="16"/>
                  <w:szCs w:val="16"/>
                  <w:b w:val="1"/>
                  <w:bCs w:val="1"/>
                  <w:color w:val="0000EE"/>
                </w:rPr>
                <w:t>HUMAN RESOURCES COMMITTEE INTERLOCKS AND INSIDER PARTICIPATION</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96">
              <w:r>
                <w:rPr>
                  <w:rFonts w:ascii="Arial" w:cs="Arial" w:eastAsia="Arial" w:hAnsi="Arial"/>
                  <w:sz w:val="16"/>
                  <w:szCs w:val="16"/>
                  <w:b w:val="1"/>
                  <w:bCs w:val="1"/>
                  <w:color w:val="0000EE"/>
                </w:rPr>
                <w:t>87</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960" w:type="dxa"/>
            <w:vAlign w:val="bottom"/>
            <w:tcBorders>
              <w:top w:val="single" w:sz="8" w:color="0000EE"/>
              <w:bottom w:val="single" w:sz="8" w:color="3A5575"/>
            </w:tcBorders>
          </w:tcPr>
          <w:p>
            <w:pPr>
              <w:spacing w:after="0" w:line="20" w:lineRule="exact"/>
              <w:rPr>
                <w:sz w:val="1"/>
                <w:szCs w:val="1"/>
                <w:color w:val="auto"/>
              </w:rPr>
            </w:pPr>
          </w:p>
        </w:tc>
        <w:tc>
          <w:tcPr>
            <w:tcW w:w="920" w:type="dxa"/>
            <w:vAlign w:val="bottom"/>
            <w:tcBorders>
              <w:top w:val="single" w:sz="8" w:color="0000EE"/>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97">
              <w:r>
                <w:rPr>
                  <w:rFonts w:ascii="Arial" w:cs="Arial" w:eastAsia="Arial" w:hAnsi="Arial"/>
                  <w:sz w:val="16"/>
                  <w:szCs w:val="16"/>
                  <w:b w:val="1"/>
                  <w:bCs w:val="1"/>
                  <w:color w:val="0000EE"/>
                </w:rPr>
                <w:t>DIRECTORS' COMPENSATION</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97">
              <w:r>
                <w:rPr>
                  <w:rFonts w:ascii="Arial" w:cs="Arial" w:eastAsia="Arial" w:hAnsi="Arial"/>
                  <w:sz w:val="16"/>
                  <w:szCs w:val="16"/>
                  <w:b w:val="1"/>
                  <w:bCs w:val="1"/>
                  <w:color w:val="0000EE"/>
                </w:rPr>
                <w:t>88</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20" w:type="dxa"/>
            <w:vAlign w:val="bottom"/>
            <w:tcBorders>
              <w:bottom w:val="single" w:sz="8" w:color="3A5575"/>
            </w:tcBorders>
          </w:tcPr>
          <w:p>
            <w:pPr>
              <w:spacing w:after="0" w:line="20" w:lineRule="exact"/>
              <w:rPr>
                <w:sz w:val="1"/>
                <w:szCs w:val="1"/>
                <w:color w:val="auto"/>
              </w:rPr>
            </w:pPr>
          </w:p>
        </w:tc>
        <w:tc>
          <w:tcPr>
            <w:tcW w:w="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color w:val="0000EE"/>
              </w:rPr>
            </w:pPr>
            <w:hyperlink w:anchor="page98">
              <w:r>
                <w:rPr>
                  <w:rFonts w:ascii="Arial" w:cs="Arial" w:eastAsia="Arial" w:hAnsi="Arial"/>
                  <w:sz w:val="16"/>
                  <w:szCs w:val="16"/>
                  <w:color w:val="0000EE"/>
                </w:rPr>
                <w:t>Discussion of Directors' Compensation</w:t>
              </w:r>
            </w:hyperlink>
          </w:p>
        </w:tc>
        <w:tc>
          <w:tcPr>
            <w:tcW w:w="620" w:type="dxa"/>
            <w:vAlign w:val="bottom"/>
            <w:gridSpan w:val="2"/>
          </w:tcPr>
          <w:p>
            <w:pPr>
              <w:jc w:val="right"/>
              <w:spacing w:after="0"/>
              <w:rPr>
                <w:rFonts w:ascii="Arial" w:cs="Arial" w:eastAsia="Arial" w:hAnsi="Arial"/>
                <w:sz w:val="16"/>
                <w:szCs w:val="16"/>
                <w:color w:val="0000EE"/>
              </w:rPr>
            </w:pPr>
            <w:hyperlink w:anchor="page98">
              <w:r>
                <w:rPr>
                  <w:rFonts w:ascii="Arial" w:cs="Arial" w:eastAsia="Arial" w:hAnsi="Arial"/>
                  <w:sz w:val="16"/>
                  <w:szCs w:val="16"/>
                  <w:color w:val="0000EE"/>
                </w:rPr>
                <w:t>89</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740" w:type="dxa"/>
            <w:vAlign w:val="bottom"/>
            <w:tcBorders>
              <w:top w:val="single" w:sz="8" w:color="0000EE"/>
            </w:tcBorders>
            <w:gridSpan w:val="14"/>
          </w:tcPr>
          <w:p>
            <w:pPr>
              <w:spacing w:after="0" w:line="164" w:lineRule="exact"/>
              <w:rPr>
                <w:rFonts w:ascii="Arial" w:cs="Arial" w:eastAsia="Arial" w:hAnsi="Arial"/>
                <w:sz w:val="16"/>
                <w:szCs w:val="16"/>
                <w:color w:val="0000EE"/>
              </w:rPr>
            </w:pPr>
            <w:hyperlink w:anchor="page99">
              <w:r>
                <w:rPr>
                  <w:rFonts w:ascii="Arial" w:cs="Arial" w:eastAsia="Arial" w:hAnsi="Arial"/>
                  <w:sz w:val="16"/>
                  <w:szCs w:val="16"/>
                  <w:color w:val="0000EE"/>
                </w:rPr>
                <w:t>Director Stock Ownership Policy</w:t>
              </w:r>
            </w:hyperlink>
          </w:p>
        </w:tc>
        <w:tc>
          <w:tcPr>
            <w:tcW w:w="80" w:type="dxa"/>
            <w:vAlign w:val="bottom"/>
          </w:tcPr>
          <w:p>
            <w:pPr>
              <w:spacing w:after="0"/>
              <w:rPr>
                <w:sz w:val="14"/>
                <w:szCs w:val="14"/>
                <w:color w:val="auto"/>
              </w:rPr>
            </w:pPr>
          </w:p>
        </w:tc>
        <w:tc>
          <w:tcPr>
            <w:tcW w:w="2320" w:type="dxa"/>
            <w:vAlign w:val="bottom"/>
            <w:gridSpan w:val="7"/>
          </w:tcPr>
          <w:p>
            <w:pPr>
              <w:spacing w:after="0"/>
              <w:rPr>
                <w:sz w:val="14"/>
                <w:szCs w:val="14"/>
                <w:color w:val="auto"/>
              </w:rPr>
            </w:pPr>
          </w:p>
        </w:tc>
        <w:tc>
          <w:tcPr>
            <w:tcW w:w="3200" w:type="dxa"/>
            <w:vAlign w:val="bottom"/>
            <w:gridSpan w:val="3"/>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99">
              <w:r>
                <w:rPr>
                  <w:rFonts w:ascii="Arial" w:cs="Arial" w:eastAsia="Arial" w:hAnsi="Arial"/>
                  <w:sz w:val="16"/>
                  <w:szCs w:val="16"/>
                  <w:color w:val="0000EE"/>
                  <w:w w:val="89"/>
                </w:rPr>
                <w:t>90</w:t>
              </w:r>
            </w:hyperlink>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280" w:type="dxa"/>
            <w:vAlign w:val="bottom"/>
            <w:gridSpan w:val="7"/>
            <w:shd w:val="clear" w:color="auto" w:fill="0000EE"/>
          </w:tcPr>
          <w:p>
            <w:pPr>
              <w:spacing w:after="0" w:line="20" w:lineRule="exact"/>
              <w:rPr>
                <w:sz w:val="1"/>
                <w:szCs w:val="1"/>
                <w:color w:val="auto"/>
              </w:rPr>
            </w:pPr>
          </w:p>
        </w:tc>
        <w:tc>
          <w:tcPr>
            <w:tcW w:w="540" w:type="dxa"/>
            <w:vAlign w:val="bottom"/>
            <w:gridSpan w:val="8"/>
          </w:tcPr>
          <w:p>
            <w:pPr>
              <w:spacing w:after="0" w:line="20" w:lineRule="exact"/>
              <w:rPr>
                <w:sz w:val="1"/>
                <w:szCs w:val="1"/>
                <w:color w:val="auto"/>
              </w:rPr>
            </w:pPr>
          </w:p>
        </w:tc>
        <w:tc>
          <w:tcPr>
            <w:tcW w:w="2320" w:type="dxa"/>
            <w:vAlign w:val="bottom"/>
            <w:gridSpan w:val="7"/>
          </w:tcPr>
          <w:p>
            <w:pPr>
              <w:spacing w:after="0" w:line="20" w:lineRule="exact"/>
              <w:rPr>
                <w:sz w:val="1"/>
                <w:szCs w:val="1"/>
                <w:color w:val="auto"/>
              </w:rPr>
            </w:pPr>
          </w:p>
        </w:tc>
        <w:tc>
          <w:tcPr>
            <w:tcW w:w="3200" w:type="dxa"/>
            <w:vAlign w:val="bottom"/>
            <w:gridSpan w:val="3"/>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100">
              <w:r>
                <w:rPr>
                  <w:rFonts w:ascii="Arial" w:cs="Arial" w:eastAsia="Arial" w:hAnsi="Arial"/>
                  <w:sz w:val="16"/>
                  <w:szCs w:val="16"/>
                  <w:b w:val="1"/>
                  <w:bCs w:val="1"/>
                  <w:color w:val="0000EE"/>
                </w:rPr>
                <w:t>PROPOSAL 2 — ADVISORY VOTE ON EXECUTIVE COMPENSATION</w:t>
              </w:r>
            </w:hyperlink>
          </w:p>
        </w:tc>
        <w:tc>
          <w:tcPr>
            <w:tcW w:w="620" w:type="dxa"/>
            <w:vAlign w:val="bottom"/>
            <w:gridSpan w:val="2"/>
          </w:tcPr>
          <w:p>
            <w:pPr>
              <w:jc w:val="right"/>
              <w:spacing w:after="0"/>
              <w:rPr>
                <w:rFonts w:ascii="Arial" w:cs="Arial" w:eastAsia="Arial" w:hAnsi="Arial"/>
                <w:sz w:val="16"/>
                <w:szCs w:val="16"/>
                <w:b w:val="1"/>
                <w:bCs w:val="1"/>
                <w:color w:val="0000EE"/>
              </w:rPr>
            </w:pPr>
            <w:hyperlink w:anchor="page100">
              <w:r>
                <w:rPr>
                  <w:rFonts w:ascii="Arial" w:cs="Arial" w:eastAsia="Arial" w:hAnsi="Arial"/>
                  <w:sz w:val="16"/>
                  <w:szCs w:val="16"/>
                  <w:b w:val="1"/>
                  <w:bCs w:val="1"/>
                  <w:color w:val="0000EE"/>
                </w:rPr>
                <w:t>91</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top w:val="single" w:sz="8" w:color="0000EE"/>
              <w:bottom w:val="single" w:sz="8" w:color="3A5575"/>
            </w:tcBorders>
          </w:tcPr>
          <w:p>
            <w:pPr>
              <w:spacing w:after="0" w:line="20" w:lineRule="exact"/>
              <w:rPr>
                <w:sz w:val="1"/>
                <w:szCs w:val="1"/>
                <w:color w:val="auto"/>
              </w:rPr>
            </w:pPr>
          </w:p>
        </w:tc>
        <w:tc>
          <w:tcPr>
            <w:tcW w:w="2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38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960" w:type="dxa"/>
            <w:vAlign w:val="bottom"/>
            <w:tcBorders>
              <w:top w:val="single" w:sz="8" w:color="0000EE"/>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20" w:type="dxa"/>
            <w:vAlign w:val="bottom"/>
            <w:gridSpan w:val="26"/>
          </w:tcPr>
          <w:p>
            <w:pPr>
              <w:spacing w:after="0"/>
              <w:rPr>
                <w:rFonts w:ascii="Arial" w:cs="Arial" w:eastAsia="Arial" w:hAnsi="Arial"/>
                <w:sz w:val="16"/>
                <w:szCs w:val="16"/>
                <w:b w:val="1"/>
                <w:bCs w:val="1"/>
                <w:color w:val="0000EE"/>
              </w:rPr>
            </w:pPr>
            <w:hyperlink w:anchor="page101">
              <w:r>
                <w:rPr>
                  <w:rFonts w:ascii="Arial" w:cs="Arial" w:eastAsia="Arial" w:hAnsi="Arial"/>
                  <w:sz w:val="16"/>
                  <w:szCs w:val="16"/>
                  <w:b w:val="1"/>
                  <w:bCs w:val="1"/>
                  <w:color w:val="0000EE"/>
                </w:rPr>
                <w:t>PROPOSAL 3 — RATIFICATION OF THE APPOINTMENT OF DELOITTE &amp; TOUCHE LLP AS THE INDEPENDENT</w:t>
              </w:r>
            </w:hyperlink>
          </w:p>
        </w:tc>
        <w:tc>
          <w:tcPr>
            <w:tcW w:w="620" w:type="dxa"/>
            <w:vAlign w:val="bottom"/>
            <w:gridSpan w:val="2"/>
            <w:vMerge w:val="restart"/>
          </w:tcPr>
          <w:p>
            <w:pPr>
              <w:jc w:val="right"/>
              <w:spacing w:after="0"/>
              <w:rPr>
                <w:rFonts w:ascii="Arial" w:cs="Arial" w:eastAsia="Arial" w:hAnsi="Arial"/>
                <w:sz w:val="16"/>
                <w:szCs w:val="16"/>
                <w:b w:val="1"/>
                <w:bCs w:val="1"/>
                <w:color w:val="0000EE"/>
              </w:rPr>
            </w:pPr>
            <w:hyperlink w:anchor="page101">
              <w:r>
                <w:rPr>
                  <w:rFonts w:ascii="Arial" w:cs="Arial" w:eastAsia="Arial" w:hAnsi="Arial"/>
                  <w:sz w:val="16"/>
                  <w:szCs w:val="16"/>
                  <w:b w:val="1"/>
                  <w:bCs w:val="1"/>
                  <w:color w:val="0000EE"/>
                </w:rPr>
                <w:t>92</w:t>
              </w:r>
            </w:hyperlink>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8340" w:type="dxa"/>
            <w:vAlign w:val="bottom"/>
            <w:tcBorders>
              <w:top w:val="single" w:sz="8" w:color="0000EE"/>
            </w:tcBorders>
            <w:gridSpan w:val="25"/>
          </w:tcPr>
          <w:p>
            <w:pPr>
              <w:spacing w:after="0" w:line="164" w:lineRule="exact"/>
              <w:rPr>
                <w:rFonts w:ascii="Arial" w:cs="Arial" w:eastAsia="Arial" w:hAnsi="Arial"/>
                <w:sz w:val="16"/>
                <w:szCs w:val="16"/>
                <w:b w:val="1"/>
                <w:bCs w:val="1"/>
                <w:color w:val="0000EE"/>
              </w:rPr>
            </w:pPr>
            <w:hyperlink w:anchor="page101">
              <w:r>
                <w:rPr>
                  <w:rFonts w:ascii="Arial" w:cs="Arial" w:eastAsia="Arial" w:hAnsi="Arial"/>
                  <w:sz w:val="16"/>
                  <w:szCs w:val="16"/>
                  <w:b w:val="1"/>
                  <w:bCs w:val="1"/>
                  <w:color w:val="0000EE"/>
                </w:rPr>
                <w:t>ACCOUNTANTS FOR THE COMPANY</w:t>
              </w:r>
            </w:hyperlink>
          </w:p>
        </w:tc>
        <w:tc>
          <w:tcPr>
            <w:tcW w:w="180" w:type="dxa"/>
            <w:vAlign w:val="bottom"/>
          </w:tcPr>
          <w:p>
            <w:pPr>
              <w:spacing w:after="0"/>
              <w:rPr>
                <w:sz w:val="14"/>
                <w:szCs w:val="14"/>
                <w:color w:val="auto"/>
              </w:rPr>
            </w:pPr>
          </w:p>
        </w:tc>
        <w:tc>
          <w:tcPr>
            <w:tcW w:w="620" w:type="dxa"/>
            <w:vAlign w:val="bottom"/>
            <w:gridSpan w:val="2"/>
            <w:vMerge w:val="continue"/>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vMerge w:val="restart"/>
          </w:tcPr>
          <w:p>
            <w:pPr>
              <w:ind w:left="60"/>
              <w:spacing w:after="0"/>
              <w:rPr>
                <w:sz w:val="20"/>
                <w:szCs w:val="20"/>
                <w:color w:val="auto"/>
              </w:rPr>
            </w:pPr>
            <w:r>
              <w:rPr>
                <w:rFonts w:ascii="Arial" w:cs="Arial" w:eastAsia="Arial" w:hAnsi="Arial"/>
                <w:sz w:val="16"/>
                <w:szCs w:val="16"/>
                <w:b w:val="1"/>
                <w:bCs w:val="1"/>
                <w:color w:val="auto"/>
              </w:rPr>
              <w:t>ii</w:t>
            </w:r>
          </w:p>
        </w:tc>
        <w:tc>
          <w:tcPr>
            <w:tcW w:w="1200" w:type="dxa"/>
            <w:vAlign w:val="bottom"/>
            <w:tcBorders>
              <w:top w:val="single" w:sz="8" w:color="0000EE"/>
              <w:bottom w:val="single" w:sz="8" w:color="3A5575"/>
            </w:tcBorders>
          </w:tcPr>
          <w:p>
            <w:pPr>
              <w:spacing w:after="0" w:line="20" w:lineRule="exact"/>
              <w:rPr>
                <w:sz w:val="1"/>
                <w:szCs w:val="1"/>
                <w:color w:val="auto"/>
              </w:rPr>
            </w:pPr>
          </w:p>
        </w:tc>
        <w:tc>
          <w:tcPr>
            <w:tcW w:w="160" w:type="dxa"/>
            <w:vAlign w:val="bottom"/>
            <w:tcBorders>
              <w:top w:val="single" w:sz="8" w:color="0000EE"/>
              <w:bottom w:val="single" w:sz="8" w:color="3A5575"/>
            </w:tcBorders>
          </w:tcPr>
          <w:p>
            <w:pPr>
              <w:spacing w:after="0" w:line="20" w:lineRule="exact"/>
              <w:rPr>
                <w:sz w:val="1"/>
                <w:szCs w:val="1"/>
                <w:color w:val="auto"/>
              </w:rPr>
            </w:pPr>
          </w:p>
        </w:tc>
        <w:tc>
          <w:tcPr>
            <w:tcW w:w="74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4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60" w:type="dxa"/>
            <w:vAlign w:val="bottom"/>
            <w:tcBorders>
              <w:top w:val="single" w:sz="8" w:color="0000EE"/>
              <w:bottom w:val="single" w:sz="8" w:color="3A5575"/>
            </w:tcBorders>
          </w:tcPr>
          <w:p>
            <w:pPr>
              <w:spacing w:after="0" w:line="20" w:lineRule="exact"/>
              <w:rPr>
                <w:sz w:val="1"/>
                <w:szCs w:val="1"/>
                <w:color w:val="auto"/>
              </w:rPr>
            </w:pPr>
          </w:p>
        </w:tc>
        <w:tc>
          <w:tcPr>
            <w:tcW w:w="12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20" w:type="dxa"/>
            <w:vAlign w:val="bottom"/>
            <w:tcBorders>
              <w:top w:val="single" w:sz="8" w:color="0000EE"/>
              <w:bottom w:val="single" w:sz="8" w:color="3A5575"/>
            </w:tcBorders>
          </w:tcPr>
          <w:p>
            <w:pPr>
              <w:spacing w:after="0" w:line="20" w:lineRule="exact"/>
              <w:rPr>
                <w:sz w:val="1"/>
                <w:szCs w:val="1"/>
                <w:color w:val="auto"/>
              </w:rPr>
            </w:pPr>
          </w:p>
        </w:tc>
        <w:tc>
          <w:tcPr>
            <w:tcW w:w="80" w:type="dxa"/>
            <w:vAlign w:val="bottom"/>
            <w:tcBorders>
              <w:top w:val="single" w:sz="8" w:color="0000EE"/>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24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380" w:type="dxa"/>
            <w:vAlign w:val="bottom"/>
            <w:tcBorders>
              <w:bottom w:val="single" w:sz="8" w:color="3A5575"/>
            </w:tcBorders>
          </w:tcPr>
          <w:p>
            <w:pPr>
              <w:spacing w:after="0" w:line="20" w:lineRule="exact"/>
              <w:rPr>
                <w:sz w:val="1"/>
                <w:szCs w:val="1"/>
                <w:color w:val="auto"/>
              </w:rPr>
            </w:pPr>
          </w:p>
        </w:tc>
        <w:tc>
          <w:tcPr>
            <w:tcW w:w="120" w:type="dxa"/>
            <w:vAlign w:val="bottom"/>
            <w:tcBorders>
              <w:bottom w:val="single" w:sz="8" w:color="3A5575"/>
            </w:tcBorders>
          </w:tcPr>
          <w:p>
            <w:pPr>
              <w:spacing w:after="0" w:line="20" w:lineRule="exact"/>
              <w:rPr>
                <w:sz w:val="1"/>
                <w:szCs w:val="1"/>
                <w:color w:val="auto"/>
              </w:rPr>
            </w:pPr>
          </w:p>
        </w:tc>
        <w:tc>
          <w:tcPr>
            <w:tcW w:w="60" w:type="dxa"/>
            <w:vAlign w:val="bottom"/>
            <w:tcBorders>
              <w:bottom w:val="single" w:sz="8" w:color="3A5575"/>
            </w:tcBorders>
          </w:tcPr>
          <w:p>
            <w:pPr>
              <w:spacing w:after="0" w:line="20" w:lineRule="exact"/>
              <w:rPr>
                <w:sz w:val="1"/>
                <w:szCs w:val="1"/>
                <w:color w:val="auto"/>
              </w:rPr>
            </w:pPr>
          </w:p>
        </w:tc>
        <w:tc>
          <w:tcPr>
            <w:tcW w:w="960" w:type="dxa"/>
            <w:vAlign w:val="bottom"/>
            <w:tcBorders>
              <w:bottom w:val="single" w:sz="8" w:color="3A5575"/>
            </w:tcBorders>
          </w:tcPr>
          <w:p>
            <w:pPr>
              <w:spacing w:after="0" w:line="20" w:lineRule="exact"/>
              <w:rPr>
                <w:sz w:val="1"/>
                <w:szCs w:val="1"/>
                <w:color w:val="auto"/>
              </w:rPr>
            </w:pPr>
          </w:p>
        </w:tc>
        <w:tc>
          <w:tcPr>
            <w:tcW w:w="920" w:type="dxa"/>
            <w:vAlign w:val="bottom"/>
            <w:tcBorders>
              <w:bottom w:val="single" w:sz="8" w:color="3A5575"/>
            </w:tcBorders>
          </w:tcPr>
          <w:p>
            <w:pPr>
              <w:spacing w:after="0" w:line="20" w:lineRule="exact"/>
              <w:rPr>
                <w:sz w:val="1"/>
                <w:szCs w:val="1"/>
                <w:color w:val="auto"/>
              </w:rPr>
            </w:pPr>
          </w:p>
        </w:tc>
        <w:tc>
          <w:tcPr>
            <w:tcW w:w="660" w:type="dxa"/>
            <w:vAlign w:val="bottom"/>
            <w:tcBorders>
              <w:bottom w:val="single" w:sz="8" w:color="3A5575"/>
            </w:tcBorders>
          </w:tcPr>
          <w:p>
            <w:pPr>
              <w:spacing w:after="0" w:line="20" w:lineRule="exact"/>
              <w:rPr>
                <w:sz w:val="1"/>
                <w:szCs w:val="1"/>
                <w:color w:val="auto"/>
              </w:rPr>
            </w:pPr>
          </w:p>
        </w:tc>
        <w:tc>
          <w:tcPr>
            <w:tcW w:w="1620" w:type="dxa"/>
            <w:vAlign w:val="bottom"/>
            <w:tcBorders>
              <w:bottom w:val="single" w:sz="8" w:color="3A5575"/>
            </w:tcBorders>
          </w:tcPr>
          <w:p>
            <w:pPr>
              <w:spacing w:after="0" w:line="20" w:lineRule="exact"/>
              <w:rPr>
                <w:sz w:val="1"/>
                <w:szCs w:val="1"/>
                <w:color w:val="auto"/>
              </w:rPr>
            </w:pPr>
          </w:p>
        </w:tc>
        <w:tc>
          <w:tcPr>
            <w:tcW w:w="180" w:type="dxa"/>
            <w:vAlign w:val="bottom"/>
            <w:tcBorders>
              <w:bottom w:val="single" w:sz="8" w:color="3A5575"/>
            </w:tcBorders>
          </w:tcPr>
          <w:p>
            <w:pPr>
              <w:spacing w:after="0" w:line="20" w:lineRule="exact"/>
              <w:rPr>
                <w:sz w:val="1"/>
                <w:szCs w:val="1"/>
                <w:color w:val="auto"/>
              </w:rPr>
            </w:pPr>
          </w:p>
        </w:tc>
        <w:tc>
          <w:tcPr>
            <w:tcW w:w="44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3"/>
        </w:trPr>
        <w:tc>
          <w:tcPr>
            <w:tcW w:w="1140" w:type="dxa"/>
            <w:vAlign w:val="bottom"/>
            <w:vMerge w:val="continue"/>
          </w:tcPr>
          <w:p>
            <w:pPr>
              <w:spacing w:after="0"/>
              <w:rPr>
                <w:sz w:val="24"/>
                <w:szCs w:val="24"/>
                <w:color w:val="auto"/>
              </w:rPr>
            </w:pPr>
          </w:p>
        </w:tc>
        <w:tc>
          <w:tcPr>
            <w:tcW w:w="1200" w:type="dxa"/>
            <w:vAlign w:val="bottom"/>
            <w:vMerge w:val="restart"/>
          </w:tcPr>
          <w:p>
            <w:pPr>
              <w:ind w:left="940"/>
              <w:spacing w:after="0"/>
              <w:rPr>
                <w:sz w:val="20"/>
                <w:szCs w:val="20"/>
                <w:color w:val="auto"/>
              </w:rPr>
            </w:pPr>
            <w:r>
              <w:rPr>
                <w:rFonts w:ascii="Arial" w:cs="Arial" w:eastAsia="Arial" w:hAnsi="Arial"/>
                <w:sz w:val="16"/>
                <w:szCs w:val="16"/>
                <w:b w:val="1"/>
                <w:bCs w:val="1"/>
                <w:color w:val="3A5575"/>
              </w:rPr>
              <w:t>|</w:t>
            </w:r>
          </w:p>
        </w:tc>
        <w:tc>
          <w:tcPr>
            <w:tcW w:w="7320" w:type="dxa"/>
            <w:vAlign w:val="bottom"/>
            <w:gridSpan w:val="25"/>
          </w:tcPr>
          <w:p>
            <w:pPr>
              <w:ind w:left="40"/>
              <w:spacing w:after="0"/>
              <w:rPr>
                <w:sz w:val="20"/>
                <w:szCs w:val="20"/>
                <w:color w:val="auto"/>
              </w:rPr>
            </w:pPr>
            <w:r>
              <w:rPr>
                <w:rFonts w:ascii="Arial" w:cs="Arial" w:eastAsia="Arial" w:hAnsi="Arial"/>
                <w:sz w:val="16"/>
                <w:szCs w:val="16"/>
                <w:color w:val="auto"/>
              </w:rPr>
              <w:t>2016 Proxy Statement</w:t>
            </w: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1140" w:type="dxa"/>
            <w:vAlign w:val="bottom"/>
          </w:tcPr>
          <w:p>
            <w:pPr>
              <w:spacing w:after="0"/>
              <w:rPr>
                <w:sz w:val="5"/>
                <w:szCs w:val="5"/>
                <w:color w:val="auto"/>
              </w:rPr>
            </w:pPr>
          </w:p>
        </w:tc>
        <w:tc>
          <w:tcPr>
            <w:tcW w:w="1200" w:type="dxa"/>
            <w:vAlign w:val="bottom"/>
            <w:vMerge w:val="continue"/>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440" w:type="dxa"/>
            <w:vAlign w:val="bottom"/>
          </w:tcPr>
          <w:p>
            <w:pPr>
              <w:spacing w:after="0"/>
              <w:rPr>
                <w:sz w:val="5"/>
                <w:szCs w:val="5"/>
                <w:color w:val="auto"/>
              </w:rPr>
            </w:pPr>
          </w:p>
        </w:tc>
        <w:tc>
          <w:tcPr>
            <w:tcW w:w="240" w:type="dxa"/>
            <w:vAlign w:val="bottom"/>
          </w:tcPr>
          <w:p>
            <w:pPr>
              <w:spacing w:after="0"/>
              <w:rPr>
                <w:sz w:val="5"/>
                <w:szCs w:val="5"/>
                <w:color w:val="auto"/>
              </w:rPr>
            </w:pPr>
          </w:p>
        </w:tc>
        <w:tc>
          <w:tcPr>
            <w:tcW w:w="120" w:type="dxa"/>
            <w:vAlign w:val="bottom"/>
          </w:tcPr>
          <w:p>
            <w:pPr>
              <w:spacing w:after="0"/>
              <w:rPr>
                <w:sz w:val="5"/>
                <w:szCs w:val="5"/>
                <w:color w:val="auto"/>
              </w:rPr>
            </w:pPr>
          </w:p>
        </w:tc>
        <w:tc>
          <w:tcPr>
            <w:tcW w:w="3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960" w:type="dxa"/>
            <w:vAlign w:val="bottom"/>
          </w:tcPr>
          <w:p>
            <w:pPr>
              <w:spacing w:after="0"/>
              <w:rPr>
                <w:sz w:val="5"/>
                <w:szCs w:val="5"/>
                <w:color w:val="auto"/>
              </w:rPr>
            </w:pPr>
          </w:p>
        </w:tc>
        <w:tc>
          <w:tcPr>
            <w:tcW w:w="920" w:type="dxa"/>
            <w:vAlign w:val="bottom"/>
          </w:tcPr>
          <w:p>
            <w:pPr>
              <w:spacing w:after="0"/>
              <w:rPr>
                <w:sz w:val="5"/>
                <w:szCs w:val="5"/>
                <w:color w:val="auto"/>
              </w:rPr>
            </w:pPr>
          </w:p>
        </w:tc>
        <w:tc>
          <w:tcPr>
            <w:tcW w:w="660" w:type="dxa"/>
            <w:vAlign w:val="bottom"/>
          </w:tcPr>
          <w:p>
            <w:pPr>
              <w:spacing w:after="0"/>
              <w:rPr>
                <w:sz w:val="5"/>
                <w:szCs w:val="5"/>
                <w:color w:val="auto"/>
              </w:rPr>
            </w:pPr>
          </w:p>
        </w:tc>
        <w:tc>
          <w:tcPr>
            <w:tcW w:w="16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40" w:type="dxa"/>
            <w:vAlign w:val="bottom"/>
          </w:tcPr>
          <w:p>
            <w:pPr>
              <w:spacing w:after="0"/>
              <w:rPr>
                <w:sz w:val="5"/>
                <w:szCs w:val="5"/>
                <w:color w:val="auto"/>
              </w:rPr>
            </w:pPr>
          </w:p>
        </w:tc>
        <w:tc>
          <w:tcPr>
            <w:tcW w:w="180" w:type="dxa"/>
            <w:vAlign w:val="bottom"/>
          </w:tcPr>
          <w:p>
            <w:pPr>
              <w:spacing w:after="0"/>
              <w:rPr>
                <w:sz w:val="5"/>
                <w:szCs w:val="5"/>
                <w:color w:val="auto"/>
              </w:rPr>
            </w:pPr>
          </w:p>
        </w:tc>
        <w:tc>
          <w:tcPr>
            <w:tcW w:w="11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140" w:type="dxa"/>
            <w:vAlign w:val="bottom"/>
            <w:tcBorders>
              <w:bottom w:val="single" w:sz="8" w:color="808080"/>
            </w:tcBorders>
          </w:tcPr>
          <w:p>
            <w:pPr>
              <w:spacing w:after="0"/>
              <w:rPr>
                <w:sz w:val="11"/>
                <w:szCs w:val="11"/>
                <w:color w:val="auto"/>
              </w:rPr>
            </w:pPr>
          </w:p>
        </w:tc>
        <w:tc>
          <w:tcPr>
            <w:tcW w:w="1200" w:type="dxa"/>
            <w:vAlign w:val="bottom"/>
            <w:tcBorders>
              <w:bottom w:val="single" w:sz="8" w:color="808080"/>
            </w:tcBorders>
          </w:tcPr>
          <w:p>
            <w:pPr>
              <w:spacing w:after="0"/>
              <w:rPr>
                <w:sz w:val="11"/>
                <w:szCs w:val="11"/>
                <w:color w:val="auto"/>
              </w:rPr>
            </w:pPr>
          </w:p>
        </w:tc>
        <w:tc>
          <w:tcPr>
            <w:tcW w:w="160" w:type="dxa"/>
            <w:vAlign w:val="bottom"/>
            <w:tcBorders>
              <w:bottom w:val="single" w:sz="8" w:color="808080"/>
            </w:tcBorders>
          </w:tcPr>
          <w:p>
            <w:pPr>
              <w:spacing w:after="0"/>
              <w:rPr>
                <w:sz w:val="11"/>
                <w:szCs w:val="11"/>
                <w:color w:val="auto"/>
              </w:rPr>
            </w:pPr>
          </w:p>
        </w:tc>
        <w:tc>
          <w:tcPr>
            <w:tcW w:w="740" w:type="dxa"/>
            <w:vAlign w:val="bottom"/>
            <w:tcBorders>
              <w:bottom w:val="single" w:sz="8" w:color="808080"/>
            </w:tcBorders>
          </w:tcPr>
          <w:p>
            <w:pPr>
              <w:spacing w:after="0"/>
              <w:rPr>
                <w:sz w:val="11"/>
                <w:szCs w:val="11"/>
                <w:color w:val="auto"/>
              </w:rPr>
            </w:pPr>
          </w:p>
        </w:tc>
        <w:tc>
          <w:tcPr>
            <w:tcW w:w="8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120" w:type="dxa"/>
            <w:vAlign w:val="bottom"/>
            <w:tcBorders>
              <w:bottom w:val="single" w:sz="8" w:color="808080"/>
            </w:tcBorders>
          </w:tcPr>
          <w:p>
            <w:pPr>
              <w:spacing w:after="0"/>
              <w:rPr>
                <w:sz w:val="11"/>
                <w:szCs w:val="11"/>
                <w:color w:val="auto"/>
              </w:rPr>
            </w:pPr>
          </w:p>
        </w:tc>
        <w:tc>
          <w:tcPr>
            <w:tcW w:w="60" w:type="dxa"/>
            <w:vAlign w:val="bottom"/>
            <w:tcBorders>
              <w:bottom w:val="single" w:sz="8" w:color="808080"/>
            </w:tcBorders>
          </w:tcPr>
          <w:p>
            <w:pPr>
              <w:spacing w:after="0"/>
              <w:rPr>
                <w:sz w:val="11"/>
                <w:szCs w:val="11"/>
                <w:color w:val="auto"/>
              </w:rPr>
            </w:pPr>
          </w:p>
        </w:tc>
        <w:tc>
          <w:tcPr>
            <w:tcW w:w="12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8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80" w:type="dxa"/>
            <w:vAlign w:val="bottom"/>
            <w:tcBorders>
              <w:bottom w:val="single" w:sz="8" w:color="808080"/>
            </w:tcBorders>
          </w:tcPr>
          <w:p>
            <w:pPr>
              <w:spacing w:after="0"/>
              <w:rPr>
                <w:sz w:val="11"/>
                <w:szCs w:val="11"/>
                <w:color w:val="auto"/>
              </w:rPr>
            </w:pPr>
          </w:p>
        </w:tc>
        <w:tc>
          <w:tcPr>
            <w:tcW w:w="440" w:type="dxa"/>
            <w:vAlign w:val="bottom"/>
            <w:tcBorders>
              <w:bottom w:val="single" w:sz="8" w:color="808080"/>
            </w:tcBorders>
          </w:tcPr>
          <w:p>
            <w:pPr>
              <w:spacing w:after="0"/>
              <w:rPr>
                <w:sz w:val="11"/>
                <w:szCs w:val="11"/>
                <w:color w:val="auto"/>
              </w:rPr>
            </w:pPr>
          </w:p>
        </w:tc>
        <w:tc>
          <w:tcPr>
            <w:tcW w:w="240" w:type="dxa"/>
            <w:vAlign w:val="bottom"/>
            <w:tcBorders>
              <w:bottom w:val="single" w:sz="8" w:color="808080"/>
            </w:tcBorders>
          </w:tcPr>
          <w:p>
            <w:pPr>
              <w:spacing w:after="0"/>
              <w:rPr>
                <w:sz w:val="11"/>
                <w:szCs w:val="11"/>
                <w:color w:val="auto"/>
              </w:rPr>
            </w:pPr>
          </w:p>
        </w:tc>
        <w:tc>
          <w:tcPr>
            <w:tcW w:w="120" w:type="dxa"/>
            <w:vAlign w:val="bottom"/>
            <w:tcBorders>
              <w:bottom w:val="single" w:sz="8" w:color="808080"/>
            </w:tcBorders>
          </w:tcPr>
          <w:p>
            <w:pPr>
              <w:spacing w:after="0"/>
              <w:rPr>
                <w:sz w:val="11"/>
                <w:szCs w:val="11"/>
                <w:color w:val="auto"/>
              </w:rPr>
            </w:pPr>
          </w:p>
        </w:tc>
        <w:tc>
          <w:tcPr>
            <w:tcW w:w="380" w:type="dxa"/>
            <w:vAlign w:val="bottom"/>
            <w:tcBorders>
              <w:bottom w:val="single" w:sz="8" w:color="808080"/>
            </w:tcBorders>
          </w:tcPr>
          <w:p>
            <w:pPr>
              <w:spacing w:after="0"/>
              <w:rPr>
                <w:sz w:val="11"/>
                <w:szCs w:val="11"/>
                <w:color w:val="auto"/>
              </w:rPr>
            </w:pPr>
          </w:p>
        </w:tc>
        <w:tc>
          <w:tcPr>
            <w:tcW w:w="120" w:type="dxa"/>
            <w:vAlign w:val="bottom"/>
            <w:tcBorders>
              <w:bottom w:val="single" w:sz="8" w:color="808080"/>
            </w:tcBorders>
          </w:tcPr>
          <w:p>
            <w:pPr>
              <w:spacing w:after="0"/>
              <w:rPr>
                <w:sz w:val="11"/>
                <w:szCs w:val="11"/>
                <w:color w:val="auto"/>
              </w:rPr>
            </w:pPr>
          </w:p>
        </w:tc>
        <w:tc>
          <w:tcPr>
            <w:tcW w:w="60" w:type="dxa"/>
            <w:vAlign w:val="bottom"/>
            <w:tcBorders>
              <w:bottom w:val="single" w:sz="8" w:color="808080"/>
            </w:tcBorders>
          </w:tcPr>
          <w:p>
            <w:pPr>
              <w:spacing w:after="0"/>
              <w:rPr>
                <w:sz w:val="11"/>
                <w:szCs w:val="11"/>
                <w:color w:val="auto"/>
              </w:rPr>
            </w:pPr>
          </w:p>
        </w:tc>
        <w:tc>
          <w:tcPr>
            <w:tcW w:w="960" w:type="dxa"/>
            <w:vAlign w:val="bottom"/>
            <w:tcBorders>
              <w:bottom w:val="single" w:sz="8" w:color="808080"/>
            </w:tcBorders>
          </w:tcPr>
          <w:p>
            <w:pPr>
              <w:spacing w:after="0"/>
              <w:rPr>
                <w:sz w:val="11"/>
                <w:szCs w:val="11"/>
                <w:color w:val="auto"/>
              </w:rPr>
            </w:pPr>
          </w:p>
        </w:tc>
        <w:tc>
          <w:tcPr>
            <w:tcW w:w="920" w:type="dxa"/>
            <w:vAlign w:val="bottom"/>
            <w:tcBorders>
              <w:bottom w:val="single" w:sz="8" w:color="808080"/>
            </w:tcBorders>
          </w:tcPr>
          <w:p>
            <w:pPr>
              <w:spacing w:after="0"/>
              <w:rPr>
                <w:sz w:val="11"/>
                <w:szCs w:val="11"/>
                <w:color w:val="auto"/>
              </w:rPr>
            </w:pPr>
          </w:p>
        </w:tc>
        <w:tc>
          <w:tcPr>
            <w:tcW w:w="660" w:type="dxa"/>
            <w:vAlign w:val="bottom"/>
            <w:tcBorders>
              <w:bottom w:val="single" w:sz="8" w:color="808080"/>
            </w:tcBorders>
          </w:tcPr>
          <w:p>
            <w:pPr>
              <w:spacing w:after="0"/>
              <w:rPr>
                <w:sz w:val="11"/>
                <w:szCs w:val="11"/>
                <w:color w:val="auto"/>
              </w:rPr>
            </w:pPr>
          </w:p>
        </w:tc>
        <w:tc>
          <w:tcPr>
            <w:tcW w:w="1620" w:type="dxa"/>
            <w:vAlign w:val="bottom"/>
            <w:tcBorders>
              <w:bottom w:val="single" w:sz="8" w:color="808080"/>
            </w:tcBorders>
          </w:tcPr>
          <w:p>
            <w:pPr>
              <w:spacing w:after="0"/>
              <w:rPr>
                <w:sz w:val="11"/>
                <w:szCs w:val="11"/>
                <w:color w:val="auto"/>
              </w:rPr>
            </w:pPr>
          </w:p>
        </w:tc>
        <w:tc>
          <w:tcPr>
            <w:tcW w:w="180" w:type="dxa"/>
            <w:vAlign w:val="bottom"/>
            <w:tcBorders>
              <w:bottom w:val="single" w:sz="8" w:color="808080"/>
            </w:tcBorders>
          </w:tcPr>
          <w:p>
            <w:pPr>
              <w:spacing w:after="0"/>
              <w:rPr>
                <w:sz w:val="11"/>
                <w:szCs w:val="11"/>
                <w:color w:val="auto"/>
              </w:rPr>
            </w:pPr>
          </w:p>
        </w:tc>
        <w:tc>
          <w:tcPr>
            <w:tcW w:w="440" w:type="dxa"/>
            <w:vAlign w:val="bottom"/>
            <w:tcBorders>
              <w:bottom w:val="single" w:sz="8" w:color="808080"/>
            </w:tcBorders>
          </w:tcPr>
          <w:p>
            <w:pPr>
              <w:spacing w:after="0"/>
              <w:rPr>
                <w:sz w:val="11"/>
                <w:szCs w:val="11"/>
                <w:color w:val="auto"/>
              </w:rPr>
            </w:pPr>
          </w:p>
        </w:tc>
        <w:tc>
          <w:tcPr>
            <w:tcW w:w="18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263525</wp:posOffset>
            </wp:positionH>
            <wp:positionV relativeFrom="paragraph">
              <wp:posOffset>-281940</wp:posOffset>
            </wp:positionV>
            <wp:extent cx="841375" cy="1638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8" w:name="page9"/>
    <w:bookmarkEnd w:id="8"/>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9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3140" w:type="dxa"/>
            <w:vAlign w:val="bottom"/>
          </w:tcPr>
          <w:p>
            <w:pPr>
              <w:spacing w:after="0"/>
              <w:rPr>
                <w:sz w:val="19"/>
                <w:szCs w:val="19"/>
                <w:color w:val="auto"/>
              </w:rPr>
            </w:pPr>
          </w:p>
        </w:tc>
        <w:tc>
          <w:tcPr>
            <w:tcW w:w="2260" w:type="dxa"/>
            <w:vAlign w:val="bottom"/>
          </w:tcPr>
          <w:p>
            <w:pPr>
              <w:spacing w:after="0"/>
              <w:rPr>
                <w:sz w:val="19"/>
                <w:szCs w:val="19"/>
                <w:color w:val="auto"/>
              </w:rPr>
            </w:pPr>
          </w:p>
        </w:tc>
        <w:tc>
          <w:tcPr>
            <w:tcW w:w="1800" w:type="dxa"/>
            <w:vAlign w:val="bottom"/>
            <w:gridSpan w:val="3"/>
          </w:tcPr>
          <w:p>
            <w:pPr>
              <w:jc w:val="right"/>
              <w:ind w:right="1080"/>
              <w:spacing w:after="0"/>
              <w:rPr>
                <w:sz w:val="20"/>
                <w:szCs w:val="20"/>
                <w:color w:val="auto"/>
              </w:rPr>
            </w:pPr>
            <w:r>
              <w:rPr>
                <w:rFonts w:ascii="Arial" w:cs="Arial" w:eastAsia="Arial" w:hAnsi="Arial"/>
                <w:sz w:val="16"/>
                <w:szCs w:val="16"/>
                <w:b w:val="1"/>
                <w:bCs w:val="1"/>
                <w:color w:val="3A5575"/>
              </w:rPr>
              <w:t>PAGE</w:t>
            </w:r>
          </w:p>
        </w:tc>
        <w:tc>
          <w:tcPr>
            <w:tcW w:w="0" w:type="dxa"/>
            <w:vAlign w:val="bottom"/>
          </w:tcPr>
          <w:p>
            <w:pPr>
              <w:spacing w:after="0"/>
              <w:rPr>
                <w:sz w:val="1"/>
                <w:szCs w:val="1"/>
                <w:color w:val="auto"/>
              </w:rPr>
            </w:pPr>
          </w:p>
        </w:tc>
      </w:tr>
      <w:tr>
        <w:trPr>
          <w:trHeight w:val="359"/>
        </w:trPr>
        <w:tc>
          <w:tcPr>
            <w:tcW w:w="1140" w:type="dxa"/>
            <w:vAlign w:val="bottom"/>
          </w:tcPr>
          <w:p>
            <w:pPr>
              <w:spacing w:after="0"/>
              <w:rPr>
                <w:sz w:val="24"/>
                <w:szCs w:val="24"/>
                <w:color w:val="auto"/>
              </w:rPr>
            </w:pPr>
          </w:p>
        </w:tc>
        <w:tc>
          <w:tcPr>
            <w:tcW w:w="8500" w:type="dxa"/>
            <w:vAlign w:val="bottom"/>
            <w:gridSpan w:val="7"/>
          </w:tcPr>
          <w:p>
            <w:pPr>
              <w:spacing w:after="0"/>
              <w:rPr>
                <w:rFonts w:ascii="Arial" w:cs="Arial" w:eastAsia="Arial" w:hAnsi="Arial"/>
                <w:sz w:val="16"/>
                <w:szCs w:val="16"/>
                <w:b w:val="1"/>
                <w:bCs w:val="1"/>
                <w:color w:val="0000EE"/>
              </w:rPr>
            </w:pPr>
            <w:hyperlink w:anchor="page102">
              <w:r>
                <w:rPr>
                  <w:rFonts w:ascii="Arial" w:cs="Arial" w:eastAsia="Arial" w:hAnsi="Arial"/>
                  <w:sz w:val="16"/>
                  <w:szCs w:val="16"/>
                  <w:b w:val="1"/>
                  <w:bCs w:val="1"/>
                  <w:color w:val="0000EE"/>
                </w:rPr>
                <w:t>ACCOUNTING AND AUDITING MATTERS</w:t>
              </w:r>
            </w:hyperlink>
          </w:p>
        </w:tc>
        <w:tc>
          <w:tcPr>
            <w:tcW w:w="640" w:type="dxa"/>
            <w:vAlign w:val="bottom"/>
            <w:gridSpan w:val="2"/>
          </w:tcPr>
          <w:p>
            <w:pPr>
              <w:jc w:val="right"/>
              <w:spacing w:after="0"/>
              <w:rPr>
                <w:rFonts w:ascii="Arial" w:cs="Arial" w:eastAsia="Arial" w:hAnsi="Arial"/>
                <w:sz w:val="16"/>
                <w:szCs w:val="16"/>
                <w:b w:val="1"/>
                <w:bCs w:val="1"/>
                <w:color w:val="0000EE"/>
              </w:rPr>
            </w:pPr>
            <w:hyperlink w:anchor="page102">
              <w:r>
                <w:rPr>
                  <w:rFonts w:ascii="Arial" w:cs="Arial" w:eastAsia="Arial" w:hAnsi="Arial"/>
                  <w:sz w:val="16"/>
                  <w:szCs w:val="16"/>
                  <w:b w:val="1"/>
                  <w:bCs w:val="1"/>
                  <w:color w:val="0000EE"/>
                </w:rPr>
                <w:t>93</w:t>
              </w:r>
            </w:hyperlink>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620" w:type="dxa"/>
            <w:vAlign w:val="bottom"/>
            <w:tcBorders>
              <w:top w:val="single" w:sz="8" w:color="0000EE"/>
              <w:bottom w:val="single" w:sz="8" w:color="3A5575"/>
            </w:tcBorders>
          </w:tcPr>
          <w:p>
            <w:pPr>
              <w:spacing w:after="0" w:line="20" w:lineRule="exact"/>
              <w:rPr>
                <w:sz w:val="1"/>
                <w:szCs w:val="1"/>
                <w:color w:val="auto"/>
              </w:rPr>
            </w:pPr>
          </w:p>
        </w:tc>
        <w:tc>
          <w:tcPr>
            <w:tcW w:w="70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140" w:type="dxa"/>
            <w:vAlign w:val="bottom"/>
            <w:tcBorders>
              <w:bottom w:val="single" w:sz="8" w:color="3A5575"/>
            </w:tcBorders>
          </w:tcPr>
          <w:p>
            <w:pPr>
              <w:spacing w:after="0" w:line="20" w:lineRule="exact"/>
              <w:rPr>
                <w:sz w:val="1"/>
                <w:szCs w:val="1"/>
                <w:color w:val="auto"/>
              </w:rPr>
            </w:pPr>
          </w:p>
        </w:tc>
        <w:tc>
          <w:tcPr>
            <w:tcW w:w="2260" w:type="dxa"/>
            <w:vAlign w:val="bottom"/>
            <w:tcBorders>
              <w:bottom w:val="single" w:sz="8" w:color="3A5575"/>
            </w:tcBorders>
          </w:tcPr>
          <w:p>
            <w:pPr>
              <w:spacing w:after="0" w:line="20" w:lineRule="exact"/>
              <w:rPr>
                <w:sz w:val="1"/>
                <w:szCs w:val="1"/>
                <w:color w:val="auto"/>
              </w:rPr>
            </w:pPr>
          </w:p>
        </w:tc>
        <w:tc>
          <w:tcPr>
            <w:tcW w:w="46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00" w:type="dxa"/>
            <w:vAlign w:val="bottom"/>
            <w:gridSpan w:val="7"/>
          </w:tcPr>
          <w:p>
            <w:pPr>
              <w:spacing w:after="0"/>
              <w:rPr>
                <w:rFonts w:ascii="Arial" w:cs="Arial" w:eastAsia="Arial" w:hAnsi="Arial"/>
                <w:sz w:val="16"/>
                <w:szCs w:val="16"/>
                <w:color w:val="0000EE"/>
              </w:rPr>
            </w:pPr>
            <w:hyperlink w:anchor="page102">
              <w:r>
                <w:rPr>
                  <w:rFonts w:ascii="Arial" w:cs="Arial" w:eastAsia="Arial" w:hAnsi="Arial"/>
                  <w:sz w:val="16"/>
                  <w:szCs w:val="16"/>
                  <w:color w:val="0000EE"/>
                </w:rPr>
                <w:t>The Independent Accountants</w:t>
              </w:r>
            </w:hyperlink>
          </w:p>
        </w:tc>
        <w:tc>
          <w:tcPr>
            <w:tcW w:w="640" w:type="dxa"/>
            <w:vAlign w:val="bottom"/>
            <w:gridSpan w:val="2"/>
          </w:tcPr>
          <w:p>
            <w:pPr>
              <w:jc w:val="right"/>
              <w:spacing w:after="0"/>
              <w:rPr>
                <w:rFonts w:ascii="Arial" w:cs="Arial" w:eastAsia="Arial" w:hAnsi="Arial"/>
                <w:sz w:val="16"/>
                <w:szCs w:val="16"/>
                <w:color w:val="0000EE"/>
              </w:rPr>
            </w:pPr>
            <w:hyperlink w:anchor="page102">
              <w:r>
                <w:rPr>
                  <w:rFonts w:ascii="Arial" w:cs="Arial" w:eastAsia="Arial" w:hAnsi="Arial"/>
                  <w:sz w:val="16"/>
                  <w:szCs w:val="16"/>
                  <w:color w:val="0000EE"/>
                </w:rPr>
                <w:t>93</w:t>
              </w:r>
            </w:hyperlink>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40" w:type="dxa"/>
            <w:vAlign w:val="bottom"/>
          </w:tcPr>
          <w:p>
            <w:pPr>
              <w:spacing w:after="0"/>
              <w:rPr>
                <w:sz w:val="14"/>
                <w:szCs w:val="14"/>
                <w:color w:val="auto"/>
              </w:rPr>
            </w:pPr>
          </w:p>
        </w:tc>
        <w:tc>
          <w:tcPr>
            <w:tcW w:w="2140" w:type="dxa"/>
            <w:vAlign w:val="bottom"/>
            <w:tcBorders>
              <w:top w:val="single" w:sz="8" w:color="0000EE"/>
            </w:tcBorders>
            <w:gridSpan w:val="3"/>
          </w:tcPr>
          <w:p>
            <w:pPr>
              <w:spacing w:after="0" w:line="164" w:lineRule="exact"/>
              <w:rPr>
                <w:rFonts w:ascii="Arial" w:cs="Arial" w:eastAsia="Arial" w:hAnsi="Arial"/>
                <w:sz w:val="16"/>
                <w:szCs w:val="16"/>
                <w:color w:val="0000EE"/>
              </w:rPr>
            </w:pPr>
            <w:hyperlink w:anchor="page102">
              <w:r>
                <w:rPr>
                  <w:rFonts w:ascii="Arial" w:cs="Arial" w:eastAsia="Arial" w:hAnsi="Arial"/>
                  <w:sz w:val="16"/>
                  <w:szCs w:val="16"/>
                  <w:color w:val="0000EE"/>
                </w:rPr>
                <w:t>Audit Fees</w:t>
              </w:r>
            </w:hyperlink>
          </w:p>
        </w:tc>
        <w:tc>
          <w:tcPr>
            <w:tcW w:w="700" w:type="dxa"/>
            <w:vAlign w:val="bottom"/>
          </w:tcPr>
          <w:p>
            <w:pPr>
              <w:spacing w:after="0"/>
              <w:rPr>
                <w:sz w:val="14"/>
                <w:szCs w:val="14"/>
                <w:color w:val="auto"/>
              </w:rPr>
            </w:pPr>
          </w:p>
        </w:tc>
        <w:tc>
          <w:tcPr>
            <w:tcW w:w="3400" w:type="dxa"/>
            <w:vAlign w:val="bottom"/>
            <w:gridSpan w:val="2"/>
          </w:tcPr>
          <w:p>
            <w:pPr>
              <w:spacing w:after="0"/>
              <w:rPr>
                <w:sz w:val="14"/>
                <w:szCs w:val="14"/>
                <w:color w:val="auto"/>
              </w:rPr>
            </w:pPr>
          </w:p>
        </w:tc>
        <w:tc>
          <w:tcPr>
            <w:tcW w:w="22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Borders>
              <w:top w:val="single" w:sz="8" w:color="0000EE"/>
            </w:tcBorders>
          </w:tcPr>
          <w:p>
            <w:pPr>
              <w:jc w:val="right"/>
              <w:spacing w:after="0" w:line="164" w:lineRule="exact"/>
              <w:rPr>
                <w:rFonts w:ascii="Arial" w:cs="Arial" w:eastAsia="Arial" w:hAnsi="Arial"/>
                <w:sz w:val="16"/>
                <w:szCs w:val="16"/>
                <w:color w:val="0000EE"/>
                <w:w w:val="89"/>
              </w:rPr>
            </w:pPr>
            <w:hyperlink w:anchor="page102">
              <w:r>
                <w:rPr>
                  <w:rFonts w:ascii="Arial" w:cs="Arial" w:eastAsia="Arial" w:hAnsi="Arial"/>
                  <w:sz w:val="16"/>
                  <w:szCs w:val="16"/>
                  <w:color w:val="0000EE"/>
                  <w:w w:val="89"/>
                </w:rPr>
                <w:t>93</w:t>
              </w:r>
            </w:hyperlink>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76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320" w:type="dxa"/>
            <w:vAlign w:val="bottom"/>
            <w:gridSpan w:val="2"/>
          </w:tcPr>
          <w:p>
            <w:pPr>
              <w:spacing w:after="0" w:line="20" w:lineRule="exact"/>
              <w:rPr>
                <w:sz w:val="1"/>
                <w:szCs w:val="1"/>
                <w:color w:val="auto"/>
              </w:rPr>
            </w:pPr>
          </w:p>
        </w:tc>
        <w:tc>
          <w:tcPr>
            <w:tcW w:w="34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460" w:type="dxa"/>
            <w:vAlign w:val="bottom"/>
            <w:vMerge w:val="restart"/>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4"/>
        </w:trPr>
        <w:tc>
          <w:tcPr>
            <w:tcW w:w="1140" w:type="dxa"/>
            <w:vAlign w:val="bottom"/>
          </w:tcPr>
          <w:p>
            <w:pPr>
              <w:spacing w:after="0"/>
              <w:rPr>
                <w:sz w:val="14"/>
                <w:szCs w:val="14"/>
                <w:color w:val="auto"/>
              </w:rPr>
            </w:pPr>
          </w:p>
        </w:tc>
        <w:tc>
          <w:tcPr>
            <w:tcW w:w="8500" w:type="dxa"/>
            <w:vAlign w:val="bottom"/>
            <w:gridSpan w:val="7"/>
          </w:tcPr>
          <w:p>
            <w:pPr>
              <w:spacing w:after="0" w:line="164" w:lineRule="exact"/>
              <w:rPr>
                <w:rFonts w:ascii="Arial" w:cs="Arial" w:eastAsia="Arial" w:hAnsi="Arial"/>
                <w:sz w:val="16"/>
                <w:szCs w:val="16"/>
                <w:color w:val="0000EE"/>
              </w:rPr>
            </w:pPr>
            <w:hyperlink w:anchor="page103">
              <w:r>
                <w:rPr>
                  <w:rFonts w:ascii="Arial" w:cs="Arial" w:eastAsia="Arial" w:hAnsi="Arial"/>
                  <w:sz w:val="16"/>
                  <w:szCs w:val="16"/>
                  <w:color w:val="0000EE"/>
                </w:rPr>
                <w:t>Pre-Approval Policies</w:t>
              </w:r>
            </w:hyperlink>
          </w:p>
        </w:tc>
        <w:tc>
          <w:tcPr>
            <w:tcW w:w="460" w:type="dxa"/>
            <w:vAlign w:val="bottom"/>
            <w:vMerge w:val="continue"/>
          </w:tcPr>
          <w:p>
            <w:pPr>
              <w:spacing w:after="0"/>
              <w:rPr>
                <w:sz w:val="14"/>
                <w:szCs w:val="14"/>
                <w:color w:val="auto"/>
              </w:rPr>
            </w:pPr>
          </w:p>
        </w:tc>
        <w:tc>
          <w:tcPr>
            <w:tcW w:w="180" w:type="dxa"/>
            <w:vAlign w:val="bottom"/>
          </w:tcPr>
          <w:p>
            <w:pPr>
              <w:jc w:val="right"/>
              <w:spacing w:after="0" w:line="164" w:lineRule="exact"/>
              <w:rPr>
                <w:rFonts w:ascii="Arial" w:cs="Arial" w:eastAsia="Arial" w:hAnsi="Arial"/>
                <w:sz w:val="16"/>
                <w:szCs w:val="16"/>
                <w:color w:val="0000EE"/>
                <w:w w:val="89"/>
              </w:rPr>
            </w:pPr>
            <w:hyperlink w:anchor="page103">
              <w:r>
                <w:rPr>
                  <w:rFonts w:ascii="Arial" w:cs="Arial" w:eastAsia="Arial" w:hAnsi="Arial"/>
                  <w:sz w:val="16"/>
                  <w:szCs w:val="16"/>
                  <w:color w:val="0000EE"/>
                  <w:w w:val="89"/>
                </w:rPr>
                <w:t>94</w:t>
              </w:r>
            </w:hyperlink>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1520" w:type="dxa"/>
            <w:vAlign w:val="bottom"/>
            <w:gridSpan w:val="2"/>
            <w:shd w:val="clear" w:color="auto" w:fill="0000EE"/>
          </w:tcPr>
          <w:p>
            <w:pPr>
              <w:spacing w:after="0" w:line="20" w:lineRule="exact"/>
              <w:rPr>
                <w:sz w:val="1"/>
                <w:szCs w:val="1"/>
                <w:color w:val="auto"/>
              </w:rPr>
            </w:pPr>
          </w:p>
        </w:tc>
        <w:tc>
          <w:tcPr>
            <w:tcW w:w="1320" w:type="dxa"/>
            <w:vAlign w:val="bottom"/>
            <w:gridSpan w:val="2"/>
          </w:tcPr>
          <w:p>
            <w:pPr>
              <w:spacing w:after="0" w:line="20" w:lineRule="exact"/>
              <w:rPr>
                <w:sz w:val="1"/>
                <w:szCs w:val="1"/>
                <w:color w:val="auto"/>
              </w:rPr>
            </w:pPr>
          </w:p>
        </w:tc>
        <w:tc>
          <w:tcPr>
            <w:tcW w:w="3400" w:type="dxa"/>
            <w:vAlign w:val="bottom"/>
            <w:gridSpan w:val="2"/>
          </w:tcPr>
          <w:p>
            <w:pPr>
              <w:spacing w:after="0" w:line="20" w:lineRule="exact"/>
              <w:rPr>
                <w:sz w:val="1"/>
                <w:szCs w:val="1"/>
                <w:color w:val="auto"/>
              </w:rPr>
            </w:pPr>
          </w:p>
        </w:tc>
        <w:tc>
          <w:tcPr>
            <w:tcW w:w="22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5"/>
        </w:trPr>
        <w:tc>
          <w:tcPr>
            <w:tcW w:w="1140" w:type="dxa"/>
            <w:vAlign w:val="bottom"/>
          </w:tcPr>
          <w:p>
            <w:pPr>
              <w:spacing w:after="0"/>
              <w:rPr>
                <w:sz w:val="24"/>
                <w:szCs w:val="24"/>
                <w:color w:val="auto"/>
              </w:rPr>
            </w:pPr>
          </w:p>
        </w:tc>
        <w:tc>
          <w:tcPr>
            <w:tcW w:w="8500" w:type="dxa"/>
            <w:vAlign w:val="bottom"/>
            <w:gridSpan w:val="7"/>
          </w:tcPr>
          <w:p>
            <w:pPr>
              <w:spacing w:after="0"/>
              <w:rPr>
                <w:rFonts w:ascii="Arial" w:cs="Arial" w:eastAsia="Arial" w:hAnsi="Arial"/>
                <w:sz w:val="16"/>
                <w:szCs w:val="16"/>
                <w:b w:val="1"/>
                <w:bCs w:val="1"/>
                <w:color w:val="0000EE"/>
              </w:rPr>
            </w:pPr>
            <w:hyperlink w:anchor="page104">
              <w:r>
                <w:rPr>
                  <w:rFonts w:ascii="Arial" w:cs="Arial" w:eastAsia="Arial" w:hAnsi="Arial"/>
                  <w:sz w:val="16"/>
                  <w:szCs w:val="16"/>
                  <w:b w:val="1"/>
                  <w:bCs w:val="1"/>
                  <w:color w:val="0000EE"/>
                </w:rPr>
                <w:t>REPORT OF THE AUDIT COMMITTEE</w:t>
              </w:r>
            </w:hyperlink>
          </w:p>
        </w:tc>
        <w:tc>
          <w:tcPr>
            <w:tcW w:w="640" w:type="dxa"/>
            <w:vAlign w:val="bottom"/>
            <w:gridSpan w:val="2"/>
          </w:tcPr>
          <w:p>
            <w:pPr>
              <w:jc w:val="right"/>
              <w:spacing w:after="0"/>
              <w:rPr>
                <w:rFonts w:ascii="Arial" w:cs="Arial" w:eastAsia="Arial" w:hAnsi="Arial"/>
                <w:sz w:val="16"/>
                <w:szCs w:val="16"/>
                <w:b w:val="1"/>
                <w:bCs w:val="1"/>
                <w:color w:val="0000EE"/>
              </w:rPr>
            </w:pPr>
            <w:hyperlink w:anchor="page104">
              <w:r>
                <w:rPr>
                  <w:rFonts w:ascii="Arial" w:cs="Arial" w:eastAsia="Arial" w:hAnsi="Arial"/>
                  <w:sz w:val="16"/>
                  <w:szCs w:val="16"/>
                  <w:b w:val="1"/>
                  <w:bCs w:val="1"/>
                  <w:color w:val="0000EE"/>
                </w:rPr>
                <w:t>95</w:t>
              </w:r>
            </w:hyperlink>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620" w:type="dxa"/>
            <w:vAlign w:val="bottom"/>
            <w:tcBorders>
              <w:top w:val="single" w:sz="8" w:color="0000EE"/>
              <w:bottom w:val="single" w:sz="8" w:color="3A5575"/>
            </w:tcBorders>
          </w:tcPr>
          <w:p>
            <w:pPr>
              <w:spacing w:after="0" w:line="20" w:lineRule="exact"/>
              <w:rPr>
                <w:sz w:val="1"/>
                <w:szCs w:val="1"/>
                <w:color w:val="auto"/>
              </w:rPr>
            </w:pPr>
          </w:p>
        </w:tc>
        <w:tc>
          <w:tcPr>
            <w:tcW w:w="70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bottom w:val="single" w:sz="8" w:color="3A5575"/>
            </w:tcBorders>
          </w:tcPr>
          <w:p>
            <w:pPr>
              <w:spacing w:after="0" w:line="20" w:lineRule="exact"/>
              <w:rPr>
                <w:sz w:val="1"/>
                <w:szCs w:val="1"/>
                <w:color w:val="auto"/>
              </w:rPr>
            </w:pPr>
          </w:p>
        </w:tc>
        <w:tc>
          <w:tcPr>
            <w:tcW w:w="3140" w:type="dxa"/>
            <w:vAlign w:val="bottom"/>
            <w:tcBorders>
              <w:bottom w:val="single" w:sz="8" w:color="3A5575"/>
            </w:tcBorders>
          </w:tcPr>
          <w:p>
            <w:pPr>
              <w:spacing w:after="0" w:line="20" w:lineRule="exact"/>
              <w:rPr>
                <w:sz w:val="1"/>
                <w:szCs w:val="1"/>
                <w:color w:val="auto"/>
              </w:rPr>
            </w:pPr>
          </w:p>
        </w:tc>
        <w:tc>
          <w:tcPr>
            <w:tcW w:w="2260" w:type="dxa"/>
            <w:vAlign w:val="bottom"/>
            <w:tcBorders>
              <w:bottom w:val="single" w:sz="8" w:color="3A5575"/>
            </w:tcBorders>
          </w:tcPr>
          <w:p>
            <w:pPr>
              <w:spacing w:after="0" w:line="20" w:lineRule="exact"/>
              <w:rPr>
                <w:sz w:val="1"/>
                <w:szCs w:val="1"/>
                <w:color w:val="auto"/>
              </w:rPr>
            </w:pPr>
          </w:p>
        </w:tc>
        <w:tc>
          <w:tcPr>
            <w:tcW w:w="46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1140" w:type="dxa"/>
            <w:vAlign w:val="bottom"/>
          </w:tcPr>
          <w:p>
            <w:pPr>
              <w:spacing w:after="0"/>
              <w:rPr>
                <w:sz w:val="24"/>
                <w:szCs w:val="24"/>
                <w:color w:val="auto"/>
              </w:rPr>
            </w:pPr>
          </w:p>
        </w:tc>
        <w:tc>
          <w:tcPr>
            <w:tcW w:w="8500" w:type="dxa"/>
            <w:vAlign w:val="bottom"/>
            <w:gridSpan w:val="7"/>
          </w:tcPr>
          <w:p>
            <w:pPr>
              <w:spacing w:after="0"/>
              <w:rPr>
                <w:rFonts w:ascii="Arial" w:cs="Arial" w:eastAsia="Arial" w:hAnsi="Arial"/>
                <w:sz w:val="16"/>
                <w:szCs w:val="16"/>
                <w:b w:val="1"/>
                <w:bCs w:val="1"/>
                <w:color w:val="0000EE"/>
              </w:rPr>
            </w:pPr>
            <w:hyperlink w:anchor="page105">
              <w:r>
                <w:rPr>
                  <w:rFonts w:ascii="Arial" w:cs="Arial" w:eastAsia="Arial" w:hAnsi="Arial"/>
                  <w:sz w:val="16"/>
                  <w:szCs w:val="16"/>
                  <w:b w:val="1"/>
                  <w:bCs w:val="1"/>
                  <w:color w:val="0000EE"/>
                </w:rPr>
                <w:t>PROPOSAL 4 — SHAREHOLDER PROPOSAL REGARDING POLITICAL SPENDING</w:t>
              </w:r>
            </w:hyperlink>
          </w:p>
        </w:tc>
        <w:tc>
          <w:tcPr>
            <w:tcW w:w="640" w:type="dxa"/>
            <w:vAlign w:val="bottom"/>
            <w:gridSpan w:val="2"/>
          </w:tcPr>
          <w:p>
            <w:pPr>
              <w:jc w:val="right"/>
              <w:spacing w:after="0"/>
              <w:rPr>
                <w:rFonts w:ascii="Arial" w:cs="Arial" w:eastAsia="Arial" w:hAnsi="Arial"/>
                <w:sz w:val="16"/>
                <w:szCs w:val="16"/>
                <w:b w:val="1"/>
                <w:bCs w:val="1"/>
                <w:color w:val="0000EE"/>
              </w:rPr>
            </w:pPr>
            <w:hyperlink w:anchor="page105">
              <w:r>
                <w:rPr>
                  <w:rFonts w:ascii="Arial" w:cs="Arial" w:eastAsia="Arial" w:hAnsi="Arial"/>
                  <w:sz w:val="16"/>
                  <w:szCs w:val="16"/>
                  <w:b w:val="1"/>
                  <w:bCs w:val="1"/>
                  <w:color w:val="0000EE"/>
                </w:rPr>
                <w:t>96</w:t>
              </w:r>
            </w:hyperlink>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760" w:type="dxa"/>
            <w:vAlign w:val="bottom"/>
            <w:tcBorders>
              <w:top w:val="single" w:sz="8" w:color="0000EE"/>
              <w:bottom w:val="single" w:sz="8" w:color="3A5575"/>
            </w:tcBorders>
          </w:tcPr>
          <w:p>
            <w:pPr>
              <w:spacing w:after="0" w:line="20" w:lineRule="exact"/>
              <w:rPr>
                <w:sz w:val="1"/>
                <w:szCs w:val="1"/>
                <w:color w:val="auto"/>
              </w:rPr>
            </w:pPr>
          </w:p>
        </w:tc>
        <w:tc>
          <w:tcPr>
            <w:tcW w:w="620" w:type="dxa"/>
            <w:vAlign w:val="bottom"/>
            <w:tcBorders>
              <w:top w:val="single" w:sz="8" w:color="0000EE"/>
              <w:bottom w:val="single" w:sz="8" w:color="3A5575"/>
            </w:tcBorders>
          </w:tcPr>
          <w:p>
            <w:pPr>
              <w:spacing w:after="0" w:line="20" w:lineRule="exact"/>
              <w:rPr>
                <w:sz w:val="1"/>
                <w:szCs w:val="1"/>
                <w:color w:val="auto"/>
              </w:rPr>
            </w:pPr>
          </w:p>
        </w:tc>
        <w:tc>
          <w:tcPr>
            <w:tcW w:w="700" w:type="dxa"/>
            <w:vAlign w:val="bottom"/>
            <w:tcBorders>
              <w:top w:val="single" w:sz="8" w:color="0000EE"/>
              <w:bottom w:val="single" w:sz="8" w:color="3A5575"/>
            </w:tcBorders>
          </w:tcPr>
          <w:p>
            <w:pPr>
              <w:spacing w:after="0" w:line="20" w:lineRule="exact"/>
              <w:rPr>
                <w:sz w:val="1"/>
                <w:szCs w:val="1"/>
                <w:color w:val="auto"/>
              </w:rPr>
            </w:pPr>
          </w:p>
        </w:tc>
        <w:tc>
          <w:tcPr>
            <w:tcW w:w="260" w:type="dxa"/>
            <w:vAlign w:val="bottom"/>
            <w:tcBorders>
              <w:top w:val="single" w:sz="8" w:color="0000EE"/>
              <w:bottom w:val="single" w:sz="8" w:color="3A5575"/>
            </w:tcBorders>
          </w:tcPr>
          <w:p>
            <w:pPr>
              <w:spacing w:after="0" w:line="20" w:lineRule="exact"/>
              <w:rPr>
                <w:sz w:val="1"/>
                <w:szCs w:val="1"/>
                <w:color w:val="auto"/>
              </w:rPr>
            </w:pPr>
          </w:p>
        </w:tc>
        <w:tc>
          <w:tcPr>
            <w:tcW w:w="3140" w:type="dxa"/>
            <w:vAlign w:val="bottom"/>
            <w:tcBorders>
              <w:top w:val="single" w:sz="8" w:color="0000EE"/>
              <w:bottom w:val="single" w:sz="8" w:color="3A5575"/>
            </w:tcBorders>
          </w:tcPr>
          <w:p>
            <w:pPr>
              <w:spacing w:after="0" w:line="20" w:lineRule="exact"/>
              <w:rPr>
                <w:sz w:val="1"/>
                <w:szCs w:val="1"/>
                <w:color w:val="auto"/>
              </w:rPr>
            </w:pPr>
          </w:p>
        </w:tc>
        <w:tc>
          <w:tcPr>
            <w:tcW w:w="2260" w:type="dxa"/>
            <w:vAlign w:val="bottom"/>
            <w:tcBorders>
              <w:bottom w:val="single" w:sz="8" w:color="3A5575"/>
            </w:tcBorders>
          </w:tcPr>
          <w:p>
            <w:pPr>
              <w:spacing w:after="0" w:line="20" w:lineRule="exact"/>
              <w:rPr>
                <w:sz w:val="1"/>
                <w:szCs w:val="1"/>
                <w:color w:val="auto"/>
              </w:rPr>
            </w:pPr>
          </w:p>
        </w:tc>
        <w:tc>
          <w:tcPr>
            <w:tcW w:w="460" w:type="dxa"/>
            <w:vAlign w:val="bottom"/>
            <w:tcBorders>
              <w:bottom w:val="single" w:sz="8" w:color="3A5575"/>
            </w:tcBorders>
          </w:tcPr>
          <w:p>
            <w:pPr>
              <w:spacing w:after="0" w:line="20" w:lineRule="exact"/>
              <w:rPr>
                <w:sz w:val="1"/>
                <w:szCs w:val="1"/>
                <w:color w:val="auto"/>
              </w:rPr>
            </w:pPr>
          </w:p>
        </w:tc>
        <w:tc>
          <w:tcPr>
            <w:tcW w:w="180" w:type="dxa"/>
            <w:vAlign w:val="bottom"/>
            <w:tcBorders>
              <w:top w:val="single" w:sz="8" w:color="0000EE"/>
              <w:bottom w:val="single" w:sz="8" w:color="3A5575"/>
            </w:tcBorders>
          </w:tcPr>
          <w:p>
            <w:pPr>
              <w:spacing w:after="0" w:line="20" w:lineRule="exact"/>
              <w:rPr>
                <w:sz w:val="1"/>
                <w:szCs w:val="1"/>
                <w:color w:val="auto"/>
              </w:rPr>
            </w:pPr>
          </w:p>
        </w:tc>
        <w:tc>
          <w:tcPr>
            <w:tcW w:w="116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iii</w:t>
            </w:r>
          </w:p>
        </w:tc>
        <w:tc>
          <w:tcPr>
            <w:tcW w:w="0" w:type="dxa"/>
            <w:vAlign w:val="bottom"/>
          </w:tcPr>
          <w:p>
            <w:pPr>
              <w:spacing w:after="0" w:line="20" w:lineRule="exact"/>
              <w:rPr>
                <w:sz w:val="1"/>
                <w:szCs w:val="1"/>
                <w:color w:val="auto"/>
              </w:rPr>
            </w:pPr>
          </w:p>
        </w:tc>
      </w:tr>
      <w:tr>
        <w:trPr>
          <w:trHeight w:val="527"/>
        </w:trPr>
        <w:tc>
          <w:tcPr>
            <w:tcW w:w="11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2260" w:type="dxa"/>
            <w:vAlign w:val="bottom"/>
          </w:tcPr>
          <w:p>
            <w:pPr>
              <w:ind w:left="14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1140" w:type="dxa"/>
            <w:vAlign w:val="bottom"/>
            <w:tcBorders>
              <w:bottom w:val="single" w:sz="8" w:color="808080"/>
            </w:tcBorders>
          </w:tcPr>
          <w:p>
            <w:pPr>
              <w:spacing w:after="0"/>
              <w:rPr>
                <w:sz w:val="13"/>
                <w:szCs w:val="13"/>
                <w:color w:val="auto"/>
              </w:rPr>
            </w:pPr>
          </w:p>
        </w:tc>
        <w:tc>
          <w:tcPr>
            <w:tcW w:w="760" w:type="dxa"/>
            <w:vAlign w:val="bottom"/>
            <w:tcBorders>
              <w:bottom w:val="single" w:sz="8" w:color="808080"/>
            </w:tcBorders>
          </w:tcPr>
          <w:p>
            <w:pPr>
              <w:spacing w:after="0"/>
              <w:rPr>
                <w:sz w:val="13"/>
                <w:szCs w:val="13"/>
                <w:color w:val="auto"/>
              </w:rPr>
            </w:pPr>
          </w:p>
        </w:tc>
        <w:tc>
          <w:tcPr>
            <w:tcW w:w="760" w:type="dxa"/>
            <w:vAlign w:val="bottom"/>
            <w:tcBorders>
              <w:bottom w:val="single" w:sz="8" w:color="808080"/>
            </w:tcBorders>
          </w:tcPr>
          <w:p>
            <w:pPr>
              <w:spacing w:after="0"/>
              <w:rPr>
                <w:sz w:val="13"/>
                <w:szCs w:val="13"/>
                <w:color w:val="auto"/>
              </w:rPr>
            </w:pPr>
          </w:p>
        </w:tc>
        <w:tc>
          <w:tcPr>
            <w:tcW w:w="620" w:type="dxa"/>
            <w:vAlign w:val="bottom"/>
            <w:tcBorders>
              <w:bottom w:val="single" w:sz="8" w:color="808080"/>
            </w:tcBorders>
          </w:tcPr>
          <w:p>
            <w:pPr>
              <w:spacing w:after="0"/>
              <w:rPr>
                <w:sz w:val="13"/>
                <w:szCs w:val="13"/>
                <w:color w:val="auto"/>
              </w:rPr>
            </w:pPr>
          </w:p>
        </w:tc>
        <w:tc>
          <w:tcPr>
            <w:tcW w:w="700" w:type="dxa"/>
            <w:vAlign w:val="bottom"/>
            <w:tcBorders>
              <w:bottom w:val="single" w:sz="8" w:color="808080"/>
            </w:tcBorders>
          </w:tcPr>
          <w:p>
            <w:pPr>
              <w:spacing w:after="0"/>
              <w:rPr>
                <w:sz w:val="13"/>
                <w:szCs w:val="13"/>
                <w:color w:val="auto"/>
              </w:rPr>
            </w:pPr>
          </w:p>
        </w:tc>
        <w:tc>
          <w:tcPr>
            <w:tcW w:w="260" w:type="dxa"/>
            <w:vAlign w:val="bottom"/>
            <w:tcBorders>
              <w:bottom w:val="single" w:sz="8" w:color="808080"/>
            </w:tcBorders>
          </w:tcPr>
          <w:p>
            <w:pPr>
              <w:spacing w:after="0"/>
              <w:rPr>
                <w:sz w:val="13"/>
                <w:szCs w:val="13"/>
                <w:color w:val="auto"/>
              </w:rPr>
            </w:pPr>
          </w:p>
        </w:tc>
        <w:tc>
          <w:tcPr>
            <w:tcW w:w="3140" w:type="dxa"/>
            <w:vAlign w:val="bottom"/>
            <w:tcBorders>
              <w:bottom w:val="single" w:sz="8" w:color="808080"/>
            </w:tcBorders>
          </w:tcPr>
          <w:p>
            <w:pPr>
              <w:spacing w:after="0"/>
              <w:rPr>
                <w:sz w:val="13"/>
                <w:szCs w:val="13"/>
                <w:color w:val="auto"/>
              </w:rPr>
            </w:pPr>
          </w:p>
        </w:tc>
        <w:tc>
          <w:tcPr>
            <w:tcW w:w="2260" w:type="dxa"/>
            <w:vAlign w:val="bottom"/>
            <w:tcBorders>
              <w:bottom w:val="single" w:sz="8" w:color="808080"/>
            </w:tcBorders>
          </w:tcPr>
          <w:p>
            <w:pPr>
              <w:spacing w:after="0"/>
              <w:rPr>
                <w:sz w:val="13"/>
                <w:szCs w:val="13"/>
                <w:color w:val="auto"/>
              </w:rPr>
            </w:pPr>
          </w:p>
        </w:tc>
        <w:tc>
          <w:tcPr>
            <w:tcW w:w="460" w:type="dxa"/>
            <w:vAlign w:val="bottom"/>
            <w:tcBorders>
              <w:bottom w:val="single" w:sz="8" w:color="808080"/>
            </w:tcBorders>
          </w:tcPr>
          <w:p>
            <w:pPr>
              <w:spacing w:after="0"/>
              <w:rPr>
                <w:sz w:val="13"/>
                <w:szCs w:val="13"/>
                <w:color w:val="auto"/>
              </w:rPr>
            </w:pPr>
          </w:p>
        </w:tc>
        <w:tc>
          <w:tcPr>
            <w:tcW w:w="180" w:type="dxa"/>
            <w:vAlign w:val="bottom"/>
            <w:tcBorders>
              <w:bottom w:val="single" w:sz="8" w:color="808080"/>
            </w:tcBorders>
          </w:tcPr>
          <w:p>
            <w:pPr>
              <w:spacing w:after="0"/>
              <w:rPr>
                <w:sz w:val="13"/>
                <w:szCs w:val="13"/>
                <w:color w:val="auto"/>
              </w:rPr>
            </w:pPr>
          </w:p>
        </w:tc>
        <w:tc>
          <w:tcPr>
            <w:tcW w:w="1160" w:type="dxa"/>
            <w:vAlign w:val="bottom"/>
            <w:tcBorders>
              <w:bottom w:val="single" w:sz="8" w:color="808080"/>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6159500</wp:posOffset>
            </wp:positionH>
            <wp:positionV relativeFrom="paragraph">
              <wp:posOffset>-281940</wp:posOffset>
            </wp:positionV>
            <wp:extent cx="841375" cy="1638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9" w:name="page10"/>
    <w:bookmarkEnd w:id="9"/>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6045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1"/>
        <w:spacing w:after="0"/>
        <w:rPr>
          <w:sz w:val="20"/>
          <w:szCs w:val="20"/>
          <w:color w:val="auto"/>
        </w:rPr>
      </w:pPr>
      <w:r>
        <w:rPr>
          <w:rFonts w:ascii="Arial" w:cs="Arial" w:eastAsia="Arial" w:hAnsi="Arial"/>
          <w:sz w:val="39"/>
          <w:szCs w:val="39"/>
          <w:b w:val="1"/>
          <w:bCs w:val="1"/>
          <w:color w:val="3A5575"/>
        </w:rPr>
        <w:t>Proxy Statement Summary</w:t>
      </w:r>
    </w:p>
    <w:p>
      <w:pPr>
        <w:spacing w:after="0" w:line="200" w:lineRule="exact"/>
        <w:rPr>
          <w:sz w:val="20"/>
          <w:szCs w:val="20"/>
          <w:color w:val="auto"/>
        </w:rPr>
      </w:pPr>
    </w:p>
    <w:p>
      <w:pPr>
        <w:spacing w:after="0" w:line="260" w:lineRule="exact"/>
        <w:rPr>
          <w:sz w:val="20"/>
          <w:szCs w:val="20"/>
          <w:color w:val="auto"/>
        </w:rPr>
      </w:pPr>
    </w:p>
    <w:p>
      <w:pPr>
        <w:ind w:left="2" w:right="140"/>
        <w:spacing w:after="0" w:line="247" w:lineRule="auto"/>
        <w:rPr>
          <w:sz w:val="20"/>
          <w:szCs w:val="20"/>
          <w:color w:val="auto"/>
        </w:rPr>
      </w:pPr>
      <w:r>
        <w:rPr>
          <w:rFonts w:ascii="Arial" w:cs="Arial" w:eastAsia="Arial" w:hAnsi="Arial"/>
          <w:sz w:val="20"/>
          <w:szCs w:val="20"/>
          <w:color w:val="auto"/>
        </w:rPr>
        <w:t>This summary highlights our 2015 performance and certain information contained in this Proxy Statement. As it is only a summary, please read the complete Proxy Statement and 2015 Annual Report before you vote. The Proxy Statement and form of proxy are first being made available to shareholders on or about March 31, 2016.</w:t>
      </w:r>
    </w:p>
    <w:p>
      <w:pPr>
        <w:spacing w:after="0" w:line="149" w:lineRule="exact"/>
        <w:rPr>
          <w:sz w:val="20"/>
          <w:szCs w:val="20"/>
          <w:color w:val="auto"/>
        </w:rPr>
      </w:pPr>
    </w:p>
    <w:p>
      <w:pPr>
        <w:ind w:left="2"/>
        <w:spacing w:after="0"/>
        <w:rPr>
          <w:sz w:val="20"/>
          <w:szCs w:val="20"/>
          <w:color w:val="auto"/>
        </w:rPr>
      </w:pPr>
      <w:r>
        <w:rPr>
          <w:rFonts w:ascii="Arial" w:cs="Arial" w:eastAsia="Arial" w:hAnsi="Arial"/>
          <w:sz w:val="20"/>
          <w:szCs w:val="20"/>
          <w:color w:val="auto"/>
        </w:rPr>
        <w:t>First, here is an overview of what our Company accomplished in 2015:</w:t>
      </w:r>
    </w:p>
    <w:p>
      <w:pPr>
        <w:spacing w:after="0" w:line="183"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2015 Highlights: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24130</wp:posOffset>
            </wp:positionV>
            <wp:extent cx="7259320" cy="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left="2"/>
        <w:spacing w:after="0"/>
        <w:rPr>
          <w:sz w:val="20"/>
          <w:szCs w:val="20"/>
          <w:color w:val="auto"/>
        </w:rPr>
      </w:pPr>
      <w:r>
        <w:rPr>
          <w:rFonts w:ascii="Arial" w:cs="Arial" w:eastAsia="Arial" w:hAnsi="Arial"/>
          <w:sz w:val="20"/>
          <w:szCs w:val="20"/>
          <w:color w:val="auto"/>
        </w:rPr>
        <w:t>Our Company continued its strong performance in 2015 as evidenced by the following:</w:t>
      </w:r>
    </w:p>
    <w:p>
      <w:pPr>
        <w:spacing w:after="0" w:line="175" w:lineRule="exact"/>
        <w:rPr>
          <w:sz w:val="20"/>
          <w:szCs w:val="20"/>
          <w:color w:val="auto"/>
        </w:rPr>
      </w:pPr>
    </w:p>
    <w:p>
      <w:pPr>
        <w:ind w:left="482" w:hanging="482"/>
        <w:spacing w:after="0"/>
        <w:tabs>
          <w:tab w:leader="none" w:pos="482" w:val="left"/>
        </w:tabs>
        <w:numPr>
          <w:ilvl w:val="0"/>
          <w:numId w:val="8"/>
        </w:numPr>
        <w:rPr>
          <w:rFonts w:ascii="Arial" w:cs="Arial" w:eastAsia="Arial" w:hAnsi="Arial"/>
          <w:sz w:val="20"/>
          <w:szCs w:val="20"/>
          <w:color w:val="3A5575"/>
        </w:rPr>
      </w:pPr>
      <w:r>
        <w:rPr>
          <w:rFonts w:ascii="Arial" w:cs="Arial" w:eastAsia="Arial" w:hAnsi="Arial"/>
          <w:sz w:val="20"/>
          <w:szCs w:val="20"/>
          <w:b w:val="1"/>
          <w:bCs w:val="1"/>
          <w:i w:val="1"/>
          <w:iCs w:val="1"/>
          <w:color w:val="auto"/>
        </w:rPr>
        <w:t>Shareholder Value:</w:t>
      </w:r>
    </w:p>
    <w:p>
      <w:pPr>
        <w:spacing w:after="0" w:line="334" w:lineRule="exact"/>
        <w:rPr>
          <w:sz w:val="20"/>
          <w:szCs w:val="20"/>
          <w:color w:val="auto"/>
        </w:rPr>
      </w:pPr>
    </w:p>
    <w:p>
      <w:pPr>
        <w:ind w:left="982" w:hanging="491"/>
        <w:spacing w:after="0"/>
        <w:tabs>
          <w:tab w:leader="none" w:pos="982" w:val="left"/>
        </w:tabs>
        <w:numPr>
          <w:ilvl w:val="0"/>
          <w:numId w:val="9"/>
        </w:numPr>
        <w:rPr>
          <w:rFonts w:ascii="Courier New" w:cs="Courier New" w:eastAsia="Courier New" w:hAnsi="Courier New"/>
          <w:sz w:val="13"/>
          <w:szCs w:val="13"/>
          <w:color w:val="3A5575"/>
        </w:rPr>
      </w:pPr>
      <w:r>
        <w:rPr>
          <w:rFonts w:ascii="Arial" w:cs="Arial" w:eastAsia="Arial" w:hAnsi="Arial"/>
          <w:sz w:val="20"/>
          <w:szCs w:val="20"/>
          <w:color w:val="auto"/>
        </w:rPr>
        <w:t>Pinnacle West increased the dividend for the fourth straight year by 5.0%;</w:t>
      </w:r>
    </w:p>
    <w:p>
      <w:pPr>
        <w:sectPr>
          <w:pgSz w:w="11900" w:h="16838" w:orient="portrait"/>
          <w:cols w:equalWidth="0" w:num="1">
            <w:col w:w="11442"/>
          </w:cols>
          <w:pgMar w:left="238" w:top="110" w:right="219" w:bottom="1440" w:gutter="0" w:footer="0" w:header="0"/>
        </w:sectPr>
      </w:pPr>
    </w:p>
    <w:p>
      <w:pPr>
        <w:spacing w:after="0" w:line="145"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118" w:lineRule="exact"/>
        <w:rPr>
          <w:sz w:val="20"/>
          <w:szCs w:val="20"/>
          <w:color w:val="auto"/>
        </w:rPr>
      </w:pPr>
    </w:p>
    <w:p>
      <w:pPr>
        <w:spacing w:after="0"/>
        <w:rPr>
          <w:sz w:val="20"/>
          <w:szCs w:val="20"/>
          <w:color w:val="auto"/>
        </w:rPr>
      </w:pPr>
      <w:r>
        <w:rPr>
          <w:rFonts w:ascii="Arial" w:cs="Arial" w:eastAsia="Arial" w:hAnsi="Arial"/>
          <w:sz w:val="20"/>
          <w:szCs w:val="20"/>
          <w:color w:val="auto"/>
        </w:rPr>
        <w:t>Pinnacle West's share price reached a new all-time high and new 52-week intraday highs on four trading days;</w:t>
      </w:r>
    </w:p>
    <w:p>
      <w:pPr>
        <w:spacing w:after="0" w:line="138" w:lineRule="exact"/>
        <w:rPr>
          <w:sz w:val="20"/>
          <w:szCs w:val="20"/>
          <w:color w:val="auto"/>
        </w:rPr>
      </w:pPr>
    </w:p>
    <w:p>
      <w:pPr>
        <w:ind w:right="220"/>
        <w:spacing w:after="0" w:line="265" w:lineRule="auto"/>
        <w:rPr>
          <w:sz w:val="20"/>
          <w:szCs w:val="20"/>
          <w:color w:val="auto"/>
        </w:rPr>
      </w:pPr>
      <w:r>
        <w:rPr>
          <w:rFonts w:ascii="Arial" w:cs="Arial" w:eastAsia="Arial" w:hAnsi="Arial"/>
          <w:sz w:val="20"/>
          <w:szCs w:val="20"/>
          <w:color w:val="auto"/>
        </w:rPr>
        <w:t>Pinnacle West's earnings of $437 million, or $3.92 per share, represented an increase of 9.5% over 2014 earnings per share;</w:t>
      </w:r>
    </w:p>
    <w:p>
      <w:pPr>
        <w:spacing w:after="0" w:line="81"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jc w:val="both"/>
        <w:ind w:left="982" w:right="440" w:hanging="491"/>
        <w:spacing w:after="0" w:line="218" w:lineRule="auto"/>
        <w:tabs>
          <w:tab w:leader="none" w:pos="982" w:val="left"/>
        </w:tabs>
        <w:numPr>
          <w:ilvl w:val="0"/>
          <w:numId w:val="10"/>
        </w:numPr>
        <w:rPr>
          <w:rFonts w:ascii="Courier New" w:cs="Courier New" w:eastAsia="Courier New" w:hAnsi="Courier New"/>
          <w:sz w:val="13"/>
          <w:szCs w:val="13"/>
          <w:color w:val="3A5575"/>
        </w:rPr>
      </w:pPr>
      <w:r>
        <w:rPr>
          <w:rFonts w:ascii="Arial" w:cs="Arial" w:eastAsia="Arial" w:hAnsi="Arial"/>
          <w:sz w:val="20"/>
          <w:szCs w:val="20"/>
          <w:color w:val="auto"/>
        </w:rPr>
        <w:t>Since April of 2009, our Company's TSR has outperformed that of the S&amp;P 1500 Electric Utility Index by over 111%. Also during this period, the Company has delivered an annualized TSR of 18.8% and ranked 6</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in annualized TSR compared to our Peer Group; and</w:t>
      </w:r>
    </w:p>
    <w:p>
      <w:pPr>
        <w:spacing w:after="0" w:line="88" w:lineRule="exact"/>
        <w:rPr>
          <w:sz w:val="20"/>
          <w:szCs w:val="20"/>
          <w:color w:val="auto"/>
        </w:rPr>
      </w:pPr>
    </w:p>
    <w:p>
      <w:pPr>
        <w:jc w:val="right"/>
        <w:spacing w:after="0"/>
        <w:tabs>
          <w:tab w:leader="none" w:pos="200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10" w:name="page11"/>
    <w:bookmarkEnd w:id="10"/>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162" w:right="540" w:hanging="1712"/>
        <w:spacing w:after="0" w:line="215" w:lineRule="auto"/>
        <w:rPr>
          <w:sz w:val="20"/>
          <w:szCs w:val="20"/>
          <w:color w:val="auto"/>
        </w:rPr>
      </w:pPr>
      <w:r>
        <w:rPr>
          <w:rFonts w:ascii="Arial" w:cs="Arial" w:eastAsia="Arial" w:hAnsi="Arial"/>
          <w:sz w:val="13"/>
          <w:szCs w:val="13"/>
          <w:b w:val="1"/>
          <w:bCs w:val="1"/>
          <w:color w:val="FFFFFE"/>
        </w:rPr>
        <w:t xml:space="preserve">Proxy Statement Summary </w:t>
      </w:r>
      <w:r>
        <w:rPr>
          <w:rFonts w:ascii="Arial" w:cs="Arial" w:eastAsia="Arial" w:hAnsi="Arial"/>
          <w:sz w:val="19"/>
          <w:szCs w:val="19"/>
          <w:color w:val="000000"/>
        </w:rPr>
        <w:t>Our</w:t>
      </w:r>
      <w:r>
        <w:rPr>
          <w:rFonts w:ascii="Courier New" w:cs="Courier New" w:eastAsia="Courier New" w:hAnsi="Courier New"/>
          <w:sz w:val="26"/>
          <w:szCs w:val="26"/>
          <w:color w:val="3A5575"/>
          <w:vertAlign w:val="superscript"/>
        </w:rPr>
        <w:t>o</w:t>
      </w:r>
      <w:r>
        <w:rPr>
          <w:rFonts w:ascii="Arial" w:cs="Arial" w:eastAsia="Arial" w:hAnsi="Arial"/>
          <w:sz w:val="13"/>
          <w:szCs w:val="13"/>
          <w:b w:val="1"/>
          <w:bCs w:val="1"/>
          <w:color w:val="FFFFFE"/>
        </w:rPr>
        <w:t xml:space="preserve"> </w:t>
      </w:r>
      <w:r>
        <w:rPr>
          <w:rFonts w:ascii="Arial" w:cs="Arial" w:eastAsia="Arial" w:hAnsi="Arial"/>
          <w:sz w:val="19"/>
          <w:szCs w:val="19"/>
          <w:color w:val="000000"/>
        </w:rPr>
        <w:t>stock continues its competitive performance, as shown by comparing our stock's performance to</w:t>
      </w:r>
      <w:r>
        <w:rPr>
          <w:rFonts w:ascii="Arial" w:cs="Arial" w:eastAsia="Arial" w:hAnsi="Arial"/>
          <w:sz w:val="13"/>
          <w:szCs w:val="13"/>
          <w:b w:val="1"/>
          <w:bCs w:val="1"/>
          <w:color w:val="FFFFFE"/>
        </w:rPr>
        <w:t xml:space="preserve"> </w:t>
      </w:r>
      <w:r>
        <w:rPr>
          <w:rFonts w:ascii="Arial" w:cs="Arial" w:eastAsia="Arial" w:hAnsi="Arial"/>
          <w:sz w:val="19"/>
          <w:szCs w:val="19"/>
          <w:color w:val="000000"/>
        </w:rPr>
        <w:t>companies in the Edison Electric Institute Index and in the Standard and Poor's 500 Index: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-287655</wp:posOffset>
            </wp:positionV>
            <wp:extent cx="6200140" cy="33724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200140" cy="3372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482" w:hanging="482"/>
        <w:spacing w:after="0"/>
        <w:tabs>
          <w:tab w:leader="none" w:pos="482" w:val="left"/>
        </w:tabs>
        <w:numPr>
          <w:ilvl w:val="0"/>
          <w:numId w:val="11"/>
        </w:numPr>
        <w:rPr>
          <w:rFonts w:ascii="Arial" w:cs="Arial" w:eastAsia="Arial" w:hAnsi="Arial"/>
          <w:sz w:val="20"/>
          <w:szCs w:val="20"/>
          <w:color w:val="3A5575"/>
        </w:rPr>
      </w:pPr>
      <w:r>
        <w:rPr>
          <w:rFonts w:ascii="Arial" w:cs="Arial" w:eastAsia="Arial" w:hAnsi="Arial"/>
          <w:sz w:val="20"/>
          <w:szCs w:val="20"/>
          <w:b w:val="1"/>
          <w:bCs w:val="1"/>
          <w:i w:val="1"/>
          <w:iCs w:val="1"/>
          <w:color w:val="auto"/>
        </w:rPr>
        <w:t>Operating Performance:</w:t>
      </w:r>
    </w:p>
    <w:p>
      <w:pPr>
        <w:sectPr>
          <w:pgSz w:w="11900" w:h="16838" w:orient="portrait"/>
          <w:cols w:equalWidth="0" w:num="1">
            <w:col w:w="11422"/>
          </w:cols>
          <w:pgMar w:left="238" w:top="110" w:right="239" w:bottom="1440" w:gutter="0" w:footer="0" w:header="0"/>
        </w:sectPr>
      </w:pPr>
    </w:p>
    <w:p>
      <w:pPr>
        <w:spacing w:after="0" w:line="342"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ind w:right="300"/>
        <w:spacing w:after="0" w:line="265" w:lineRule="auto"/>
        <w:rPr>
          <w:sz w:val="20"/>
          <w:szCs w:val="20"/>
          <w:color w:val="auto"/>
        </w:rPr>
      </w:pPr>
      <w:r>
        <w:rPr>
          <w:rFonts w:ascii="Arial" w:cs="Arial" w:eastAsia="Arial" w:hAnsi="Arial"/>
          <w:sz w:val="20"/>
          <w:szCs w:val="20"/>
          <w:color w:val="auto"/>
        </w:rPr>
        <w:t>Arizona Public Service Company ("APS") operates Palo Verde Nuclear Generating Station ("Palo Verde"), the largest nuclear generating station in the United States. In 2015:</w:t>
      </w:r>
    </w:p>
    <w:p>
      <w:pPr>
        <w:spacing w:after="0" w:line="200"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spacing w:after="0" w:line="151" w:lineRule="exact"/>
        <w:rPr>
          <w:sz w:val="20"/>
          <w:szCs w:val="20"/>
          <w:color w:val="auto"/>
        </w:rPr>
      </w:pPr>
    </w:p>
    <w:p>
      <w:pPr>
        <w:ind w:left="1962" w:right="140" w:hanging="490"/>
        <w:spacing w:after="0" w:line="247" w:lineRule="auto"/>
        <w:tabs>
          <w:tab w:leader="none" w:pos="1962" w:val="left"/>
        </w:tabs>
        <w:numPr>
          <w:ilvl w:val="0"/>
          <w:numId w:val="12"/>
        </w:numPr>
        <w:rPr>
          <w:rFonts w:ascii="Arial" w:cs="Arial" w:eastAsia="Arial" w:hAnsi="Arial"/>
          <w:sz w:val="20"/>
          <w:szCs w:val="20"/>
          <w:color w:val="3A5575"/>
        </w:rPr>
      </w:pPr>
      <w:r>
        <w:rPr>
          <w:rFonts w:ascii="Arial" w:cs="Arial" w:eastAsia="Arial" w:hAnsi="Arial"/>
          <w:sz w:val="20"/>
          <w:szCs w:val="20"/>
          <w:color w:val="auto"/>
        </w:rPr>
        <w:t>Palo Verde generated more electricity than in any year since it began operating in 1986, 32.5 million megawatt-hours, and it remains the only U.S. generating station to produce more than 30 million megawatt-hours in a year; and</w:t>
      </w:r>
    </w:p>
    <w:p>
      <w:pPr>
        <w:spacing w:after="0" w:line="160" w:lineRule="exact"/>
        <w:rPr>
          <w:rFonts w:ascii="Arial" w:cs="Arial" w:eastAsia="Arial" w:hAnsi="Arial"/>
          <w:sz w:val="20"/>
          <w:szCs w:val="20"/>
          <w:color w:val="3A5575"/>
        </w:rPr>
      </w:pPr>
    </w:p>
    <w:p>
      <w:pPr>
        <w:ind w:left="1962" w:right="220" w:hanging="490"/>
        <w:spacing w:after="0" w:line="265" w:lineRule="auto"/>
        <w:tabs>
          <w:tab w:leader="none" w:pos="1962" w:val="left"/>
        </w:tabs>
        <w:numPr>
          <w:ilvl w:val="0"/>
          <w:numId w:val="12"/>
        </w:numPr>
        <w:rPr>
          <w:rFonts w:ascii="Arial" w:cs="Arial" w:eastAsia="Arial" w:hAnsi="Arial"/>
          <w:sz w:val="20"/>
          <w:szCs w:val="20"/>
          <w:color w:val="3A5575"/>
        </w:rPr>
      </w:pPr>
      <w:r>
        <w:rPr>
          <w:rFonts w:ascii="Arial" w:cs="Arial" w:eastAsia="Arial" w:hAnsi="Arial"/>
          <w:sz w:val="20"/>
          <w:szCs w:val="20"/>
          <w:color w:val="auto"/>
        </w:rPr>
        <w:t>Palo Verde achieved a capacity factor of 94.3%, and a record capacity factor of 100.2% between June and September;</w:t>
      </w:r>
    </w:p>
    <w:p>
      <w:pPr>
        <w:sectPr>
          <w:pgSz w:w="11900" w:h="16838" w:orient="portrait"/>
          <w:cols w:equalWidth="0" w:num="1">
            <w:col w:w="11422"/>
          </w:cols>
          <w:pgMar w:left="238" w:top="110" w:right="239" w:bottom="1440" w:gutter="0" w:footer="0" w:header="0"/>
          <w:type w:val="continuous"/>
        </w:sectPr>
      </w:pPr>
    </w:p>
    <w:p>
      <w:pPr>
        <w:spacing w:after="0" w:line="285"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257" w:lineRule="exact"/>
        <w:rPr>
          <w:sz w:val="20"/>
          <w:szCs w:val="20"/>
          <w:color w:val="auto"/>
        </w:rPr>
      </w:pPr>
    </w:p>
    <w:p>
      <w:pPr>
        <w:ind w:right="180"/>
        <w:spacing w:after="0" w:line="265" w:lineRule="auto"/>
        <w:rPr>
          <w:sz w:val="20"/>
          <w:szCs w:val="20"/>
          <w:color w:val="auto"/>
        </w:rPr>
      </w:pPr>
      <w:r>
        <w:rPr>
          <w:rFonts w:ascii="Arial" w:cs="Arial" w:eastAsia="Arial" w:hAnsi="Arial"/>
          <w:sz w:val="20"/>
          <w:szCs w:val="20"/>
          <w:color w:val="auto"/>
        </w:rPr>
        <w:t>APS crews restored service to more than 50,000 customers after one of the most severe monsoon seasons on record, including the replacement of more than 568 damaged poles;</w:t>
      </w:r>
    </w:p>
    <w:p>
      <w:pPr>
        <w:spacing w:after="0" w:line="81"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spacing w:after="0" w:line="7"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jc w:val="both"/>
        <w:ind w:right="360"/>
        <w:spacing w:after="0" w:line="247" w:lineRule="auto"/>
        <w:rPr>
          <w:sz w:val="20"/>
          <w:szCs w:val="20"/>
          <w:color w:val="auto"/>
        </w:rPr>
      </w:pPr>
      <w:r>
        <w:rPr>
          <w:rFonts w:ascii="Arial" w:cs="Arial" w:eastAsia="Arial" w:hAnsi="Arial"/>
          <w:sz w:val="20"/>
          <w:szCs w:val="20"/>
          <w:color w:val="auto"/>
        </w:rPr>
        <w:t>Our diverse supplier program continues to be successful, with our 2015 spend exceeding $380 million — the highest total in the program's 23-year history. We were recognized by Edison Electric Institute's Supplier Diversity Executive Council for program innovation and excellence; and</w:t>
      </w:r>
    </w:p>
    <w:p>
      <w:pPr>
        <w:spacing w:after="0" w:line="99"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ind w:left="982" w:hanging="491"/>
        <w:spacing w:after="0"/>
        <w:tabs>
          <w:tab w:leader="none" w:pos="982" w:val="left"/>
        </w:tabs>
        <w:numPr>
          <w:ilvl w:val="0"/>
          <w:numId w:val="13"/>
        </w:numPr>
        <w:rPr>
          <w:rFonts w:ascii="Courier New" w:cs="Courier New" w:eastAsia="Courier New" w:hAnsi="Courier New"/>
          <w:sz w:val="13"/>
          <w:szCs w:val="13"/>
          <w:color w:val="3A5575"/>
        </w:rPr>
      </w:pPr>
      <w:r>
        <w:rPr>
          <w:rFonts w:ascii="Arial" w:cs="Arial" w:eastAsia="Arial" w:hAnsi="Arial"/>
          <w:sz w:val="20"/>
          <w:szCs w:val="20"/>
          <w:color w:val="auto"/>
        </w:rPr>
        <w:t>APS achieved gas fleet commercial availability of 97.1% during the summer months, exceeding the fleet goal.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192405</wp:posOffset>
            </wp:positionV>
            <wp:extent cx="841375" cy="1638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88"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100" w:type="dxa"/>
            <w:vAlign w:val="bottom"/>
          </w:tcPr>
          <w:p>
            <w:pPr>
              <w:jc w:val="right"/>
              <w:ind w:right="880"/>
              <w:spacing w:after="0"/>
              <w:rPr>
                <w:sz w:val="20"/>
                <w:szCs w:val="20"/>
                <w:color w:val="auto"/>
              </w:rPr>
            </w:pPr>
            <w:r>
              <w:rPr>
                <w:rFonts w:ascii="Arial" w:cs="Arial" w:eastAsia="Arial" w:hAnsi="Arial"/>
                <w:sz w:val="16"/>
                <w:szCs w:val="16"/>
                <w:b w:val="1"/>
                <w:bCs w:val="1"/>
                <w:color w:val="auto"/>
              </w:rPr>
              <w:t>2</w:t>
            </w:r>
          </w:p>
        </w:tc>
        <w:tc>
          <w:tcPr>
            <w:tcW w:w="1120" w:type="dxa"/>
            <w:vAlign w:val="bottom"/>
            <w:vMerge w:val="restart"/>
          </w:tcPr>
          <w:p>
            <w:pPr>
              <w:jc w:val="right"/>
              <w:ind w:right="18"/>
              <w:spacing w:after="0"/>
              <w:rPr>
                <w:sz w:val="20"/>
                <w:szCs w:val="20"/>
                <w:color w:val="auto"/>
              </w:rPr>
            </w:pPr>
            <w:r>
              <w:rPr>
                <w:rFonts w:ascii="Arial" w:cs="Arial" w:eastAsia="Arial" w:hAnsi="Arial"/>
                <w:sz w:val="16"/>
                <w:szCs w:val="16"/>
                <w:b w:val="1"/>
                <w:bCs w:val="1"/>
                <w:color w:val="3A5575"/>
              </w:rPr>
              <w:t>|</w:t>
            </w:r>
          </w:p>
        </w:tc>
        <w:tc>
          <w:tcPr>
            <w:tcW w:w="9200" w:type="dxa"/>
            <w:vAlign w:val="bottom"/>
          </w:tcPr>
          <w:p>
            <w:pPr>
              <w:ind w:left="12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10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92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100" w:type="dxa"/>
            <w:vAlign w:val="bottom"/>
            <w:tcBorders>
              <w:bottom w:val="single" w:sz="8" w:color="808080"/>
            </w:tcBorders>
          </w:tcPr>
          <w:p>
            <w:pPr>
              <w:spacing w:after="0"/>
              <w:rPr>
                <w:sz w:val="11"/>
                <w:szCs w:val="11"/>
                <w:color w:val="auto"/>
              </w:rPr>
            </w:pPr>
          </w:p>
        </w:tc>
        <w:tc>
          <w:tcPr>
            <w:tcW w:w="1120" w:type="dxa"/>
            <w:vAlign w:val="bottom"/>
            <w:tcBorders>
              <w:bottom w:val="single" w:sz="8" w:color="808080"/>
            </w:tcBorders>
          </w:tcPr>
          <w:p>
            <w:pPr>
              <w:spacing w:after="0"/>
              <w:rPr>
                <w:sz w:val="11"/>
                <w:szCs w:val="11"/>
                <w:color w:val="auto"/>
              </w:rPr>
            </w:pPr>
          </w:p>
        </w:tc>
        <w:tc>
          <w:tcPr>
            <w:tcW w:w="920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type w:val="continuous"/>
        </w:sectPr>
      </w:pPr>
    </w:p>
    <w:bookmarkStart w:id="11" w:name="page12"/>
    <w:bookmarkEnd w:id="11"/>
    <w:p>
      <w:pPr>
        <w:ind w:left="2"/>
        <w:spacing w:after="0"/>
        <w:rPr>
          <w:rFonts w:ascii="Arial" w:cs="Arial" w:eastAsia="Arial" w:hAnsi="Arial"/>
          <w:sz w:val="19"/>
          <w:szCs w:val="19"/>
          <w:u w:val="single" w:color="auto"/>
          <w:color w:val="0000EE"/>
        </w:rPr>
      </w:pPr>
      <w:hyperlink w:anchor="page7">
        <w:r>
          <w:rPr>
            <w:rFonts w:ascii="Arial" w:cs="Arial" w:eastAsia="Arial" w:hAnsi="Arial"/>
            <w:sz w:val="19"/>
            <w:szCs w:val="19"/>
            <w:u w:val="single" w:color="auto"/>
            <w:color w:val="0000EE"/>
          </w:rPr>
          <w:t>Table of Contents</w:t>
        </w:r>
      </w:hyperlink>
    </w:p>
    <w:p>
      <w:pPr>
        <w:sectPr>
          <w:pgSz w:w="11900" w:h="16838" w:orient="portrait"/>
          <w:cols w:equalWidth="0" w:num="1">
            <w:col w:w="11442"/>
          </w:cols>
          <w:pgMar w:left="238" w:top="110" w:right="219" w:bottom="1440" w:gutter="0" w:footer="0" w:header="0"/>
        </w:sectPr>
      </w:pPr>
    </w:p>
    <w:p>
      <w:pPr>
        <w:spacing w:after="0" w:line="186" w:lineRule="exact"/>
        <w:rPr>
          <w:sz w:val="20"/>
          <w:szCs w:val="20"/>
          <w:color w:val="auto"/>
        </w:rPr>
      </w:pPr>
    </w:p>
    <w:p>
      <w:pPr>
        <w:ind w:left="482" w:hanging="482"/>
        <w:spacing w:after="0"/>
        <w:tabs>
          <w:tab w:leader="none" w:pos="482" w:val="left"/>
        </w:tabs>
        <w:numPr>
          <w:ilvl w:val="0"/>
          <w:numId w:val="14"/>
        </w:numPr>
        <w:rPr>
          <w:rFonts w:ascii="Arial" w:cs="Arial" w:eastAsia="Arial" w:hAnsi="Arial"/>
          <w:sz w:val="19"/>
          <w:szCs w:val="19"/>
          <w:color w:val="3A5575"/>
        </w:rPr>
      </w:pPr>
      <w:r>
        <w:rPr>
          <w:rFonts w:ascii="Arial" w:cs="Arial" w:eastAsia="Arial" w:hAnsi="Arial"/>
          <w:sz w:val="19"/>
          <w:szCs w:val="19"/>
          <w:b w:val="1"/>
          <w:bCs w:val="1"/>
          <w:i w:val="1"/>
          <w:iCs w:val="1"/>
          <w:color w:val="auto"/>
        </w:rPr>
        <w:t>Customer Value:</w:t>
      </w:r>
    </w:p>
    <w:p>
      <w:pPr>
        <w:spacing w:after="0" w:line="20" w:lineRule="exact"/>
        <w:rPr>
          <w:sz w:val="20"/>
          <w:szCs w:val="20"/>
          <w:color w:val="auto"/>
        </w:rPr>
      </w:pPr>
      <w:r>
        <w:rPr>
          <w:sz w:val="20"/>
          <w:szCs w:val="20"/>
          <w:color w:val="auto"/>
        </w:rPr>
        <w:br w:type="column"/>
      </w:r>
    </w:p>
    <w:p>
      <w:pPr>
        <w:spacing w:after="0" w:line="244"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wp:posOffset>
            </wp:positionH>
            <wp:positionV relativeFrom="paragraph">
              <wp:posOffset>-116840</wp:posOffset>
            </wp:positionV>
            <wp:extent cx="1378585" cy="1555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378585" cy="1555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8582" w:space="720"/>
            <w:col w:w="2140"/>
          </w:cols>
          <w:pgMar w:left="238" w:top="110" w:right="219" w:bottom="1440" w:gutter="0" w:footer="0" w:header="0"/>
          <w:type w:val="continuous"/>
        </w:sectPr>
      </w:pPr>
    </w:p>
    <w:p>
      <w:pPr>
        <w:spacing w:after="0" w:line="145"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0" w:lineRule="exact"/>
        <w:rPr>
          <w:sz w:val="20"/>
          <w:szCs w:val="20"/>
          <w:color w:val="auto"/>
        </w:rPr>
      </w:pPr>
    </w:p>
    <w:p>
      <w:pPr>
        <w:spacing w:after="0" w:line="24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ind w:right="820"/>
        <w:spacing w:after="0" w:line="265" w:lineRule="auto"/>
        <w:rPr>
          <w:sz w:val="20"/>
          <w:szCs w:val="20"/>
          <w:color w:val="auto"/>
        </w:rPr>
      </w:pPr>
      <w:r>
        <w:rPr>
          <w:rFonts w:ascii="Arial" w:cs="Arial" w:eastAsia="Arial" w:hAnsi="Arial"/>
          <w:sz w:val="20"/>
          <w:szCs w:val="20"/>
          <w:color w:val="auto"/>
        </w:rPr>
        <w:t>APS announced plans to join the Energy Imbalance Market administered by the California Independent System Operator;</w:t>
      </w:r>
    </w:p>
    <w:p>
      <w:pPr>
        <w:spacing w:after="0" w:line="81" w:lineRule="exact"/>
        <w:rPr>
          <w:sz w:val="20"/>
          <w:szCs w:val="20"/>
          <w:color w:val="auto"/>
        </w:rPr>
      </w:pPr>
    </w:p>
    <w:p>
      <w:pPr>
        <w:ind w:right="600"/>
        <w:spacing w:after="0" w:line="265" w:lineRule="auto"/>
        <w:rPr>
          <w:sz w:val="20"/>
          <w:szCs w:val="20"/>
          <w:color w:val="auto"/>
        </w:rPr>
      </w:pPr>
      <w:r>
        <w:rPr>
          <w:rFonts w:ascii="Arial" w:cs="Arial" w:eastAsia="Arial" w:hAnsi="Arial"/>
          <w:sz w:val="20"/>
          <w:szCs w:val="20"/>
          <w:color w:val="auto"/>
        </w:rPr>
        <w:t>APS improved paperless billing adoption, and now has one of the highest adoption levels at 28% of customers (or 330,000) compared to the North American average of 21%;</w:t>
      </w:r>
    </w:p>
    <w:p>
      <w:pPr>
        <w:spacing w:after="0" w:line="81"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spacing w:after="0" w:line="7"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ind w:right="360"/>
        <w:spacing w:after="0" w:line="265" w:lineRule="auto"/>
        <w:rPr>
          <w:sz w:val="20"/>
          <w:szCs w:val="20"/>
          <w:color w:val="auto"/>
        </w:rPr>
      </w:pPr>
      <w:r>
        <w:rPr>
          <w:rFonts w:ascii="Arial" w:cs="Arial" w:eastAsia="Arial" w:hAnsi="Arial"/>
          <w:sz w:val="20"/>
          <w:szCs w:val="20"/>
          <w:color w:val="auto"/>
        </w:rPr>
        <w:t>We ranked in the top ten nationally among large, investor-owned utilities in the 2015 J.D. Power residential customer satisfaction study; and</w:t>
      </w:r>
    </w:p>
    <w:p>
      <w:pPr>
        <w:spacing w:after="0" w:line="81"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spacing w:after="0" w:line="7"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ind w:right="740"/>
        <w:spacing w:after="0" w:line="265" w:lineRule="auto"/>
        <w:rPr>
          <w:sz w:val="20"/>
          <w:szCs w:val="20"/>
          <w:color w:val="auto"/>
        </w:rPr>
      </w:pPr>
      <w:r>
        <w:rPr>
          <w:rFonts w:ascii="Arial" w:cs="Arial" w:eastAsia="Arial" w:hAnsi="Arial"/>
          <w:sz w:val="20"/>
          <w:szCs w:val="20"/>
          <w:color w:val="auto"/>
        </w:rPr>
        <w:t>APS was named the Environmental Protection Agency ENERGY STAR Sustained Excellence partner for the 6th consecutive year based on the effective delivery of customer energy efficiency programs.</w:t>
      </w:r>
    </w:p>
    <w:p>
      <w:pPr>
        <w:spacing w:after="0" w:line="200"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spacing w:after="0" w:line="151" w:lineRule="exact"/>
        <w:rPr>
          <w:sz w:val="20"/>
          <w:szCs w:val="20"/>
          <w:color w:val="auto"/>
        </w:rPr>
      </w:pPr>
    </w:p>
    <w:p>
      <w:pPr>
        <w:ind w:left="482" w:hanging="482"/>
        <w:spacing w:after="0"/>
        <w:tabs>
          <w:tab w:leader="none" w:pos="482" w:val="left"/>
        </w:tabs>
        <w:numPr>
          <w:ilvl w:val="0"/>
          <w:numId w:val="15"/>
        </w:numPr>
        <w:rPr>
          <w:rFonts w:ascii="Arial" w:cs="Arial" w:eastAsia="Arial" w:hAnsi="Arial"/>
          <w:sz w:val="19"/>
          <w:szCs w:val="19"/>
          <w:color w:val="3A5575"/>
        </w:rPr>
      </w:pPr>
      <w:r>
        <w:rPr>
          <w:rFonts w:ascii="Arial" w:cs="Arial" w:eastAsia="Arial" w:hAnsi="Arial"/>
          <w:sz w:val="19"/>
          <w:szCs w:val="19"/>
          <w:b w:val="1"/>
          <w:bCs w:val="1"/>
          <w:i w:val="1"/>
          <w:iCs w:val="1"/>
          <w:color w:val="auto"/>
        </w:rPr>
        <w:t>Sustainability:</w:t>
      </w:r>
    </w:p>
    <w:p>
      <w:pPr>
        <w:sectPr>
          <w:pgSz w:w="11900" w:h="16838" w:orient="portrait"/>
          <w:cols w:equalWidth="0" w:num="1">
            <w:col w:w="11442"/>
          </w:cols>
          <w:pgMar w:left="238" w:top="110" w:right="219" w:bottom="1440" w:gutter="0" w:footer="0" w:header="0"/>
          <w:type w:val="continuous"/>
        </w:sectPr>
      </w:pPr>
    </w:p>
    <w:p>
      <w:pPr>
        <w:spacing w:after="0" w:line="353"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326" w:lineRule="exact"/>
        <w:rPr>
          <w:sz w:val="20"/>
          <w:szCs w:val="20"/>
          <w:color w:val="auto"/>
        </w:rPr>
      </w:pPr>
    </w:p>
    <w:p>
      <w:pPr>
        <w:jc w:val="both"/>
        <w:ind w:right="100"/>
        <w:spacing w:after="0" w:line="247" w:lineRule="auto"/>
        <w:rPr>
          <w:sz w:val="20"/>
          <w:szCs w:val="20"/>
          <w:color w:val="auto"/>
        </w:rPr>
      </w:pPr>
      <w:r>
        <w:rPr>
          <w:rFonts w:ascii="Arial" w:cs="Arial" w:eastAsia="Arial" w:hAnsi="Arial"/>
          <w:sz w:val="20"/>
          <w:szCs w:val="20"/>
          <w:color w:val="auto"/>
        </w:rPr>
        <w:t>We assessed our sustainability actions to identify our highest priority elements. These elements are: Energy Innovation, Water Resources, Carbon Management, People, and Safety and Security. Examples of 2015 accomplishments in these areas include:</w:t>
      </w:r>
    </w:p>
    <w:p>
      <w:pPr>
        <w:spacing w:after="0" w:line="200"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spacing w:after="0" w:line="157" w:lineRule="exact"/>
        <w:rPr>
          <w:sz w:val="20"/>
          <w:szCs w:val="20"/>
          <w:color w:val="auto"/>
        </w:rPr>
      </w:pPr>
    </w:p>
    <w:p>
      <w:pPr>
        <w:ind w:left="1962" w:right="440" w:hanging="490"/>
        <w:spacing w:after="0" w:line="239" w:lineRule="auto"/>
        <w:tabs>
          <w:tab w:leader="none" w:pos="1962" w:val="left"/>
        </w:tabs>
        <w:numPr>
          <w:ilvl w:val="0"/>
          <w:numId w:val="16"/>
        </w:numPr>
        <w:rPr>
          <w:rFonts w:ascii="Arial" w:cs="Arial" w:eastAsia="Arial" w:hAnsi="Arial"/>
          <w:sz w:val="20"/>
          <w:szCs w:val="20"/>
          <w:color w:val="3A5575"/>
        </w:rPr>
      </w:pPr>
      <w:r>
        <w:rPr>
          <w:rFonts w:ascii="Arial" w:cs="Arial" w:eastAsia="Arial" w:hAnsi="Arial"/>
          <w:sz w:val="20"/>
          <w:szCs w:val="20"/>
          <w:i w:val="1"/>
          <w:iCs w:val="1"/>
          <w:color w:val="auto"/>
        </w:rPr>
        <w:t xml:space="preserve">Energy Innovation: </w:t>
      </w:r>
      <w:r>
        <w:rPr>
          <w:rFonts w:ascii="Arial" w:cs="Arial" w:eastAsia="Arial" w:hAnsi="Arial"/>
          <w:sz w:val="20"/>
          <w:szCs w:val="20"/>
          <w:color w:val="auto"/>
        </w:rPr>
        <w:t>APS launched one of the nation's first utility-owned research and development pilot</w:t>
      </w:r>
      <w:r>
        <w:rPr>
          <w:rFonts w:ascii="Arial" w:cs="Arial" w:eastAsia="Arial" w:hAnsi="Arial"/>
          <w:sz w:val="20"/>
          <w:szCs w:val="20"/>
          <w:i w:val="1"/>
          <w:iCs w:val="1"/>
          <w:color w:val="auto"/>
        </w:rPr>
        <w:t xml:space="preserve"> </w:t>
      </w:r>
      <w:r>
        <w:rPr>
          <w:rFonts w:ascii="Arial" w:cs="Arial" w:eastAsia="Arial" w:hAnsi="Arial"/>
          <w:sz w:val="20"/>
          <w:szCs w:val="20"/>
          <w:color w:val="auto"/>
        </w:rPr>
        <w:t>projects to study the offset of peak energy usage with solar energy production. This project makes solar available to a limited number of APS customers who are not typical customers for rooftop solar or have limited income. The approximate ten megawatt project provides a monthly savings on each participant's electric bill for the use of their rooftop;</w:t>
      </w:r>
    </w:p>
    <w:p>
      <w:pPr>
        <w:spacing w:after="0" w:line="167" w:lineRule="exact"/>
        <w:rPr>
          <w:rFonts w:ascii="Arial" w:cs="Arial" w:eastAsia="Arial" w:hAnsi="Arial"/>
          <w:sz w:val="20"/>
          <w:szCs w:val="20"/>
          <w:color w:val="3A5575"/>
        </w:rPr>
      </w:pPr>
    </w:p>
    <w:p>
      <w:pPr>
        <w:ind w:left="1962" w:right="480" w:hanging="490"/>
        <w:spacing w:after="0" w:line="265" w:lineRule="auto"/>
        <w:tabs>
          <w:tab w:leader="none" w:pos="1962" w:val="left"/>
        </w:tabs>
        <w:numPr>
          <w:ilvl w:val="0"/>
          <w:numId w:val="16"/>
        </w:numPr>
        <w:rPr>
          <w:rFonts w:ascii="Arial" w:cs="Arial" w:eastAsia="Arial" w:hAnsi="Arial"/>
          <w:sz w:val="20"/>
          <w:szCs w:val="20"/>
          <w:color w:val="3A5575"/>
        </w:rPr>
      </w:pPr>
      <w:r>
        <w:rPr>
          <w:rFonts w:ascii="Arial" w:cs="Arial" w:eastAsia="Arial" w:hAnsi="Arial"/>
          <w:sz w:val="20"/>
          <w:szCs w:val="20"/>
          <w:i w:val="1"/>
          <w:iCs w:val="1"/>
          <w:color w:val="auto"/>
        </w:rPr>
        <w:t xml:space="preserve">Water Resources: </w:t>
      </w:r>
      <w:r>
        <w:rPr>
          <w:rFonts w:ascii="Arial" w:cs="Arial" w:eastAsia="Arial" w:hAnsi="Arial"/>
          <w:sz w:val="20"/>
          <w:szCs w:val="20"/>
          <w:color w:val="auto"/>
        </w:rPr>
        <w:t>We generated over 37 million megawatt hours of energy using reclaimed water, our</w:t>
      </w:r>
      <w:r>
        <w:rPr>
          <w:rFonts w:ascii="Arial" w:cs="Arial" w:eastAsia="Arial" w:hAnsi="Arial"/>
          <w:sz w:val="20"/>
          <w:szCs w:val="20"/>
          <w:i w:val="1"/>
          <w:iCs w:val="1"/>
          <w:color w:val="auto"/>
        </w:rPr>
        <w:t xml:space="preserve"> </w:t>
      </w:r>
      <w:r>
        <w:rPr>
          <w:rFonts w:ascii="Arial" w:cs="Arial" w:eastAsia="Arial" w:hAnsi="Arial"/>
          <w:sz w:val="20"/>
          <w:szCs w:val="20"/>
          <w:color w:val="auto"/>
        </w:rPr>
        <w:t>highest amount ever;</w:t>
      </w:r>
    </w:p>
    <w:p>
      <w:pPr>
        <w:spacing w:after="0" w:line="154" w:lineRule="exact"/>
        <w:rPr>
          <w:rFonts w:ascii="Arial" w:cs="Arial" w:eastAsia="Arial" w:hAnsi="Arial"/>
          <w:sz w:val="20"/>
          <w:szCs w:val="20"/>
          <w:color w:val="3A5575"/>
        </w:rPr>
      </w:pPr>
    </w:p>
    <w:p>
      <w:pPr>
        <w:ind w:left="1962" w:hanging="490"/>
        <w:spacing w:after="0"/>
        <w:tabs>
          <w:tab w:leader="none" w:pos="1962" w:val="left"/>
        </w:tabs>
        <w:numPr>
          <w:ilvl w:val="0"/>
          <w:numId w:val="16"/>
        </w:numPr>
        <w:rPr>
          <w:rFonts w:ascii="Arial" w:cs="Arial" w:eastAsia="Arial" w:hAnsi="Arial"/>
          <w:sz w:val="20"/>
          <w:szCs w:val="20"/>
          <w:color w:val="3A5575"/>
        </w:rPr>
      </w:pPr>
      <w:r>
        <w:rPr>
          <w:rFonts w:ascii="Arial" w:cs="Arial" w:eastAsia="Arial" w:hAnsi="Arial"/>
          <w:sz w:val="20"/>
          <w:szCs w:val="20"/>
          <w:i w:val="1"/>
          <w:iCs w:val="1"/>
          <w:color w:val="auto"/>
        </w:rPr>
        <w:t xml:space="preserve">Carbon Management:  </w:t>
      </w:r>
      <w:r>
        <w:rPr>
          <w:rFonts w:ascii="Arial" w:cs="Arial" w:eastAsia="Arial" w:hAnsi="Arial"/>
          <w:sz w:val="20"/>
          <w:szCs w:val="20"/>
          <w:color w:val="auto"/>
        </w:rPr>
        <w:t>Forty-seven percent of our energy mix was from carbon-free resources;</w:t>
      </w:r>
    </w:p>
    <w:p>
      <w:pPr>
        <w:spacing w:after="0" w:line="199" w:lineRule="exact"/>
        <w:rPr>
          <w:rFonts w:ascii="Arial" w:cs="Arial" w:eastAsia="Arial" w:hAnsi="Arial"/>
          <w:sz w:val="20"/>
          <w:szCs w:val="20"/>
          <w:color w:val="3A5575"/>
        </w:rPr>
      </w:pPr>
    </w:p>
    <w:p>
      <w:pPr>
        <w:ind w:left="1962" w:right="140" w:hanging="490"/>
        <w:spacing w:after="0" w:line="265" w:lineRule="auto"/>
        <w:tabs>
          <w:tab w:leader="none" w:pos="1962" w:val="left"/>
        </w:tabs>
        <w:numPr>
          <w:ilvl w:val="0"/>
          <w:numId w:val="16"/>
        </w:numPr>
        <w:rPr>
          <w:rFonts w:ascii="Arial" w:cs="Arial" w:eastAsia="Arial" w:hAnsi="Arial"/>
          <w:sz w:val="20"/>
          <w:szCs w:val="20"/>
          <w:color w:val="3A5575"/>
        </w:rPr>
      </w:pPr>
      <w:r>
        <w:rPr>
          <w:rFonts w:ascii="Arial" w:cs="Arial" w:eastAsia="Arial" w:hAnsi="Arial"/>
          <w:sz w:val="20"/>
          <w:szCs w:val="20"/>
          <w:i w:val="1"/>
          <w:iCs w:val="1"/>
          <w:color w:val="auto"/>
        </w:rPr>
        <w:t xml:space="preserve">People: </w:t>
      </w:r>
      <w:r>
        <w:rPr>
          <w:rFonts w:ascii="Arial" w:cs="Arial" w:eastAsia="Arial" w:hAnsi="Arial"/>
          <w:sz w:val="20"/>
          <w:szCs w:val="20"/>
          <w:color w:val="auto"/>
        </w:rPr>
        <w:t>APS focused on improving the engagement of our employees through over 30 individual business</w:t>
      </w:r>
      <w:r>
        <w:rPr>
          <w:rFonts w:ascii="Arial" w:cs="Arial" w:eastAsia="Arial" w:hAnsi="Arial"/>
          <w:sz w:val="20"/>
          <w:szCs w:val="20"/>
          <w:i w:val="1"/>
          <w:iCs w:val="1"/>
          <w:color w:val="auto"/>
        </w:rPr>
        <w:t xml:space="preserve"> </w:t>
      </w:r>
      <w:r>
        <w:rPr>
          <w:rFonts w:ascii="Arial" w:cs="Arial" w:eastAsia="Arial" w:hAnsi="Arial"/>
          <w:sz w:val="20"/>
          <w:szCs w:val="20"/>
          <w:color w:val="auto"/>
        </w:rPr>
        <w:t>unit and department action plans implemented to enhance employee engagement; and</w:t>
      </w:r>
    </w:p>
    <w:p>
      <w:pPr>
        <w:spacing w:after="0" w:line="142" w:lineRule="exact"/>
        <w:rPr>
          <w:rFonts w:ascii="Arial" w:cs="Arial" w:eastAsia="Arial" w:hAnsi="Arial"/>
          <w:sz w:val="20"/>
          <w:szCs w:val="20"/>
          <w:color w:val="3A5575"/>
        </w:rPr>
      </w:pPr>
    </w:p>
    <w:p>
      <w:pPr>
        <w:jc w:val="both"/>
        <w:ind w:left="1962" w:right="20" w:hanging="490"/>
        <w:spacing w:after="0" w:line="247" w:lineRule="auto"/>
        <w:tabs>
          <w:tab w:leader="none" w:pos="1962" w:val="left"/>
        </w:tabs>
        <w:numPr>
          <w:ilvl w:val="0"/>
          <w:numId w:val="16"/>
        </w:numPr>
        <w:rPr>
          <w:rFonts w:ascii="Arial" w:cs="Arial" w:eastAsia="Arial" w:hAnsi="Arial"/>
          <w:sz w:val="20"/>
          <w:szCs w:val="20"/>
          <w:color w:val="3A5575"/>
        </w:rPr>
      </w:pPr>
      <w:r>
        <w:rPr>
          <w:rFonts w:ascii="Arial" w:cs="Arial" w:eastAsia="Arial" w:hAnsi="Arial"/>
          <w:sz w:val="20"/>
          <w:szCs w:val="20"/>
          <w:i w:val="1"/>
          <w:iCs w:val="1"/>
          <w:color w:val="auto"/>
        </w:rPr>
        <w:t xml:space="preserve">Safety and Security: </w:t>
      </w:r>
      <w:r>
        <w:rPr>
          <w:rFonts w:ascii="Arial" w:cs="Arial" w:eastAsia="Arial" w:hAnsi="Arial"/>
          <w:sz w:val="20"/>
          <w:szCs w:val="20"/>
          <w:color w:val="auto"/>
        </w:rPr>
        <w:t>APS had its second lowest number of OSHA recordables and expects to remain within</w:t>
      </w:r>
      <w:r>
        <w:rPr>
          <w:rFonts w:ascii="Arial" w:cs="Arial" w:eastAsia="Arial" w:hAnsi="Arial"/>
          <w:sz w:val="20"/>
          <w:szCs w:val="20"/>
          <w:i w:val="1"/>
          <w:iCs w:val="1"/>
          <w:color w:val="auto"/>
        </w:rPr>
        <w:t xml:space="preserve"> </w:t>
      </w:r>
      <w:r>
        <w:rPr>
          <w:rFonts w:ascii="Arial" w:cs="Arial" w:eastAsia="Arial" w:hAnsi="Arial"/>
          <w:sz w:val="20"/>
          <w:szCs w:val="20"/>
          <w:color w:val="auto"/>
        </w:rPr>
        <w:t>the top decile for electric utilities; additionally, APS continued to implement physical enhancements and cyber security defenses to protect our people and assets.</w:t>
      </w:r>
    </w:p>
    <w:p>
      <w:pPr>
        <w:spacing w:after="0" w:line="81" w:lineRule="exact"/>
        <w:rPr>
          <w:sz w:val="20"/>
          <w:szCs w:val="20"/>
          <w:color w:val="auto"/>
        </w:rPr>
      </w:pPr>
    </w:p>
    <w:p>
      <w:pPr>
        <w:jc w:val="right"/>
        <w:spacing w:after="0"/>
        <w:tabs>
          <w:tab w:leader="none" w:pos="200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12" w:name="page13"/>
    <w:bookmarkEnd w:id="12"/>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1378585" cy="155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378585" cy="155575"/>
                    </a:xfrm>
                    <a:prstGeom prst="rect">
                      <a:avLst/>
                    </a:prstGeom>
                    <a:noFill/>
                  </pic:spPr>
                </pic:pic>
              </a:graphicData>
            </a:graphic>
          </wp:anchor>
        </w:drawing>
      </w:r>
    </w:p>
    <w:p>
      <w:pPr>
        <w:spacing w:after="0" w:line="232" w:lineRule="exact"/>
        <w:rPr>
          <w:sz w:val="20"/>
          <w:szCs w:val="20"/>
          <w:color w:val="auto"/>
        </w:rPr>
      </w:pPr>
    </w:p>
    <w:p>
      <w:pPr>
        <w:ind w:left="462"/>
        <w:spacing w:after="0"/>
        <w:rPr>
          <w:sz w:val="20"/>
          <w:szCs w:val="20"/>
          <w:color w:val="auto"/>
        </w:rPr>
      </w:pPr>
      <w:r>
        <w:rPr>
          <w:rFonts w:ascii="Arial" w:cs="Arial" w:eastAsia="Arial" w:hAnsi="Arial"/>
          <w:sz w:val="13"/>
          <w:szCs w:val="13"/>
          <w:b w:val="1"/>
          <w:bCs w:val="1"/>
          <w:color w:val="FFFFFE"/>
        </w:rPr>
        <w:t>Proxy Statement Summary</w:t>
      </w:r>
    </w:p>
    <w:p>
      <w:pPr>
        <w:spacing w:after="0" w:line="35"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2015 Highlights: Board and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19050</wp:posOffset>
            </wp:positionV>
            <wp:extent cx="7259320" cy="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73" w:lineRule="exact"/>
        <w:rPr>
          <w:sz w:val="20"/>
          <w:szCs w:val="20"/>
          <w:color w:val="auto"/>
        </w:rPr>
      </w:pPr>
    </w:p>
    <w:p>
      <w:pPr>
        <w:ind w:left="482" w:hanging="482"/>
        <w:spacing w:after="0"/>
        <w:tabs>
          <w:tab w:leader="none" w:pos="482" w:val="left"/>
        </w:tabs>
        <w:numPr>
          <w:ilvl w:val="0"/>
          <w:numId w:val="17"/>
        </w:numPr>
        <w:rPr>
          <w:rFonts w:ascii="Arial" w:cs="Arial" w:eastAsia="Arial" w:hAnsi="Arial"/>
          <w:sz w:val="20"/>
          <w:szCs w:val="20"/>
          <w:color w:val="3A5575"/>
        </w:rPr>
      </w:pPr>
      <w:r>
        <w:rPr>
          <w:rFonts w:ascii="Arial" w:cs="Arial" w:eastAsia="Arial" w:hAnsi="Arial"/>
          <w:sz w:val="20"/>
          <w:szCs w:val="20"/>
          <w:b w:val="1"/>
          <w:bCs w:val="1"/>
          <w:i w:val="1"/>
          <w:iCs w:val="1"/>
          <w:color w:val="auto"/>
        </w:rPr>
        <w:t>Governance Changes in 2015:</w:t>
      </w:r>
    </w:p>
    <w:p>
      <w:pPr>
        <w:sectPr>
          <w:pgSz w:w="11900" w:h="16838" w:orient="portrait"/>
          <w:cols w:equalWidth="0" w:num="1">
            <w:col w:w="11422"/>
          </w:cols>
          <w:pgMar w:left="238" w:top="110" w:right="239" w:bottom="1440" w:gutter="0" w:footer="0" w:header="0"/>
        </w:sectPr>
      </w:pPr>
    </w:p>
    <w:p>
      <w:pPr>
        <w:spacing w:after="0" w:line="342"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0" w:lineRule="exact"/>
        <w:rPr>
          <w:sz w:val="20"/>
          <w:szCs w:val="20"/>
          <w:color w:val="auto"/>
        </w:rPr>
      </w:pPr>
    </w:p>
    <w:p>
      <w:pPr>
        <w:spacing w:after="0" w:line="24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314" w:lineRule="exact"/>
        <w:rPr>
          <w:sz w:val="20"/>
          <w:szCs w:val="20"/>
          <w:color w:val="auto"/>
        </w:rPr>
      </w:pPr>
    </w:p>
    <w:p>
      <w:pPr>
        <w:ind w:right="280"/>
        <w:spacing w:after="0" w:line="265" w:lineRule="auto"/>
        <w:rPr>
          <w:sz w:val="20"/>
          <w:szCs w:val="20"/>
          <w:color w:val="auto"/>
        </w:rPr>
      </w:pPr>
      <w:r>
        <w:rPr>
          <w:rFonts w:ascii="Arial" w:cs="Arial" w:eastAsia="Arial" w:hAnsi="Arial"/>
          <w:sz w:val="20"/>
          <w:szCs w:val="20"/>
          <w:color w:val="auto"/>
        </w:rPr>
        <w:t>Last year our directors received an average 97% shareholder vote in favor of their election and no director received a vote of less than 91%;</w:t>
      </w:r>
    </w:p>
    <w:p>
      <w:pPr>
        <w:spacing w:after="0" w:line="81" w:lineRule="exact"/>
        <w:rPr>
          <w:sz w:val="20"/>
          <w:szCs w:val="20"/>
          <w:color w:val="auto"/>
        </w:rPr>
      </w:pPr>
    </w:p>
    <w:p>
      <w:pPr>
        <w:spacing w:after="0"/>
        <w:rPr>
          <w:sz w:val="20"/>
          <w:szCs w:val="20"/>
          <w:color w:val="auto"/>
        </w:rPr>
      </w:pPr>
      <w:r>
        <w:rPr>
          <w:rFonts w:ascii="Arial" w:cs="Arial" w:eastAsia="Arial" w:hAnsi="Arial"/>
          <w:sz w:val="20"/>
          <w:szCs w:val="20"/>
          <w:color w:val="auto"/>
        </w:rPr>
        <w:t>We adopted a Director Retirement Age Policy, see page 19;</w:t>
      </w:r>
    </w:p>
    <w:p>
      <w:pPr>
        <w:spacing w:after="0" w:line="138" w:lineRule="exact"/>
        <w:rPr>
          <w:sz w:val="20"/>
          <w:szCs w:val="20"/>
          <w:color w:val="auto"/>
        </w:rPr>
      </w:pPr>
    </w:p>
    <w:p>
      <w:pPr>
        <w:spacing w:after="0"/>
        <w:rPr>
          <w:sz w:val="20"/>
          <w:szCs w:val="20"/>
          <w:color w:val="auto"/>
        </w:rPr>
      </w:pPr>
      <w:r>
        <w:rPr>
          <w:rFonts w:ascii="Arial" w:cs="Arial" w:eastAsia="Arial" w:hAnsi="Arial"/>
          <w:sz w:val="20"/>
          <w:szCs w:val="20"/>
          <w:color w:val="auto"/>
        </w:rPr>
        <w:t>We increased the CEO stock ownership requirement to five times base salary; and</w:t>
      </w:r>
    </w:p>
    <w:p>
      <w:pPr>
        <w:spacing w:after="0" w:line="138" w:lineRule="exact"/>
        <w:rPr>
          <w:sz w:val="20"/>
          <w:szCs w:val="20"/>
          <w:color w:val="auto"/>
        </w:rPr>
      </w:pPr>
    </w:p>
    <w:p>
      <w:pPr>
        <w:spacing w:after="0"/>
        <w:rPr>
          <w:sz w:val="20"/>
          <w:szCs w:val="20"/>
          <w:color w:val="auto"/>
        </w:rPr>
      </w:pPr>
      <w:r>
        <w:rPr>
          <w:rFonts w:ascii="Arial" w:cs="Arial" w:eastAsia="Arial" w:hAnsi="Arial"/>
          <w:sz w:val="20"/>
          <w:szCs w:val="20"/>
          <w:color w:val="auto"/>
        </w:rPr>
        <w:t>We enhanced our shareholder engagement process, see page 20.</w:t>
      </w:r>
    </w:p>
    <w:p>
      <w:pPr>
        <w:spacing w:after="0" w:line="200"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spacing w:after="0" w:line="208" w:lineRule="exact"/>
        <w:rPr>
          <w:sz w:val="20"/>
          <w:szCs w:val="20"/>
          <w:color w:val="auto"/>
        </w:rPr>
      </w:pPr>
    </w:p>
    <w:p>
      <w:pPr>
        <w:ind w:left="482" w:hanging="482"/>
        <w:spacing w:after="0"/>
        <w:tabs>
          <w:tab w:leader="none" w:pos="482" w:val="left"/>
        </w:tabs>
        <w:numPr>
          <w:ilvl w:val="0"/>
          <w:numId w:val="18"/>
        </w:numPr>
        <w:rPr>
          <w:rFonts w:ascii="Arial" w:cs="Arial" w:eastAsia="Arial" w:hAnsi="Arial"/>
          <w:sz w:val="20"/>
          <w:szCs w:val="20"/>
          <w:color w:val="3A5575"/>
        </w:rPr>
      </w:pPr>
      <w:r>
        <w:rPr>
          <w:rFonts w:ascii="Arial" w:cs="Arial" w:eastAsia="Arial" w:hAnsi="Arial"/>
          <w:sz w:val="20"/>
          <w:szCs w:val="20"/>
          <w:b w:val="1"/>
          <w:bCs w:val="1"/>
          <w:i w:val="1"/>
          <w:iCs w:val="1"/>
          <w:color w:val="auto"/>
        </w:rPr>
        <w:t>Continuing Governance Highlights:</w:t>
      </w:r>
    </w:p>
    <w:p>
      <w:pPr>
        <w:spacing w:after="0" w:line="334" w:lineRule="exact"/>
        <w:rPr>
          <w:sz w:val="20"/>
          <w:szCs w:val="20"/>
          <w:color w:val="auto"/>
        </w:rPr>
      </w:pPr>
    </w:p>
    <w:p>
      <w:pPr>
        <w:ind w:left="982" w:hanging="491"/>
        <w:spacing w:after="0"/>
        <w:tabs>
          <w:tab w:leader="none" w:pos="982" w:val="left"/>
        </w:tabs>
        <w:numPr>
          <w:ilvl w:val="0"/>
          <w:numId w:val="19"/>
        </w:numPr>
        <w:rPr>
          <w:rFonts w:ascii="Courier New" w:cs="Courier New" w:eastAsia="Courier New" w:hAnsi="Courier New"/>
          <w:sz w:val="12"/>
          <w:szCs w:val="12"/>
          <w:color w:val="3A5575"/>
        </w:rPr>
      </w:pPr>
      <w:r>
        <w:rPr>
          <w:rFonts w:ascii="Arial" w:cs="Arial" w:eastAsia="Arial" w:hAnsi="Arial"/>
          <w:sz w:val="19"/>
          <w:szCs w:val="19"/>
          <w:color w:val="auto"/>
        </w:rPr>
        <w:t>Annual election of all directors (see page 7 of this Proxy Statement Summary for a list of the nominees);</w:t>
      </w:r>
    </w:p>
    <w:p>
      <w:pPr>
        <w:sectPr>
          <w:pgSz w:w="11900" w:h="16838" w:orient="portrait"/>
          <w:cols w:equalWidth="0" w:num="1">
            <w:col w:w="11422"/>
          </w:cols>
          <w:pgMar w:left="238" w:top="110" w:right="239" w:bottom="1440" w:gutter="0" w:footer="0" w:header="0"/>
          <w:type w:val="continuous"/>
        </w:sectPr>
      </w:pPr>
    </w:p>
    <w:p>
      <w:pPr>
        <w:spacing w:after="0" w:line="157"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spacing w:after="0"/>
        <w:rPr>
          <w:sz w:val="20"/>
          <w:szCs w:val="20"/>
          <w:color w:val="auto"/>
        </w:rPr>
      </w:pPr>
      <w:r>
        <w:rPr>
          <w:rFonts w:ascii="Arial" w:cs="Arial" w:eastAsia="Arial" w:hAnsi="Arial"/>
          <w:sz w:val="20"/>
          <w:szCs w:val="20"/>
          <w:color w:val="auto"/>
        </w:rPr>
        <w:t>Nine of our ten directors are independent;</w:t>
      </w:r>
    </w:p>
    <w:p>
      <w:pPr>
        <w:spacing w:after="0" w:line="138" w:lineRule="exact"/>
        <w:rPr>
          <w:sz w:val="20"/>
          <w:szCs w:val="20"/>
          <w:color w:val="auto"/>
        </w:rPr>
      </w:pPr>
    </w:p>
    <w:p>
      <w:pPr>
        <w:spacing w:after="0"/>
        <w:rPr>
          <w:sz w:val="20"/>
          <w:szCs w:val="20"/>
          <w:color w:val="auto"/>
        </w:rPr>
      </w:pPr>
      <w:r>
        <w:rPr>
          <w:rFonts w:ascii="Arial" w:cs="Arial" w:eastAsia="Arial" w:hAnsi="Arial"/>
          <w:sz w:val="20"/>
          <w:szCs w:val="20"/>
          <w:color w:val="auto"/>
        </w:rPr>
        <w:t>All members of the committees of our Board are independent;</w:t>
      </w:r>
    </w:p>
    <w:p>
      <w:pPr>
        <w:spacing w:after="0" w:line="138" w:lineRule="exact"/>
        <w:rPr>
          <w:sz w:val="20"/>
          <w:szCs w:val="20"/>
          <w:color w:val="auto"/>
        </w:rPr>
      </w:pPr>
    </w:p>
    <w:p>
      <w:pPr>
        <w:spacing w:after="0"/>
        <w:rPr>
          <w:sz w:val="20"/>
          <w:szCs w:val="20"/>
          <w:color w:val="auto"/>
        </w:rPr>
      </w:pPr>
      <w:r>
        <w:rPr>
          <w:rFonts w:ascii="Arial" w:cs="Arial" w:eastAsia="Arial" w:hAnsi="Arial"/>
          <w:sz w:val="20"/>
          <w:szCs w:val="20"/>
          <w:color w:val="auto"/>
        </w:rPr>
        <w:t>Our independent Lead Director has clearly defined and robust responsibilities;</w:t>
      </w:r>
    </w:p>
    <w:p>
      <w:pPr>
        <w:spacing w:after="0" w:line="138" w:lineRule="exact"/>
        <w:rPr>
          <w:sz w:val="20"/>
          <w:szCs w:val="20"/>
          <w:color w:val="auto"/>
        </w:rPr>
      </w:pPr>
    </w:p>
    <w:p>
      <w:pPr>
        <w:ind w:right="320"/>
        <w:spacing w:after="0" w:line="265" w:lineRule="auto"/>
        <w:rPr>
          <w:sz w:val="20"/>
          <w:szCs w:val="20"/>
          <w:color w:val="auto"/>
        </w:rPr>
      </w:pPr>
      <w:r>
        <w:rPr>
          <w:rFonts w:ascii="Arial" w:cs="Arial" w:eastAsia="Arial" w:hAnsi="Arial"/>
          <w:sz w:val="20"/>
          <w:szCs w:val="20"/>
          <w:color w:val="auto"/>
        </w:rPr>
        <w:t>Each of our directors attended at least 75% of the Board meetings and any Board committee meeting on which he or she served; all of our directors attended the 2015 Annual Meeting of Shareholders;</w:t>
      </w:r>
    </w:p>
    <w:p>
      <w:pPr>
        <w:spacing w:after="0" w:line="81"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spacing w:after="0" w:line="7"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21"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0"/>
          <w:szCs w:val="20"/>
          <w:color w:val="auto"/>
        </w:rPr>
        <w:t>We do not have a poison pill plan;</w:t>
      </w:r>
    </w:p>
    <w:p>
      <w:pPr>
        <w:spacing w:after="0" w:line="138" w:lineRule="exact"/>
        <w:rPr>
          <w:sz w:val="20"/>
          <w:szCs w:val="20"/>
          <w:color w:val="auto"/>
        </w:rPr>
      </w:pPr>
    </w:p>
    <w:p>
      <w:pPr>
        <w:spacing w:after="0"/>
        <w:rPr>
          <w:sz w:val="20"/>
          <w:szCs w:val="20"/>
          <w:color w:val="auto"/>
        </w:rPr>
      </w:pPr>
      <w:r>
        <w:rPr>
          <w:rFonts w:ascii="Arial" w:cs="Arial" w:eastAsia="Arial" w:hAnsi="Arial"/>
          <w:sz w:val="19"/>
          <w:szCs w:val="19"/>
          <w:color w:val="auto"/>
        </w:rPr>
        <w:t>Our directors and officers are prohibited from pledging or hedging our stock; and</w:t>
      </w:r>
    </w:p>
    <w:p>
      <w:pPr>
        <w:spacing w:after="0" w:line="149" w:lineRule="exact"/>
        <w:rPr>
          <w:sz w:val="20"/>
          <w:szCs w:val="20"/>
          <w:color w:val="auto"/>
        </w:rPr>
      </w:pPr>
    </w:p>
    <w:p>
      <w:pPr>
        <w:spacing w:after="0"/>
        <w:rPr>
          <w:sz w:val="20"/>
          <w:szCs w:val="20"/>
          <w:color w:val="auto"/>
        </w:rPr>
      </w:pPr>
      <w:r>
        <w:rPr>
          <w:rFonts w:ascii="Arial" w:cs="Arial" w:eastAsia="Arial" w:hAnsi="Arial"/>
          <w:sz w:val="20"/>
          <w:szCs w:val="20"/>
          <w:color w:val="auto"/>
        </w:rPr>
        <w:t>We have director and officer stock ownership guidelines.</w:t>
      </w:r>
    </w:p>
    <w:p>
      <w:pPr>
        <w:spacing w:after="0" w:line="183"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ind w:left="2"/>
        <w:spacing w:after="0"/>
        <w:rPr>
          <w:sz w:val="20"/>
          <w:szCs w:val="20"/>
          <w:color w:val="auto"/>
        </w:rPr>
      </w:pPr>
      <w:r>
        <w:rPr>
          <w:rFonts w:ascii="Arial" w:cs="Arial" w:eastAsia="Arial" w:hAnsi="Arial"/>
          <w:sz w:val="22"/>
          <w:szCs w:val="22"/>
          <w:b w:val="1"/>
          <w:bCs w:val="1"/>
          <w:color w:val="3A5575"/>
        </w:rPr>
        <w:t>2015 Highlights: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24130</wp:posOffset>
            </wp:positionV>
            <wp:extent cx="7259320" cy="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1" w:lineRule="exact"/>
        <w:rPr>
          <w:sz w:val="20"/>
          <w:szCs w:val="20"/>
          <w:color w:val="auto"/>
        </w:rPr>
      </w:pPr>
    </w:p>
    <w:p>
      <w:pPr>
        <w:ind w:left="482" w:hanging="482"/>
        <w:spacing w:after="0"/>
        <w:tabs>
          <w:tab w:leader="none" w:pos="482" w:val="left"/>
        </w:tabs>
        <w:numPr>
          <w:ilvl w:val="0"/>
          <w:numId w:val="20"/>
        </w:numPr>
        <w:rPr>
          <w:rFonts w:ascii="Arial" w:cs="Arial" w:eastAsia="Arial" w:hAnsi="Arial"/>
          <w:sz w:val="19"/>
          <w:szCs w:val="19"/>
          <w:color w:val="3A5575"/>
        </w:rPr>
      </w:pPr>
      <w:r>
        <w:rPr>
          <w:rFonts w:ascii="Arial" w:cs="Arial" w:eastAsia="Arial" w:hAnsi="Arial"/>
          <w:sz w:val="19"/>
          <w:szCs w:val="19"/>
          <w:b w:val="1"/>
          <w:bCs w:val="1"/>
          <w:i w:val="1"/>
          <w:iCs w:val="1"/>
          <w:color w:val="auto"/>
        </w:rPr>
        <w:t>Compensation Changes in 2015:</w:t>
      </w:r>
    </w:p>
    <w:p>
      <w:pPr>
        <w:sectPr>
          <w:pgSz w:w="11900" w:h="16838" w:orient="portrait"/>
          <w:cols w:equalWidth="0" w:num="1">
            <w:col w:w="11422"/>
          </w:cols>
          <w:pgMar w:left="238" w:top="110" w:right="239" w:bottom="1440" w:gutter="0" w:footer="0" w:header="0"/>
          <w:type w:val="continuous"/>
        </w:sectPr>
      </w:pPr>
    </w:p>
    <w:p>
      <w:pPr>
        <w:spacing w:after="0" w:line="353"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326" w:lineRule="exact"/>
        <w:rPr>
          <w:sz w:val="20"/>
          <w:szCs w:val="20"/>
          <w:color w:val="auto"/>
        </w:rPr>
      </w:pPr>
    </w:p>
    <w:p>
      <w:pPr>
        <w:ind w:right="220"/>
        <w:spacing w:after="0" w:line="247" w:lineRule="auto"/>
        <w:rPr>
          <w:sz w:val="20"/>
          <w:szCs w:val="20"/>
          <w:color w:val="auto"/>
        </w:rPr>
      </w:pPr>
      <w:r>
        <w:rPr>
          <w:rFonts w:ascii="Arial" w:cs="Arial" w:eastAsia="Arial" w:hAnsi="Arial"/>
          <w:sz w:val="20"/>
          <w:szCs w:val="20"/>
          <w:color w:val="auto"/>
        </w:rPr>
        <w:t>Starting with the 2015 Annual CEO Incentive Plan Award (the "CEO Incentive Plan") and continuing with the 2016 Annual CEO Incentive Plan Award, we limit the use of discretion to adjust incentive awards solely to the occurrence of unanticipated events that may arise during the performance period;</w:t>
      </w:r>
    </w:p>
    <w:p>
      <w:pPr>
        <w:spacing w:after="0" w:line="99" w:lineRule="exact"/>
        <w:rPr>
          <w:sz w:val="20"/>
          <w:szCs w:val="20"/>
          <w:color w:val="auto"/>
        </w:rPr>
      </w:pPr>
    </w:p>
    <w:p>
      <w:pPr>
        <w:ind w:right="460"/>
        <w:spacing w:after="0" w:line="265" w:lineRule="auto"/>
        <w:rPr>
          <w:sz w:val="20"/>
          <w:szCs w:val="20"/>
          <w:color w:val="auto"/>
        </w:rPr>
      </w:pPr>
      <w:r>
        <w:rPr>
          <w:rFonts w:ascii="Arial" w:cs="Arial" w:eastAsia="Arial" w:hAnsi="Arial"/>
          <w:sz w:val="20"/>
          <w:szCs w:val="20"/>
          <w:color w:val="auto"/>
        </w:rPr>
        <w:t>We changed the allocation of the value of our annual long-term equity awards to 60% performance-based and 40% time-based vesting beginning with the 2016 awards; and</w:t>
      </w:r>
    </w:p>
    <w:p>
      <w:pPr>
        <w:spacing w:after="0" w:line="81" w:lineRule="exact"/>
        <w:rPr>
          <w:sz w:val="20"/>
          <w:szCs w:val="20"/>
          <w:color w:val="auto"/>
        </w:rPr>
      </w:pPr>
    </w:p>
    <w:p>
      <w:pPr>
        <w:sectPr>
          <w:pgSz w:w="11900" w:h="16838" w:orient="portrait"/>
          <w:cols w:equalWidth="0" w:num="2">
            <w:col w:w="562" w:space="420"/>
            <w:col w:w="10440"/>
          </w:cols>
          <w:pgMar w:left="238" w:top="110" w:right="239" w:bottom="1440" w:gutter="0" w:footer="0" w:header="0"/>
          <w:type w:val="continuous"/>
        </w:sectPr>
      </w:pPr>
    </w:p>
    <w:p>
      <w:pPr>
        <w:ind w:left="982" w:right="1080" w:hanging="491"/>
        <w:spacing w:after="0" w:line="265" w:lineRule="auto"/>
        <w:tabs>
          <w:tab w:leader="none" w:pos="982" w:val="left"/>
        </w:tabs>
        <w:numPr>
          <w:ilvl w:val="0"/>
          <w:numId w:val="21"/>
        </w:numPr>
        <w:rPr>
          <w:rFonts w:ascii="Courier New" w:cs="Courier New" w:eastAsia="Courier New" w:hAnsi="Courier New"/>
          <w:sz w:val="13"/>
          <w:szCs w:val="13"/>
          <w:color w:val="3A5575"/>
        </w:rPr>
      </w:pPr>
      <w:r>
        <w:rPr>
          <w:rFonts w:ascii="Arial" w:cs="Arial" w:eastAsia="Arial" w:hAnsi="Arial"/>
          <w:sz w:val="20"/>
          <w:szCs w:val="20"/>
          <w:color w:val="auto"/>
        </w:rPr>
        <w:t>We added clawback provisions to our 2016 annual cash incentive plans and performance share equity grant agreements.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156210</wp:posOffset>
            </wp:positionV>
            <wp:extent cx="841375" cy="1638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100" w:type="dxa"/>
            <w:vAlign w:val="bottom"/>
          </w:tcPr>
          <w:p>
            <w:pPr>
              <w:jc w:val="right"/>
              <w:ind w:right="880"/>
              <w:spacing w:after="0"/>
              <w:rPr>
                <w:sz w:val="20"/>
                <w:szCs w:val="20"/>
                <w:color w:val="auto"/>
              </w:rPr>
            </w:pPr>
            <w:r>
              <w:rPr>
                <w:rFonts w:ascii="Arial" w:cs="Arial" w:eastAsia="Arial" w:hAnsi="Arial"/>
                <w:sz w:val="16"/>
                <w:szCs w:val="16"/>
                <w:b w:val="1"/>
                <w:bCs w:val="1"/>
                <w:color w:val="auto"/>
              </w:rPr>
              <w:t>4</w:t>
            </w:r>
          </w:p>
        </w:tc>
        <w:tc>
          <w:tcPr>
            <w:tcW w:w="116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160" w:type="dxa"/>
            <w:vAlign w:val="bottom"/>
          </w:tcPr>
          <w:p>
            <w:pPr>
              <w:ind w:left="12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100" w:type="dxa"/>
            <w:vAlign w:val="bottom"/>
          </w:tcPr>
          <w:p>
            <w:pPr>
              <w:spacing w:after="0"/>
              <w:rPr>
                <w:sz w:val="5"/>
                <w:szCs w:val="5"/>
                <w:color w:val="auto"/>
              </w:rPr>
            </w:pPr>
          </w:p>
        </w:tc>
        <w:tc>
          <w:tcPr>
            <w:tcW w:w="1160" w:type="dxa"/>
            <w:vAlign w:val="bottom"/>
            <w:vMerge w:val="continue"/>
          </w:tcPr>
          <w:p>
            <w:pPr>
              <w:spacing w:after="0"/>
              <w:rPr>
                <w:sz w:val="5"/>
                <w:szCs w:val="5"/>
                <w:color w:val="auto"/>
              </w:rPr>
            </w:pPr>
          </w:p>
        </w:tc>
        <w:tc>
          <w:tcPr>
            <w:tcW w:w="9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100" w:type="dxa"/>
            <w:vAlign w:val="bottom"/>
            <w:tcBorders>
              <w:bottom w:val="single" w:sz="8" w:color="808080"/>
            </w:tcBorders>
          </w:tcPr>
          <w:p>
            <w:pPr>
              <w:spacing w:after="0"/>
              <w:rPr>
                <w:sz w:val="11"/>
                <w:szCs w:val="11"/>
                <w:color w:val="auto"/>
              </w:rPr>
            </w:pPr>
          </w:p>
        </w:tc>
        <w:tc>
          <w:tcPr>
            <w:tcW w:w="1160" w:type="dxa"/>
            <w:vAlign w:val="bottom"/>
            <w:tcBorders>
              <w:bottom w:val="single" w:sz="8" w:color="808080"/>
            </w:tcBorders>
          </w:tcPr>
          <w:p>
            <w:pPr>
              <w:spacing w:after="0"/>
              <w:rPr>
                <w:sz w:val="11"/>
                <w:szCs w:val="11"/>
                <w:color w:val="auto"/>
              </w:rPr>
            </w:pPr>
          </w:p>
        </w:tc>
        <w:tc>
          <w:tcPr>
            <w:tcW w:w="916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type w:val="continuous"/>
        </w:sectPr>
      </w:pPr>
    </w:p>
    <w:bookmarkStart w:id="13" w:name="page14"/>
    <w:bookmarkEnd w:id="13"/>
    <w:p>
      <w:pPr>
        <w:ind w:left="2"/>
        <w:spacing w:after="0"/>
        <w:rPr>
          <w:rFonts w:ascii="Arial" w:cs="Arial" w:eastAsia="Arial" w:hAnsi="Arial"/>
          <w:sz w:val="19"/>
          <w:szCs w:val="19"/>
          <w:u w:val="single" w:color="auto"/>
          <w:color w:val="0000EE"/>
        </w:rPr>
      </w:pPr>
      <w:hyperlink w:anchor="page7">
        <w:r>
          <w:rPr>
            <w:rFonts w:ascii="Arial" w:cs="Arial" w:eastAsia="Arial" w:hAnsi="Arial"/>
            <w:sz w:val="19"/>
            <w:szCs w:val="19"/>
            <w:u w:val="single" w:color="auto"/>
            <w:color w:val="0000EE"/>
          </w:rPr>
          <w:t>Table of Contents</w:t>
        </w:r>
      </w:hyperlink>
    </w:p>
    <w:p>
      <w:pPr>
        <w:sectPr>
          <w:pgSz w:w="11900" w:h="16838" w:orient="portrait"/>
          <w:cols w:equalWidth="0" w:num="1">
            <w:col w:w="11442"/>
          </w:cols>
          <w:pgMar w:left="238" w:top="110" w:right="219" w:bottom="1440" w:gutter="0" w:footer="0" w:header="0"/>
        </w:sectPr>
      </w:pPr>
    </w:p>
    <w:p>
      <w:pPr>
        <w:spacing w:after="0" w:line="186" w:lineRule="exact"/>
        <w:rPr>
          <w:sz w:val="20"/>
          <w:szCs w:val="20"/>
          <w:color w:val="auto"/>
        </w:rPr>
      </w:pPr>
    </w:p>
    <w:p>
      <w:pPr>
        <w:ind w:left="482" w:hanging="482"/>
        <w:spacing w:after="0"/>
        <w:tabs>
          <w:tab w:leader="none" w:pos="482" w:val="left"/>
        </w:tabs>
        <w:numPr>
          <w:ilvl w:val="0"/>
          <w:numId w:val="22"/>
        </w:numPr>
        <w:rPr>
          <w:rFonts w:ascii="Arial" w:cs="Arial" w:eastAsia="Arial" w:hAnsi="Arial"/>
          <w:sz w:val="19"/>
          <w:szCs w:val="19"/>
          <w:color w:val="3A5575"/>
        </w:rPr>
      </w:pPr>
      <w:r>
        <w:rPr>
          <w:rFonts w:ascii="Arial" w:cs="Arial" w:eastAsia="Arial" w:hAnsi="Arial"/>
          <w:sz w:val="19"/>
          <w:szCs w:val="19"/>
          <w:b w:val="1"/>
          <w:bCs w:val="1"/>
          <w:i w:val="1"/>
          <w:iCs w:val="1"/>
          <w:color w:val="auto"/>
        </w:rPr>
        <w:t>Continuing Compensation Highlights:</w:t>
      </w:r>
    </w:p>
    <w:p>
      <w:pPr>
        <w:spacing w:after="0" w:line="20" w:lineRule="exact"/>
        <w:rPr>
          <w:sz w:val="20"/>
          <w:szCs w:val="20"/>
          <w:color w:val="auto"/>
        </w:rPr>
      </w:pPr>
      <w:r>
        <w:rPr>
          <w:sz w:val="20"/>
          <w:szCs w:val="20"/>
          <w:color w:val="auto"/>
        </w:rPr>
        <w:br w:type="column"/>
      </w:r>
    </w:p>
    <w:p>
      <w:pPr>
        <w:spacing w:after="0" w:line="244"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Proxy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wp:posOffset>
            </wp:positionH>
            <wp:positionV relativeFrom="paragraph">
              <wp:posOffset>-116840</wp:posOffset>
            </wp:positionV>
            <wp:extent cx="1378585" cy="1555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378585" cy="1555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8582" w:space="720"/>
            <w:col w:w="2140"/>
          </w:cols>
          <w:pgMar w:left="238" w:top="110" w:right="219" w:bottom="1440" w:gutter="0" w:footer="0" w:header="0"/>
          <w:type w:val="continuous"/>
        </w:sectPr>
      </w:pPr>
    </w:p>
    <w:p>
      <w:pPr>
        <w:spacing w:after="0" w:line="145"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jc w:val="both"/>
        <w:ind w:right="260"/>
        <w:spacing w:after="0" w:line="247" w:lineRule="auto"/>
        <w:rPr>
          <w:sz w:val="20"/>
          <w:szCs w:val="20"/>
          <w:color w:val="auto"/>
        </w:rPr>
      </w:pPr>
      <w:r>
        <w:rPr>
          <w:rFonts w:ascii="Arial" w:cs="Arial" w:eastAsia="Arial" w:hAnsi="Arial"/>
          <w:sz w:val="20"/>
          <w:szCs w:val="20"/>
          <w:color w:val="auto"/>
        </w:rPr>
        <w:t>We continued our executive compensation program's focus on being transparent with a clear emphasis on rewarding performance by putting pay at risk and retaining key executives. Our executive compensation philosophy incorporates the following core principles and objectives:</w:t>
      </w:r>
    </w:p>
    <w:p>
      <w:pPr>
        <w:spacing w:after="0" w:line="200"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spacing w:after="0" w:line="169" w:lineRule="exact"/>
        <w:rPr>
          <w:sz w:val="20"/>
          <w:szCs w:val="20"/>
          <w:color w:val="auto"/>
        </w:rPr>
      </w:pPr>
    </w:p>
    <w:p>
      <w:pPr>
        <w:ind w:left="1962" w:hanging="490"/>
        <w:spacing w:after="0"/>
        <w:tabs>
          <w:tab w:leader="none" w:pos="1962" w:val="left"/>
        </w:tabs>
        <w:numPr>
          <w:ilvl w:val="0"/>
          <w:numId w:val="23"/>
        </w:numPr>
        <w:rPr>
          <w:rFonts w:ascii="Arial" w:cs="Arial" w:eastAsia="Arial" w:hAnsi="Arial"/>
          <w:sz w:val="20"/>
          <w:szCs w:val="20"/>
          <w:color w:val="3A5575"/>
        </w:rPr>
      </w:pPr>
      <w:r>
        <w:rPr>
          <w:rFonts w:ascii="Arial" w:cs="Arial" w:eastAsia="Arial" w:hAnsi="Arial"/>
          <w:sz w:val="20"/>
          <w:szCs w:val="20"/>
          <w:color w:val="auto"/>
        </w:rPr>
        <w:t>Alignment with shareholder interests;</w:t>
      </w:r>
    </w:p>
    <w:p>
      <w:pPr>
        <w:spacing w:after="0" w:line="199" w:lineRule="exact"/>
        <w:rPr>
          <w:rFonts w:ascii="Arial" w:cs="Arial" w:eastAsia="Arial" w:hAnsi="Arial"/>
          <w:sz w:val="20"/>
          <w:szCs w:val="20"/>
          <w:color w:val="3A5575"/>
        </w:rPr>
      </w:pPr>
    </w:p>
    <w:p>
      <w:pPr>
        <w:ind w:left="1962" w:hanging="490"/>
        <w:spacing w:after="0"/>
        <w:tabs>
          <w:tab w:leader="none" w:pos="1962" w:val="left"/>
        </w:tabs>
        <w:numPr>
          <w:ilvl w:val="0"/>
          <w:numId w:val="23"/>
        </w:numPr>
        <w:rPr>
          <w:rFonts w:ascii="Arial" w:cs="Arial" w:eastAsia="Arial" w:hAnsi="Arial"/>
          <w:sz w:val="20"/>
          <w:szCs w:val="20"/>
          <w:color w:val="3A5575"/>
        </w:rPr>
      </w:pPr>
      <w:r>
        <w:rPr>
          <w:rFonts w:ascii="Arial" w:cs="Arial" w:eastAsia="Arial" w:hAnsi="Arial"/>
          <w:sz w:val="20"/>
          <w:szCs w:val="20"/>
          <w:color w:val="auto"/>
        </w:rPr>
        <w:t>Key management retention;</w:t>
      </w:r>
    </w:p>
    <w:p>
      <w:pPr>
        <w:spacing w:after="0" w:line="199" w:lineRule="exact"/>
        <w:rPr>
          <w:rFonts w:ascii="Arial" w:cs="Arial" w:eastAsia="Arial" w:hAnsi="Arial"/>
          <w:sz w:val="20"/>
          <w:szCs w:val="20"/>
          <w:color w:val="3A5575"/>
        </w:rPr>
      </w:pPr>
    </w:p>
    <w:p>
      <w:pPr>
        <w:jc w:val="both"/>
        <w:ind w:left="1962" w:right="60" w:hanging="490"/>
        <w:spacing w:after="0" w:line="267" w:lineRule="auto"/>
        <w:tabs>
          <w:tab w:leader="none" w:pos="1962" w:val="left"/>
        </w:tabs>
        <w:numPr>
          <w:ilvl w:val="0"/>
          <w:numId w:val="23"/>
        </w:numPr>
        <w:rPr>
          <w:rFonts w:ascii="Arial" w:cs="Arial" w:eastAsia="Arial" w:hAnsi="Arial"/>
          <w:sz w:val="19"/>
          <w:szCs w:val="19"/>
          <w:color w:val="3A5575"/>
        </w:rPr>
      </w:pPr>
      <w:r>
        <w:rPr>
          <w:rFonts w:ascii="Arial" w:cs="Arial" w:eastAsia="Arial" w:hAnsi="Arial"/>
          <w:sz w:val="19"/>
          <w:szCs w:val="19"/>
          <w:color w:val="auto"/>
        </w:rPr>
        <w:t>A focus on a few key elements that are simple and understandable: base salary; annual performance-based cash incentive; three-year performance-based equity grant; a retention-based equity grant that releases over a four-year period; pension and supplemental pension retirement benefits; and limited perquisites;</w:t>
      </w:r>
    </w:p>
    <w:p>
      <w:pPr>
        <w:spacing w:after="0" w:line="153" w:lineRule="exact"/>
        <w:rPr>
          <w:rFonts w:ascii="Arial" w:cs="Arial" w:eastAsia="Arial" w:hAnsi="Arial"/>
          <w:sz w:val="19"/>
          <w:szCs w:val="19"/>
          <w:color w:val="3A5575"/>
        </w:rPr>
      </w:pPr>
    </w:p>
    <w:p>
      <w:pPr>
        <w:ind w:left="1962" w:right="80" w:hanging="490"/>
        <w:spacing w:after="0" w:line="242" w:lineRule="auto"/>
        <w:tabs>
          <w:tab w:leader="none" w:pos="1962" w:val="left"/>
        </w:tabs>
        <w:numPr>
          <w:ilvl w:val="0"/>
          <w:numId w:val="23"/>
        </w:numPr>
        <w:rPr>
          <w:rFonts w:ascii="Arial" w:cs="Arial" w:eastAsia="Arial" w:hAnsi="Arial"/>
          <w:sz w:val="20"/>
          <w:szCs w:val="20"/>
          <w:color w:val="3A5575"/>
        </w:rPr>
      </w:pPr>
      <w:r>
        <w:rPr>
          <w:rFonts w:ascii="Arial" w:cs="Arial" w:eastAsia="Arial" w:hAnsi="Arial"/>
          <w:sz w:val="20"/>
          <w:szCs w:val="20"/>
          <w:color w:val="auto"/>
        </w:rPr>
        <w:t>A significant portion of our Named Executive Officers' (as defined on page 37 of this Proxy Statement) compensation is at risk and based on performance — our annual cash incentive plans are 100% tied directly to earnings, business unit performance and individual performance, and our performance shares are based on TSR and value-driving business metrics; and</w:t>
      </w:r>
    </w:p>
    <w:p>
      <w:pPr>
        <w:spacing w:after="0" w:line="164" w:lineRule="exact"/>
        <w:rPr>
          <w:rFonts w:ascii="Arial" w:cs="Arial" w:eastAsia="Arial" w:hAnsi="Arial"/>
          <w:sz w:val="20"/>
          <w:szCs w:val="20"/>
          <w:color w:val="3A5575"/>
        </w:rPr>
      </w:pPr>
    </w:p>
    <w:p>
      <w:pPr>
        <w:ind w:left="1962" w:right="480" w:hanging="490"/>
        <w:spacing w:after="0" w:line="265" w:lineRule="auto"/>
        <w:tabs>
          <w:tab w:leader="none" w:pos="1962" w:val="left"/>
        </w:tabs>
        <w:numPr>
          <w:ilvl w:val="0"/>
          <w:numId w:val="23"/>
        </w:numPr>
        <w:rPr>
          <w:rFonts w:ascii="Arial" w:cs="Arial" w:eastAsia="Arial" w:hAnsi="Arial"/>
          <w:sz w:val="20"/>
          <w:szCs w:val="20"/>
          <w:color w:val="3A5575"/>
        </w:rPr>
      </w:pPr>
      <w:r>
        <w:rPr>
          <w:rFonts w:ascii="Arial" w:cs="Arial" w:eastAsia="Arial" w:hAnsi="Arial"/>
          <w:sz w:val="20"/>
          <w:szCs w:val="20"/>
          <w:color w:val="auto"/>
        </w:rPr>
        <w:t>We use multiple business performance metrics, capped payouts and other features that are designed to reward performance but not encourage unacceptable risk taking.</w:t>
      </w:r>
    </w:p>
    <w:p>
      <w:pPr>
        <w:sectPr>
          <w:pgSz w:w="11900" w:h="16838" w:orient="portrait"/>
          <w:cols w:equalWidth="0" w:num="1">
            <w:col w:w="11442"/>
          </w:cols>
          <w:pgMar w:left="238" w:top="110" w:right="219" w:bottom="1440" w:gutter="0" w:footer="0" w:header="0"/>
          <w:type w:val="continuous"/>
        </w:sectPr>
      </w:pPr>
    </w:p>
    <w:p>
      <w:pPr>
        <w:spacing w:after="0" w:line="285" w:lineRule="exact"/>
        <w:rPr>
          <w:sz w:val="20"/>
          <w:szCs w:val="20"/>
          <w:color w:val="auto"/>
        </w:rPr>
      </w:pPr>
    </w:p>
    <w:p>
      <w:pPr>
        <w:ind w:left="482"/>
        <w:spacing w:after="0"/>
        <w:rPr>
          <w:sz w:val="20"/>
          <w:szCs w:val="20"/>
          <w:color w:val="auto"/>
        </w:rPr>
      </w:pPr>
      <w:r>
        <w:rPr>
          <w:rFonts w:ascii="Courier New" w:cs="Courier New" w:eastAsia="Courier New" w:hAnsi="Courier New"/>
          <w:sz w:val="13"/>
          <w:szCs w:val="13"/>
          <w:color w:val="3A5575"/>
        </w:rPr>
        <w:t>o</w:t>
      </w:r>
    </w:p>
    <w:p>
      <w:pPr>
        <w:spacing w:after="0" w:line="20" w:lineRule="exact"/>
        <w:rPr>
          <w:sz w:val="20"/>
          <w:szCs w:val="20"/>
          <w:color w:val="auto"/>
        </w:rPr>
      </w:pPr>
      <w:r>
        <w:rPr>
          <w:sz w:val="20"/>
          <w:szCs w:val="20"/>
          <w:color w:val="auto"/>
        </w:rPr>
        <w:br w:type="column"/>
      </w:r>
    </w:p>
    <w:p>
      <w:pPr>
        <w:spacing w:after="0" w:line="257" w:lineRule="exact"/>
        <w:rPr>
          <w:sz w:val="20"/>
          <w:szCs w:val="20"/>
          <w:color w:val="auto"/>
        </w:rPr>
      </w:pPr>
    </w:p>
    <w:p>
      <w:pPr>
        <w:ind w:right="300"/>
        <w:spacing w:after="0" w:line="265" w:lineRule="auto"/>
        <w:rPr>
          <w:sz w:val="20"/>
          <w:szCs w:val="20"/>
          <w:color w:val="auto"/>
        </w:rPr>
      </w:pPr>
      <w:r>
        <w:rPr>
          <w:rFonts w:ascii="Arial" w:cs="Arial" w:eastAsia="Arial" w:hAnsi="Arial"/>
          <w:sz w:val="20"/>
          <w:szCs w:val="20"/>
          <w:color w:val="auto"/>
        </w:rPr>
        <w:t>Please see our "Compensation Discussion and Analysis" beginning on page 37 of this Proxy Statement for a detailed explanation of our executive compensation program.</w:t>
      </w:r>
    </w:p>
    <w:p>
      <w:pPr>
        <w:spacing w:after="0" w:line="62" w:lineRule="exact"/>
        <w:rPr>
          <w:sz w:val="20"/>
          <w:szCs w:val="20"/>
          <w:color w:val="auto"/>
        </w:rPr>
      </w:pPr>
    </w:p>
    <w:p>
      <w:pPr>
        <w:sectPr>
          <w:pgSz w:w="11900" w:h="16838" w:orient="portrait"/>
          <w:cols w:equalWidth="0" w:num="2">
            <w:col w:w="562" w:space="420"/>
            <w:col w:w="10460"/>
          </w:cols>
          <w:pgMar w:left="238" w:top="110" w:right="219" w:bottom="1440" w:gutter="0" w:footer="0" w:header="0"/>
          <w:type w:val="continuous"/>
        </w:sectPr>
      </w:pPr>
    </w:p>
    <w:p>
      <w:pPr>
        <w:ind w:left="7562"/>
        <w:spacing w:after="0"/>
        <w:tabs>
          <w:tab w:leader="none" w:pos="9401"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14" w:name="page15"/>
    <w:bookmarkEnd w:id="14"/>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4"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Annual Meeting of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100" w:type="dxa"/>
        <w:tblCellMar>
          <w:top w:w="0" w:type="dxa"/>
          <w:left w:w="0" w:type="dxa"/>
          <w:bottom w:w="0" w:type="dxa"/>
          <w:right w:w="0" w:type="dxa"/>
        </w:tblCellMar>
      </w:tblPr>
      <w:tr>
        <w:trPr>
          <w:trHeight w:val="233"/>
        </w:trPr>
        <w:tc>
          <w:tcPr>
            <w:tcW w:w="3880" w:type="dxa"/>
            <w:vAlign w:val="bottom"/>
            <w:tcBorders>
              <w:top w:val="single" w:sz="8" w:color="646466"/>
            </w:tcBorders>
            <w:shd w:val="clear" w:color="auto" w:fill="E3E5EB"/>
          </w:tcPr>
          <w:p>
            <w:pPr>
              <w:spacing w:after="0"/>
              <w:rPr>
                <w:sz w:val="20"/>
                <w:szCs w:val="20"/>
                <w:color w:val="auto"/>
              </w:rPr>
            </w:pPr>
            <w:r>
              <w:rPr>
                <w:rFonts w:ascii="Arial" w:cs="Arial" w:eastAsia="Arial" w:hAnsi="Arial"/>
                <w:sz w:val="20"/>
                <w:szCs w:val="20"/>
                <w:color w:val="auto"/>
              </w:rPr>
              <w:t>Date:</w:t>
            </w:r>
          </w:p>
        </w:tc>
        <w:tc>
          <w:tcPr>
            <w:tcW w:w="7540" w:type="dxa"/>
            <w:vAlign w:val="bottom"/>
            <w:tcBorders>
              <w:top w:val="single" w:sz="8" w:color="646466"/>
            </w:tcBorders>
            <w:shd w:val="clear" w:color="auto" w:fill="E3E5EB"/>
          </w:tcPr>
          <w:p>
            <w:pPr>
              <w:ind w:left="1620"/>
              <w:spacing w:after="0"/>
              <w:rPr>
                <w:sz w:val="20"/>
                <w:szCs w:val="20"/>
                <w:color w:val="auto"/>
              </w:rPr>
            </w:pPr>
            <w:r>
              <w:rPr>
                <w:rFonts w:ascii="Arial" w:cs="Arial" w:eastAsia="Arial" w:hAnsi="Arial"/>
                <w:sz w:val="20"/>
                <w:szCs w:val="20"/>
                <w:color w:val="auto"/>
              </w:rPr>
              <w:t>May 18, 2016</w:t>
            </w:r>
          </w:p>
        </w:tc>
      </w:tr>
      <w:tr>
        <w:trPr>
          <w:trHeight w:val="221"/>
        </w:trPr>
        <w:tc>
          <w:tcPr>
            <w:tcW w:w="3880" w:type="dxa"/>
            <w:vAlign w:val="bottom"/>
          </w:tcPr>
          <w:p>
            <w:pPr>
              <w:spacing w:after="0" w:line="221" w:lineRule="exact"/>
              <w:rPr>
                <w:sz w:val="20"/>
                <w:szCs w:val="20"/>
                <w:color w:val="auto"/>
              </w:rPr>
            </w:pPr>
            <w:r>
              <w:rPr>
                <w:rFonts w:ascii="Arial" w:cs="Arial" w:eastAsia="Arial" w:hAnsi="Arial"/>
                <w:sz w:val="20"/>
                <w:szCs w:val="20"/>
                <w:color w:val="auto"/>
              </w:rPr>
              <w:t>Time:</w:t>
            </w:r>
          </w:p>
        </w:tc>
        <w:tc>
          <w:tcPr>
            <w:tcW w:w="7540" w:type="dxa"/>
            <w:vAlign w:val="bottom"/>
          </w:tcPr>
          <w:p>
            <w:pPr>
              <w:ind w:left="1620"/>
              <w:spacing w:after="0" w:line="221" w:lineRule="exact"/>
              <w:rPr>
                <w:sz w:val="20"/>
                <w:szCs w:val="20"/>
                <w:color w:val="auto"/>
              </w:rPr>
            </w:pPr>
            <w:r>
              <w:rPr>
                <w:rFonts w:ascii="Arial" w:cs="Arial" w:eastAsia="Arial" w:hAnsi="Arial"/>
                <w:sz w:val="20"/>
                <w:szCs w:val="20"/>
                <w:color w:val="auto"/>
              </w:rPr>
              <w:t>10:30 a.m. Mountain Standard Time</w:t>
            </w:r>
          </w:p>
        </w:tc>
      </w:tr>
      <w:tr>
        <w:trPr>
          <w:trHeight w:val="191"/>
        </w:trPr>
        <w:tc>
          <w:tcPr>
            <w:tcW w:w="3880" w:type="dxa"/>
            <w:vAlign w:val="bottom"/>
            <w:shd w:val="clear" w:color="auto" w:fill="E3E5EB"/>
          </w:tcPr>
          <w:p>
            <w:pPr>
              <w:spacing w:after="0" w:line="191" w:lineRule="exact"/>
              <w:rPr>
                <w:sz w:val="20"/>
                <w:szCs w:val="20"/>
                <w:color w:val="auto"/>
              </w:rPr>
            </w:pPr>
            <w:r>
              <w:rPr>
                <w:rFonts w:ascii="Arial" w:cs="Arial" w:eastAsia="Arial" w:hAnsi="Arial"/>
                <w:sz w:val="20"/>
                <w:szCs w:val="20"/>
                <w:color w:val="auto"/>
              </w:rPr>
              <w:t>Place:</w:t>
            </w:r>
          </w:p>
        </w:tc>
        <w:tc>
          <w:tcPr>
            <w:tcW w:w="7540" w:type="dxa"/>
            <w:vAlign w:val="bottom"/>
            <w:shd w:val="clear" w:color="auto" w:fill="E3E5EB"/>
          </w:tcPr>
          <w:p>
            <w:pPr>
              <w:ind w:left="1620"/>
              <w:spacing w:after="0" w:line="191" w:lineRule="exact"/>
              <w:rPr>
                <w:sz w:val="20"/>
                <w:szCs w:val="20"/>
                <w:color w:val="auto"/>
              </w:rPr>
            </w:pPr>
            <w:r>
              <w:rPr>
                <w:rFonts w:ascii="Arial" w:cs="Arial" w:eastAsia="Arial" w:hAnsi="Arial"/>
                <w:sz w:val="20"/>
                <w:szCs w:val="20"/>
                <w:color w:val="auto"/>
              </w:rPr>
              <w:t>Heard Museum</w:t>
            </w:r>
          </w:p>
        </w:tc>
      </w:tr>
      <w:tr>
        <w:trPr>
          <w:trHeight w:val="221"/>
        </w:trPr>
        <w:tc>
          <w:tcPr>
            <w:tcW w:w="3880" w:type="dxa"/>
            <w:vAlign w:val="bottom"/>
            <w:shd w:val="clear" w:color="auto" w:fill="E3E5EB"/>
          </w:tcPr>
          <w:p>
            <w:pPr>
              <w:spacing w:after="0"/>
              <w:rPr>
                <w:sz w:val="19"/>
                <w:szCs w:val="19"/>
                <w:color w:val="auto"/>
              </w:rPr>
            </w:pPr>
          </w:p>
        </w:tc>
        <w:tc>
          <w:tcPr>
            <w:tcW w:w="7540" w:type="dxa"/>
            <w:vAlign w:val="bottom"/>
            <w:shd w:val="clear" w:color="auto" w:fill="E3E5EB"/>
          </w:tcPr>
          <w:p>
            <w:pPr>
              <w:ind w:left="1620"/>
              <w:spacing w:after="0" w:line="221" w:lineRule="exact"/>
              <w:rPr>
                <w:sz w:val="20"/>
                <w:szCs w:val="20"/>
                <w:color w:val="auto"/>
              </w:rPr>
            </w:pPr>
            <w:r>
              <w:rPr>
                <w:rFonts w:ascii="Arial" w:cs="Arial" w:eastAsia="Arial" w:hAnsi="Arial"/>
                <w:sz w:val="20"/>
                <w:szCs w:val="20"/>
                <w:color w:val="auto"/>
              </w:rPr>
              <w:t>2301 North Central Avenue</w:t>
            </w:r>
          </w:p>
        </w:tc>
      </w:tr>
      <w:tr>
        <w:trPr>
          <w:trHeight w:val="251"/>
        </w:trPr>
        <w:tc>
          <w:tcPr>
            <w:tcW w:w="3880" w:type="dxa"/>
            <w:vAlign w:val="bottom"/>
            <w:shd w:val="clear" w:color="auto" w:fill="E3E5EB"/>
          </w:tcPr>
          <w:p>
            <w:pPr>
              <w:spacing w:after="0"/>
              <w:rPr>
                <w:sz w:val="21"/>
                <w:szCs w:val="21"/>
                <w:color w:val="auto"/>
              </w:rPr>
            </w:pPr>
          </w:p>
        </w:tc>
        <w:tc>
          <w:tcPr>
            <w:tcW w:w="7540" w:type="dxa"/>
            <w:vAlign w:val="bottom"/>
            <w:shd w:val="clear" w:color="auto" w:fill="E3E5EB"/>
          </w:tcPr>
          <w:p>
            <w:pPr>
              <w:ind w:left="1620"/>
              <w:spacing w:after="0"/>
              <w:rPr>
                <w:sz w:val="20"/>
                <w:szCs w:val="20"/>
                <w:color w:val="auto"/>
              </w:rPr>
            </w:pPr>
            <w:r>
              <w:rPr>
                <w:rFonts w:ascii="Arial" w:cs="Arial" w:eastAsia="Arial" w:hAnsi="Arial"/>
                <w:sz w:val="20"/>
                <w:szCs w:val="20"/>
                <w:color w:val="auto"/>
              </w:rPr>
              <w:t>Phoenix, Arizona 85004</w:t>
            </w:r>
          </w:p>
        </w:tc>
      </w:tr>
      <w:tr>
        <w:trPr>
          <w:trHeight w:val="221"/>
        </w:trPr>
        <w:tc>
          <w:tcPr>
            <w:tcW w:w="3880" w:type="dxa"/>
            <w:vAlign w:val="bottom"/>
          </w:tcPr>
          <w:p>
            <w:pPr>
              <w:spacing w:after="0" w:line="221" w:lineRule="exact"/>
              <w:rPr>
                <w:sz w:val="20"/>
                <w:szCs w:val="20"/>
                <w:color w:val="auto"/>
              </w:rPr>
            </w:pPr>
            <w:r>
              <w:rPr>
                <w:rFonts w:ascii="Arial" w:cs="Arial" w:eastAsia="Arial" w:hAnsi="Arial"/>
                <w:sz w:val="20"/>
                <w:szCs w:val="20"/>
                <w:color w:val="auto"/>
              </w:rPr>
              <w:t>Record Date:</w:t>
            </w:r>
          </w:p>
        </w:tc>
        <w:tc>
          <w:tcPr>
            <w:tcW w:w="7540" w:type="dxa"/>
            <w:vAlign w:val="bottom"/>
          </w:tcPr>
          <w:p>
            <w:pPr>
              <w:ind w:left="1620"/>
              <w:spacing w:after="0" w:line="221" w:lineRule="exact"/>
              <w:rPr>
                <w:sz w:val="20"/>
                <w:szCs w:val="20"/>
                <w:color w:val="auto"/>
              </w:rPr>
            </w:pPr>
            <w:r>
              <w:rPr>
                <w:rFonts w:ascii="Arial" w:cs="Arial" w:eastAsia="Arial" w:hAnsi="Arial"/>
                <w:sz w:val="20"/>
                <w:szCs w:val="20"/>
                <w:color w:val="auto"/>
              </w:rPr>
              <w:t>March 10, 2016</w:t>
            </w:r>
          </w:p>
        </w:tc>
      </w:tr>
      <w:tr>
        <w:trPr>
          <w:trHeight w:val="191"/>
        </w:trPr>
        <w:tc>
          <w:tcPr>
            <w:tcW w:w="3880" w:type="dxa"/>
            <w:vAlign w:val="bottom"/>
            <w:shd w:val="clear" w:color="auto" w:fill="E3E5EB"/>
          </w:tcPr>
          <w:p>
            <w:pPr>
              <w:spacing w:after="0" w:line="191" w:lineRule="exact"/>
              <w:rPr>
                <w:sz w:val="20"/>
                <w:szCs w:val="20"/>
                <w:color w:val="auto"/>
              </w:rPr>
            </w:pPr>
            <w:r>
              <w:rPr>
                <w:rFonts w:ascii="Arial" w:cs="Arial" w:eastAsia="Arial" w:hAnsi="Arial"/>
                <w:sz w:val="20"/>
                <w:szCs w:val="20"/>
                <w:color w:val="auto"/>
              </w:rPr>
              <w:t>Admission to the Meeting:</w:t>
            </w:r>
          </w:p>
        </w:tc>
        <w:tc>
          <w:tcPr>
            <w:tcW w:w="7540" w:type="dxa"/>
            <w:vAlign w:val="bottom"/>
            <w:shd w:val="clear" w:color="auto" w:fill="E3E5EB"/>
          </w:tcPr>
          <w:p>
            <w:pPr>
              <w:ind w:left="1620"/>
              <w:spacing w:after="0" w:line="191" w:lineRule="exact"/>
              <w:rPr>
                <w:sz w:val="20"/>
                <w:szCs w:val="20"/>
                <w:color w:val="auto"/>
              </w:rPr>
            </w:pPr>
            <w:r>
              <w:rPr>
                <w:rFonts w:ascii="Arial" w:cs="Arial" w:eastAsia="Arial" w:hAnsi="Arial"/>
                <w:sz w:val="20"/>
                <w:szCs w:val="20"/>
                <w:color w:val="auto"/>
              </w:rPr>
              <w:t>An admission card will be required to attend the Annual Meeting.</w:t>
            </w:r>
          </w:p>
        </w:tc>
      </w:tr>
      <w:tr>
        <w:trPr>
          <w:trHeight w:val="221"/>
        </w:trPr>
        <w:tc>
          <w:tcPr>
            <w:tcW w:w="3880" w:type="dxa"/>
            <w:vAlign w:val="bottom"/>
            <w:shd w:val="clear" w:color="auto" w:fill="E3E5EB"/>
          </w:tcPr>
          <w:p>
            <w:pPr>
              <w:spacing w:after="0"/>
              <w:rPr>
                <w:sz w:val="19"/>
                <w:szCs w:val="19"/>
                <w:color w:val="auto"/>
              </w:rPr>
            </w:pPr>
          </w:p>
        </w:tc>
        <w:tc>
          <w:tcPr>
            <w:tcW w:w="7540" w:type="dxa"/>
            <w:vAlign w:val="bottom"/>
            <w:shd w:val="clear" w:color="auto" w:fill="E3E5EB"/>
          </w:tcPr>
          <w:p>
            <w:pPr>
              <w:ind w:left="1620"/>
              <w:spacing w:after="0" w:line="221" w:lineRule="exact"/>
              <w:rPr>
                <w:sz w:val="20"/>
                <w:szCs w:val="20"/>
                <w:color w:val="auto"/>
              </w:rPr>
            </w:pPr>
            <w:r>
              <w:rPr>
                <w:rFonts w:ascii="Arial" w:cs="Arial" w:eastAsia="Arial" w:hAnsi="Arial"/>
                <w:sz w:val="20"/>
                <w:szCs w:val="20"/>
                <w:color w:val="auto"/>
                <w:w w:val="97"/>
              </w:rPr>
              <w:t>See page 11 of this Proxy Statement under the heading "Attendance</w:t>
            </w:r>
          </w:p>
        </w:tc>
      </w:tr>
      <w:tr>
        <w:trPr>
          <w:trHeight w:val="251"/>
        </w:trPr>
        <w:tc>
          <w:tcPr>
            <w:tcW w:w="3880" w:type="dxa"/>
            <w:vAlign w:val="bottom"/>
            <w:shd w:val="clear" w:color="auto" w:fill="E3E5EB"/>
          </w:tcPr>
          <w:p>
            <w:pPr>
              <w:spacing w:after="0"/>
              <w:rPr>
                <w:sz w:val="21"/>
                <w:szCs w:val="21"/>
                <w:color w:val="auto"/>
              </w:rPr>
            </w:pPr>
          </w:p>
        </w:tc>
        <w:tc>
          <w:tcPr>
            <w:tcW w:w="7540" w:type="dxa"/>
            <w:vAlign w:val="bottom"/>
            <w:shd w:val="clear" w:color="auto" w:fill="E3E5EB"/>
          </w:tcPr>
          <w:p>
            <w:pPr>
              <w:ind w:left="1620"/>
              <w:spacing w:after="0"/>
              <w:rPr>
                <w:sz w:val="20"/>
                <w:szCs w:val="20"/>
                <w:color w:val="auto"/>
              </w:rPr>
            </w:pPr>
            <w:r>
              <w:rPr>
                <w:rFonts w:ascii="Arial" w:cs="Arial" w:eastAsia="Arial" w:hAnsi="Arial"/>
                <w:sz w:val="20"/>
                <w:szCs w:val="20"/>
                <w:color w:val="auto"/>
              </w:rPr>
              <w:t>at the Annual Meeting" to obtain an admission card.</w:t>
            </w:r>
          </w:p>
        </w:tc>
      </w:tr>
      <w:tr>
        <w:trPr>
          <w:trHeight w:val="191"/>
        </w:trPr>
        <w:tc>
          <w:tcPr>
            <w:tcW w:w="3880" w:type="dxa"/>
            <w:vAlign w:val="bottom"/>
          </w:tcPr>
          <w:p>
            <w:pPr>
              <w:spacing w:after="0" w:line="191" w:lineRule="exact"/>
              <w:rPr>
                <w:sz w:val="20"/>
                <w:szCs w:val="20"/>
                <w:color w:val="auto"/>
              </w:rPr>
            </w:pPr>
            <w:r>
              <w:rPr>
                <w:rFonts w:ascii="Arial" w:cs="Arial" w:eastAsia="Arial" w:hAnsi="Arial"/>
                <w:sz w:val="20"/>
                <w:szCs w:val="20"/>
                <w:color w:val="auto"/>
              </w:rPr>
              <w:t>Delivery of Materials:</w:t>
            </w:r>
          </w:p>
        </w:tc>
        <w:tc>
          <w:tcPr>
            <w:tcW w:w="7540" w:type="dxa"/>
            <w:vAlign w:val="bottom"/>
          </w:tcPr>
          <w:p>
            <w:pPr>
              <w:ind w:left="1620"/>
              <w:spacing w:after="0" w:line="191" w:lineRule="exact"/>
              <w:rPr>
                <w:sz w:val="20"/>
                <w:szCs w:val="20"/>
                <w:color w:val="auto"/>
              </w:rPr>
            </w:pPr>
            <w:r>
              <w:rPr>
                <w:rFonts w:ascii="Arial" w:cs="Arial" w:eastAsia="Arial" w:hAnsi="Arial"/>
                <w:sz w:val="20"/>
                <w:szCs w:val="20"/>
                <w:color w:val="auto"/>
                <w:w w:val="98"/>
              </w:rPr>
              <w:t>Proxy Statement and form of proxy are first being made available to</w:t>
            </w:r>
          </w:p>
        </w:tc>
      </w:tr>
      <w:tr>
        <w:trPr>
          <w:trHeight w:val="264"/>
        </w:trPr>
        <w:tc>
          <w:tcPr>
            <w:tcW w:w="3880" w:type="dxa"/>
            <w:vAlign w:val="bottom"/>
          </w:tcPr>
          <w:p>
            <w:pPr>
              <w:spacing w:after="0"/>
              <w:rPr>
                <w:sz w:val="22"/>
                <w:szCs w:val="22"/>
                <w:color w:val="auto"/>
              </w:rPr>
            </w:pPr>
          </w:p>
        </w:tc>
        <w:tc>
          <w:tcPr>
            <w:tcW w:w="7540" w:type="dxa"/>
            <w:vAlign w:val="bottom"/>
          </w:tcPr>
          <w:p>
            <w:pPr>
              <w:ind w:left="1620"/>
              <w:spacing w:after="0"/>
              <w:rPr>
                <w:sz w:val="20"/>
                <w:szCs w:val="20"/>
                <w:color w:val="auto"/>
              </w:rPr>
            </w:pPr>
            <w:r>
              <w:rPr>
                <w:rFonts w:ascii="Arial" w:cs="Arial" w:eastAsia="Arial" w:hAnsi="Arial"/>
                <w:sz w:val="20"/>
                <w:szCs w:val="20"/>
                <w:color w:val="auto"/>
              </w:rPr>
              <w:t>shareholders on or about March 31, 2016.</w:t>
            </w:r>
          </w:p>
        </w:tc>
      </w:tr>
    </w:tbl>
    <w:p>
      <w:pPr>
        <w:spacing w:after="0" w:line="260"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Voting Matters and Board of Directors ("Board")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31750</wp:posOffset>
            </wp:positionV>
            <wp:extent cx="7259320" cy="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0" w:type="dxa"/>
            <w:vAlign w:val="bottom"/>
          </w:tcPr>
          <w:p>
            <w:pPr>
              <w:spacing w:after="0"/>
              <w:rPr>
                <w:sz w:val="19"/>
                <w:szCs w:val="19"/>
                <w:color w:val="auto"/>
              </w:rPr>
            </w:pPr>
          </w:p>
        </w:tc>
        <w:tc>
          <w:tcPr>
            <w:tcW w:w="1840" w:type="dxa"/>
            <w:vAlign w:val="bottom"/>
            <w:vMerge w:val="restart"/>
          </w:tcPr>
          <w:p>
            <w:pPr>
              <w:spacing w:after="0"/>
              <w:rPr>
                <w:sz w:val="20"/>
                <w:szCs w:val="20"/>
                <w:color w:val="auto"/>
              </w:rPr>
            </w:pPr>
            <w:r>
              <w:rPr>
                <w:rFonts w:ascii="Arial" w:cs="Arial" w:eastAsia="Arial" w:hAnsi="Arial"/>
                <w:sz w:val="20"/>
                <w:szCs w:val="20"/>
                <w:b w:val="1"/>
                <w:bCs w:val="1"/>
                <w:color w:val="3A5575"/>
              </w:rPr>
              <w:t>MATTERS</w:t>
            </w:r>
          </w:p>
        </w:tc>
        <w:tc>
          <w:tcPr>
            <w:tcW w:w="320" w:type="dxa"/>
            <w:vAlign w:val="bottom"/>
          </w:tcPr>
          <w:p>
            <w:pPr>
              <w:spacing w:after="0"/>
              <w:rPr>
                <w:sz w:val="19"/>
                <w:szCs w:val="19"/>
                <w:color w:val="auto"/>
              </w:rPr>
            </w:pPr>
          </w:p>
        </w:tc>
        <w:tc>
          <w:tcPr>
            <w:tcW w:w="5860" w:type="dxa"/>
            <w:vAlign w:val="bottom"/>
          </w:tcPr>
          <w:p>
            <w:pPr>
              <w:spacing w:after="0"/>
              <w:rPr>
                <w:sz w:val="19"/>
                <w:szCs w:val="19"/>
                <w:color w:val="auto"/>
              </w:rPr>
            </w:pPr>
          </w:p>
        </w:tc>
        <w:tc>
          <w:tcPr>
            <w:tcW w:w="2660" w:type="dxa"/>
            <w:vAlign w:val="bottom"/>
          </w:tcPr>
          <w:p>
            <w:pPr>
              <w:ind w:left="480"/>
              <w:spacing w:after="0"/>
              <w:rPr>
                <w:sz w:val="20"/>
                <w:szCs w:val="20"/>
                <w:color w:val="auto"/>
              </w:rPr>
            </w:pPr>
            <w:r>
              <w:rPr>
                <w:rFonts w:ascii="Arial" w:cs="Arial" w:eastAsia="Arial" w:hAnsi="Arial"/>
                <w:sz w:val="20"/>
                <w:szCs w:val="20"/>
                <w:b w:val="1"/>
                <w:bCs w:val="1"/>
                <w:color w:val="3A5575"/>
              </w:rPr>
              <w:t>BOARD</w:t>
            </w:r>
          </w:p>
        </w:tc>
        <w:tc>
          <w:tcPr>
            <w:tcW w:w="740" w:type="dxa"/>
            <w:vAlign w:val="bottom"/>
            <w:gridSpan w:val="2"/>
            <w:vMerge w:val="restart"/>
          </w:tcPr>
          <w:p>
            <w:pPr>
              <w:ind w:left="120"/>
              <w:spacing w:after="0"/>
              <w:rPr>
                <w:sz w:val="20"/>
                <w:szCs w:val="20"/>
                <w:color w:val="auto"/>
              </w:rPr>
            </w:pPr>
            <w:r>
              <w:rPr>
                <w:rFonts w:ascii="Arial" w:cs="Arial" w:eastAsia="Arial" w:hAnsi="Arial"/>
                <w:sz w:val="20"/>
                <w:szCs w:val="20"/>
                <w:b w:val="1"/>
                <w:bCs w:val="1"/>
                <w:color w:val="3A5575"/>
              </w:rPr>
              <w:t>PAGE</w:t>
            </w:r>
          </w:p>
        </w:tc>
        <w:tc>
          <w:tcPr>
            <w:tcW w:w="0" w:type="dxa"/>
            <w:vAlign w:val="bottom"/>
          </w:tcPr>
          <w:p>
            <w:pPr>
              <w:spacing w:after="0"/>
              <w:rPr>
                <w:sz w:val="1"/>
                <w:szCs w:val="1"/>
                <w:color w:val="auto"/>
              </w:rPr>
            </w:pPr>
          </w:p>
        </w:tc>
      </w:tr>
      <w:tr>
        <w:trPr>
          <w:trHeight w:val="255"/>
        </w:trPr>
        <w:tc>
          <w:tcPr>
            <w:tcW w:w="100" w:type="dxa"/>
            <w:vAlign w:val="bottom"/>
          </w:tcPr>
          <w:p>
            <w:pPr>
              <w:spacing w:after="0"/>
              <w:rPr>
                <w:sz w:val="22"/>
                <w:szCs w:val="22"/>
                <w:color w:val="auto"/>
              </w:rPr>
            </w:pPr>
          </w:p>
        </w:tc>
        <w:tc>
          <w:tcPr>
            <w:tcW w:w="1840" w:type="dxa"/>
            <w:vAlign w:val="bottom"/>
            <w:tcBorders>
              <w:bottom w:val="single" w:sz="8" w:color="646466"/>
            </w:tcBorders>
            <w:vMerge w:val="continue"/>
          </w:tcPr>
          <w:p>
            <w:pPr>
              <w:spacing w:after="0"/>
              <w:rPr>
                <w:sz w:val="22"/>
                <w:szCs w:val="22"/>
                <w:color w:val="auto"/>
              </w:rPr>
            </w:pPr>
          </w:p>
        </w:tc>
        <w:tc>
          <w:tcPr>
            <w:tcW w:w="320" w:type="dxa"/>
            <w:vAlign w:val="bottom"/>
            <w:tcBorders>
              <w:bottom w:val="single" w:sz="8" w:color="646466"/>
            </w:tcBorders>
          </w:tcPr>
          <w:p>
            <w:pPr>
              <w:spacing w:after="0"/>
              <w:rPr>
                <w:sz w:val="22"/>
                <w:szCs w:val="22"/>
                <w:color w:val="auto"/>
              </w:rPr>
            </w:pPr>
          </w:p>
        </w:tc>
        <w:tc>
          <w:tcPr>
            <w:tcW w:w="5860" w:type="dxa"/>
            <w:vAlign w:val="bottom"/>
            <w:tcBorders>
              <w:bottom w:val="single" w:sz="8" w:color="646466"/>
            </w:tcBorders>
          </w:tcPr>
          <w:p>
            <w:pPr>
              <w:spacing w:after="0"/>
              <w:rPr>
                <w:sz w:val="22"/>
                <w:szCs w:val="22"/>
                <w:color w:val="auto"/>
              </w:rPr>
            </w:pPr>
          </w:p>
        </w:tc>
        <w:tc>
          <w:tcPr>
            <w:tcW w:w="2660" w:type="dxa"/>
            <w:vAlign w:val="bottom"/>
            <w:tcBorders>
              <w:bottom w:val="single" w:sz="8" w:color="646466"/>
            </w:tcBorders>
          </w:tcPr>
          <w:p>
            <w:pPr>
              <w:ind w:left="480"/>
              <w:spacing w:after="0"/>
              <w:rPr>
                <w:sz w:val="20"/>
                <w:szCs w:val="20"/>
                <w:color w:val="auto"/>
              </w:rPr>
            </w:pPr>
            <w:r>
              <w:rPr>
                <w:rFonts w:ascii="Arial" w:cs="Arial" w:eastAsia="Arial" w:hAnsi="Arial"/>
                <w:sz w:val="20"/>
                <w:szCs w:val="20"/>
                <w:b w:val="1"/>
                <w:bCs w:val="1"/>
                <w:color w:val="3A5575"/>
              </w:rPr>
              <w:t>RECOMMENDATIONS</w:t>
            </w:r>
          </w:p>
        </w:tc>
        <w:tc>
          <w:tcPr>
            <w:tcW w:w="740" w:type="dxa"/>
            <w:vAlign w:val="bottom"/>
            <w:tcBorders>
              <w:bottom w:val="single" w:sz="8" w:color="646466"/>
            </w:tcBorders>
            <w:gridSpan w:val="2"/>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100" w:type="dxa"/>
            <w:vAlign w:val="bottom"/>
          </w:tcPr>
          <w:p>
            <w:pPr>
              <w:spacing w:after="0"/>
              <w:rPr>
                <w:sz w:val="18"/>
                <w:szCs w:val="18"/>
                <w:color w:val="auto"/>
              </w:rPr>
            </w:pPr>
          </w:p>
        </w:tc>
        <w:tc>
          <w:tcPr>
            <w:tcW w:w="184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Election of directors</w:t>
            </w:r>
          </w:p>
        </w:tc>
        <w:tc>
          <w:tcPr>
            <w:tcW w:w="320" w:type="dxa"/>
            <w:vAlign w:val="bottom"/>
            <w:shd w:val="clear" w:color="auto" w:fill="E3E5EB"/>
          </w:tcPr>
          <w:p>
            <w:pPr>
              <w:spacing w:after="0"/>
              <w:rPr>
                <w:sz w:val="18"/>
                <w:szCs w:val="18"/>
                <w:color w:val="auto"/>
              </w:rPr>
            </w:pPr>
          </w:p>
        </w:tc>
        <w:tc>
          <w:tcPr>
            <w:tcW w:w="5860" w:type="dxa"/>
            <w:vAlign w:val="bottom"/>
            <w:shd w:val="clear" w:color="auto" w:fill="E3E5EB"/>
          </w:tcPr>
          <w:p>
            <w:pPr>
              <w:spacing w:after="0"/>
              <w:rPr>
                <w:sz w:val="18"/>
                <w:szCs w:val="18"/>
                <w:color w:val="auto"/>
              </w:rPr>
            </w:pPr>
          </w:p>
        </w:tc>
        <w:tc>
          <w:tcPr>
            <w:tcW w:w="2660" w:type="dxa"/>
            <w:vAlign w:val="bottom"/>
            <w:shd w:val="clear" w:color="auto" w:fill="E3E5EB"/>
          </w:tcPr>
          <w:p>
            <w:pPr>
              <w:ind w:left="480"/>
              <w:spacing w:after="0" w:line="213" w:lineRule="exact"/>
              <w:rPr>
                <w:sz w:val="20"/>
                <w:szCs w:val="20"/>
                <w:color w:val="auto"/>
              </w:rPr>
            </w:pPr>
            <w:r>
              <w:rPr>
                <w:rFonts w:ascii="Times New Roman" w:cs="Times New Roman" w:eastAsia="Times New Roman" w:hAnsi="Times New Roman"/>
                <w:sz w:val="20"/>
                <w:szCs w:val="20"/>
                <w:color w:val="auto"/>
              </w:rPr>
              <w:t xml:space="preserve">ü </w:t>
            </w:r>
            <w:r>
              <w:rPr>
                <w:rFonts w:ascii="Arial" w:cs="Arial" w:eastAsia="Arial" w:hAnsi="Arial"/>
                <w:sz w:val="20"/>
                <w:szCs w:val="20"/>
                <w:b w:val="1"/>
                <w:bCs w:val="1"/>
                <w:color w:val="3A5575"/>
              </w:rPr>
              <w:t>FOR</w:t>
            </w:r>
            <w:r>
              <w:rPr>
                <w:rFonts w:ascii="Times New Roman" w:cs="Times New Roman" w:eastAsia="Times New Roman" w:hAnsi="Times New Roman"/>
                <w:sz w:val="20"/>
                <w:szCs w:val="20"/>
                <w:color w:val="auto"/>
              </w:rPr>
              <w:t xml:space="preserve"> </w:t>
            </w:r>
            <w:r>
              <w:rPr>
                <w:rFonts w:ascii="Arial" w:cs="Arial" w:eastAsia="Arial" w:hAnsi="Arial"/>
                <w:sz w:val="20"/>
                <w:szCs w:val="20"/>
                <w:color w:val="auto"/>
              </w:rPr>
              <w:t>each nominee</w:t>
            </w:r>
          </w:p>
        </w:tc>
        <w:tc>
          <w:tcPr>
            <w:tcW w:w="640" w:type="dxa"/>
            <w:vAlign w:val="bottom"/>
            <w:shd w:val="clear" w:color="auto" w:fill="E3E5EB"/>
          </w:tcPr>
          <w:p>
            <w:pPr>
              <w:jc w:val="right"/>
              <w:ind w:right="2"/>
              <w:spacing w:after="0" w:line="213" w:lineRule="exact"/>
              <w:rPr>
                <w:sz w:val="20"/>
                <w:szCs w:val="20"/>
                <w:color w:val="auto"/>
              </w:rPr>
            </w:pPr>
            <w:r>
              <w:rPr>
                <w:rFonts w:ascii="Arial" w:cs="Arial" w:eastAsia="Arial" w:hAnsi="Arial"/>
                <w:sz w:val="20"/>
                <w:szCs w:val="20"/>
                <w:color w:val="auto"/>
              </w:rPr>
              <w:t>25</w:t>
            </w:r>
          </w:p>
        </w:tc>
        <w:tc>
          <w:tcPr>
            <w:tcW w:w="100" w:type="dxa"/>
            <w:vAlign w:val="bottom"/>
            <w:shd w:val="clear" w:color="auto" w:fill="E3E5EB"/>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8020" w:type="dxa"/>
            <w:vAlign w:val="bottom"/>
            <w:gridSpan w:val="3"/>
          </w:tcPr>
          <w:p>
            <w:pPr>
              <w:spacing w:after="0" w:line="221" w:lineRule="exact"/>
              <w:rPr>
                <w:sz w:val="20"/>
                <w:szCs w:val="20"/>
                <w:color w:val="auto"/>
              </w:rPr>
            </w:pPr>
            <w:r>
              <w:rPr>
                <w:rFonts w:ascii="Arial" w:cs="Arial" w:eastAsia="Arial" w:hAnsi="Arial"/>
                <w:sz w:val="20"/>
                <w:szCs w:val="20"/>
                <w:color w:val="auto"/>
              </w:rPr>
              <w:t>Advisory vote to approve executive compensation</w:t>
            </w:r>
          </w:p>
        </w:tc>
        <w:tc>
          <w:tcPr>
            <w:tcW w:w="2660" w:type="dxa"/>
            <w:vAlign w:val="bottom"/>
          </w:tcPr>
          <w:p>
            <w:pPr>
              <w:ind w:left="480"/>
              <w:spacing w:after="0" w:line="221" w:lineRule="exact"/>
              <w:rPr>
                <w:sz w:val="20"/>
                <w:szCs w:val="20"/>
                <w:color w:val="auto"/>
              </w:rPr>
            </w:pPr>
            <w:r>
              <w:rPr>
                <w:rFonts w:ascii="Times New Roman" w:cs="Times New Roman" w:eastAsia="Times New Roman" w:hAnsi="Times New Roman"/>
                <w:sz w:val="20"/>
                <w:szCs w:val="20"/>
                <w:color w:val="auto"/>
              </w:rPr>
              <w:t xml:space="preserve">ü </w:t>
            </w:r>
            <w:r>
              <w:rPr>
                <w:rFonts w:ascii="Arial" w:cs="Arial" w:eastAsia="Arial" w:hAnsi="Arial"/>
                <w:sz w:val="20"/>
                <w:szCs w:val="20"/>
                <w:b w:val="1"/>
                <w:bCs w:val="1"/>
                <w:color w:val="3A5575"/>
              </w:rPr>
              <w:t>FOR</w:t>
            </w:r>
          </w:p>
        </w:tc>
        <w:tc>
          <w:tcPr>
            <w:tcW w:w="640" w:type="dxa"/>
            <w:vAlign w:val="bottom"/>
          </w:tcPr>
          <w:p>
            <w:pPr>
              <w:jc w:val="right"/>
              <w:ind w:right="2"/>
              <w:spacing w:after="0" w:line="221" w:lineRule="exact"/>
              <w:rPr>
                <w:sz w:val="20"/>
                <w:szCs w:val="20"/>
                <w:color w:val="auto"/>
              </w:rPr>
            </w:pPr>
            <w:r>
              <w:rPr>
                <w:rFonts w:ascii="Arial" w:cs="Arial" w:eastAsia="Arial" w:hAnsi="Arial"/>
                <w:sz w:val="20"/>
                <w:szCs w:val="20"/>
                <w:color w:val="auto"/>
              </w:rPr>
              <w:t>91</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8020" w:type="dxa"/>
            <w:vAlign w:val="bottom"/>
            <w:gridSpan w:val="3"/>
            <w:shd w:val="clear" w:color="auto" w:fill="E3E5EB"/>
          </w:tcPr>
          <w:p>
            <w:pPr>
              <w:spacing w:after="0" w:line="221" w:lineRule="exact"/>
              <w:rPr>
                <w:sz w:val="20"/>
                <w:szCs w:val="20"/>
                <w:color w:val="auto"/>
              </w:rPr>
            </w:pPr>
            <w:r>
              <w:rPr>
                <w:rFonts w:ascii="Arial" w:cs="Arial" w:eastAsia="Arial" w:hAnsi="Arial"/>
                <w:sz w:val="20"/>
                <w:szCs w:val="20"/>
                <w:color w:val="auto"/>
              </w:rPr>
              <w:t>Ratification of Deloitte &amp; Touche LLP ("D&amp;T") as our independent accountants for 2016</w:t>
            </w:r>
          </w:p>
        </w:tc>
        <w:tc>
          <w:tcPr>
            <w:tcW w:w="2660" w:type="dxa"/>
            <w:vAlign w:val="bottom"/>
            <w:shd w:val="clear" w:color="auto" w:fill="E3E5EB"/>
          </w:tcPr>
          <w:p>
            <w:pPr>
              <w:ind w:left="480"/>
              <w:spacing w:after="0" w:line="221" w:lineRule="exact"/>
              <w:rPr>
                <w:sz w:val="20"/>
                <w:szCs w:val="20"/>
                <w:color w:val="auto"/>
              </w:rPr>
            </w:pPr>
            <w:r>
              <w:rPr>
                <w:rFonts w:ascii="Times New Roman" w:cs="Times New Roman" w:eastAsia="Times New Roman" w:hAnsi="Times New Roman"/>
                <w:sz w:val="20"/>
                <w:szCs w:val="20"/>
                <w:color w:val="auto"/>
              </w:rPr>
              <w:t xml:space="preserve">ü </w:t>
            </w:r>
            <w:r>
              <w:rPr>
                <w:rFonts w:ascii="Arial" w:cs="Arial" w:eastAsia="Arial" w:hAnsi="Arial"/>
                <w:sz w:val="20"/>
                <w:szCs w:val="20"/>
                <w:b w:val="1"/>
                <w:bCs w:val="1"/>
                <w:color w:val="3A5575"/>
              </w:rPr>
              <w:t>FOR</w:t>
            </w:r>
          </w:p>
        </w:tc>
        <w:tc>
          <w:tcPr>
            <w:tcW w:w="640" w:type="dxa"/>
            <w:vAlign w:val="bottom"/>
            <w:shd w:val="clear" w:color="auto" w:fill="E3E5EB"/>
          </w:tcPr>
          <w:p>
            <w:pPr>
              <w:jc w:val="right"/>
              <w:ind w:right="2"/>
              <w:spacing w:after="0" w:line="221" w:lineRule="exact"/>
              <w:rPr>
                <w:sz w:val="20"/>
                <w:szCs w:val="20"/>
                <w:color w:val="auto"/>
              </w:rPr>
            </w:pPr>
            <w:r>
              <w:rPr>
                <w:rFonts w:ascii="Arial" w:cs="Arial" w:eastAsia="Arial" w:hAnsi="Arial"/>
                <w:sz w:val="20"/>
                <w:szCs w:val="20"/>
                <w:color w:val="auto"/>
              </w:rPr>
              <w:t>92</w:t>
            </w:r>
          </w:p>
        </w:tc>
        <w:tc>
          <w:tcPr>
            <w:tcW w:w="10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78"/>
        </w:trPr>
        <w:tc>
          <w:tcPr>
            <w:tcW w:w="100" w:type="dxa"/>
            <w:vAlign w:val="bottom"/>
          </w:tcPr>
          <w:p>
            <w:pPr>
              <w:spacing w:after="0"/>
              <w:rPr>
                <w:sz w:val="24"/>
                <w:szCs w:val="24"/>
                <w:color w:val="auto"/>
              </w:rPr>
            </w:pPr>
          </w:p>
        </w:tc>
        <w:tc>
          <w:tcPr>
            <w:tcW w:w="8020" w:type="dxa"/>
            <w:vAlign w:val="bottom"/>
            <w:gridSpan w:val="3"/>
          </w:tcPr>
          <w:p>
            <w:pPr>
              <w:spacing w:after="0"/>
              <w:rPr>
                <w:sz w:val="20"/>
                <w:szCs w:val="20"/>
                <w:color w:val="auto"/>
              </w:rPr>
            </w:pPr>
            <w:r>
              <w:rPr>
                <w:rFonts w:ascii="Arial" w:cs="Arial" w:eastAsia="Arial" w:hAnsi="Arial"/>
                <w:sz w:val="20"/>
                <w:szCs w:val="20"/>
                <w:color w:val="auto"/>
              </w:rPr>
              <w:t>Shareholder proposal, if properly presented at the Annual Meeting</w:t>
            </w:r>
          </w:p>
        </w:tc>
        <w:tc>
          <w:tcPr>
            <w:tcW w:w="2660" w:type="dxa"/>
            <w:vAlign w:val="bottom"/>
          </w:tcPr>
          <w:p>
            <w:pPr>
              <w:ind w:left="480"/>
              <w:spacing w:after="0"/>
              <w:rPr>
                <w:sz w:val="20"/>
                <w:szCs w:val="20"/>
                <w:color w:val="auto"/>
              </w:rPr>
            </w:pPr>
            <w:r>
              <w:rPr>
                <w:rFonts w:ascii="Arial" w:cs="Arial" w:eastAsia="Arial" w:hAnsi="Arial"/>
                <w:sz w:val="20"/>
                <w:szCs w:val="20"/>
                <w:b w:val="1"/>
                <w:bCs w:val="1"/>
                <w:color w:val="auto"/>
              </w:rPr>
              <w:t xml:space="preserve">X </w:t>
            </w:r>
            <w:r>
              <w:rPr>
                <w:rFonts w:ascii="Arial" w:cs="Arial" w:eastAsia="Arial" w:hAnsi="Arial"/>
                <w:sz w:val="20"/>
                <w:szCs w:val="20"/>
                <w:b w:val="1"/>
                <w:bCs w:val="1"/>
                <w:color w:val="3A5575"/>
              </w:rPr>
              <w:t>AGAINST</w:t>
            </w:r>
          </w:p>
        </w:tc>
        <w:tc>
          <w:tcPr>
            <w:tcW w:w="640" w:type="dxa"/>
            <w:vAlign w:val="bottom"/>
          </w:tcPr>
          <w:p>
            <w:pPr>
              <w:jc w:val="right"/>
              <w:ind w:right="2"/>
              <w:spacing w:after="0"/>
              <w:rPr>
                <w:sz w:val="20"/>
                <w:szCs w:val="20"/>
                <w:color w:val="auto"/>
              </w:rPr>
            </w:pPr>
            <w:r>
              <w:rPr>
                <w:rFonts w:ascii="Arial" w:cs="Arial" w:eastAsia="Arial" w:hAnsi="Arial"/>
                <w:sz w:val="20"/>
                <w:szCs w:val="20"/>
                <w:color w:val="auto"/>
              </w:rPr>
              <w:t>96</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8"/>
        </w:trPr>
        <w:tc>
          <w:tcPr>
            <w:tcW w:w="1940" w:type="dxa"/>
            <w:vAlign w:val="bottom"/>
            <w:gridSpan w:val="2"/>
          </w:tcPr>
          <w:p>
            <w:pPr>
              <w:jc w:val="right"/>
              <w:ind w:right="1702"/>
              <w:spacing w:after="0"/>
              <w:rPr>
                <w:sz w:val="20"/>
                <w:szCs w:val="20"/>
                <w:color w:val="auto"/>
              </w:rPr>
            </w:pPr>
            <w:r>
              <w:rPr>
                <w:rFonts w:ascii="Arial" w:cs="Arial" w:eastAsia="Arial" w:hAnsi="Arial"/>
                <w:sz w:val="16"/>
                <w:szCs w:val="16"/>
                <w:b w:val="1"/>
                <w:bCs w:val="1"/>
                <w:color w:val="auto"/>
              </w:rPr>
              <w:t>6</w:t>
            </w:r>
          </w:p>
        </w:tc>
        <w:tc>
          <w:tcPr>
            <w:tcW w:w="32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5860" w:type="dxa"/>
            <w:vAlign w:val="bottom"/>
          </w:tcPr>
          <w:p>
            <w:pPr>
              <w:ind w:left="120"/>
              <w:spacing w:after="0"/>
              <w:rPr>
                <w:sz w:val="20"/>
                <w:szCs w:val="20"/>
                <w:color w:val="auto"/>
              </w:rPr>
            </w:pPr>
            <w:r>
              <w:rPr>
                <w:rFonts w:ascii="Arial" w:cs="Arial" w:eastAsia="Arial" w:hAnsi="Arial"/>
                <w:sz w:val="16"/>
                <w:szCs w:val="16"/>
                <w:color w:val="auto"/>
              </w:rPr>
              <w:t>2016 Proxy Statement</w:t>
            </w:r>
          </w:p>
        </w:tc>
        <w:tc>
          <w:tcPr>
            <w:tcW w:w="26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100" w:type="dxa"/>
            <w:vAlign w:val="bottom"/>
          </w:tcPr>
          <w:p>
            <w:pPr>
              <w:spacing w:after="0"/>
              <w:rPr>
                <w:sz w:val="5"/>
                <w:szCs w:val="5"/>
                <w:color w:val="auto"/>
              </w:rPr>
            </w:pPr>
          </w:p>
        </w:tc>
        <w:tc>
          <w:tcPr>
            <w:tcW w:w="1840" w:type="dxa"/>
            <w:vAlign w:val="bottom"/>
          </w:tcPr>
          <w:p>
            <w:pPr>
              <w:spacing w:after="0"/>
              <w:rPr>
                <w:sz w:val="5"/>
                <w:szCs w:val="5"/>
                <w:color w:val="auto"/>
              </w:rPr>
            </w:pPr>
          </w:p>
        </w:tc>
        <w:tc>
          <w:tcPr>
            <w:tcW w:w="320" w:type="dxa"/>
            <w:vAlign w:val="bottom"/>
            <w:vMerge w:val="continue"/>
          </w:tcPr>
          <w:p>
            <w:pPr>
              <w:spacing w:after="0"/>
              <w:rPr>
                <w:sz w:val="5"/>
                <w:szCs w:val="5"/>
                <w:color w:val="auto"/>
              </w:rPr>
            </w:pPr>
          </w:p>
        </w:tc>
        <w:tc>
          <w:tcPr>
            <w:tcW w:w="5860" w:type="dxa"/>
            <w:vAlign w:val="bottom"/>
          </w:tcPr>
          <w:p>
            <w:pPr>
              <w:spacing w:after="0"/>
              <w:rPr>
                <w:sz w:val="5"/>
                <w:szCs w:val="5"/>
                <w:color w:val="auto"/>
              </w:rPr>
            </w:pPr>
          </w:p>
        </w:tc>
        <w:tc>
          <w:tcPr>
            <w:tcW w:w="266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00" w:type="dxa"/>
            <w:vAlign w:val="bottom"/>
            <w:tcBorders>
              <w:bottom w:val="single" w:sz="8" w:color="808080"/>
            </w:tcBorders>
          </w:tcPr>
          <w:p>
            <w:pPr>
              <w:spacing w:after="0"/>
              <w:rPr>
                <w:sz w:val="11"/>
                <w:szCs w:val="11"/>
                <w:color w:val="auto"/>
              </w:rPr>
            </w:pPr>
          </w:p>
        </w:tc>
        <w:tc>
          <w:tcPr>
            <w:tcW w:w="1840" w:type="dxa"/>
            <w:vAlign w:val="bottom"/>
            <w:tcBorders>
              <w:bottom w:val="single" w:sz="8" w:color="808080"/>
            </w:tcBorders>
          </w:tcPr>
          <w:p>
            <w:pPr>
              <w:spacing w:after="0"/>
              <w:rPr>
                <w:sz w:val="11"/>
                <w:szCs w:val="11"/>
                <w:color w:val="auto"/>
              </w:rPr>
            </w:pPr>
          </w:p>
        </w:tc>
        <w:tc>
          <w:tcPr>
            <w:tcW w:w="320" w:type="dxa"/>
            <w:vAlign w:val="bottom"/>
            <w:tcBorders>
              <w:bottom w:val="single" w:sz="8" w:color="808080"/>
            </w:tcBorders>
          </w:tcPr>
          <w:p>
            <w:pPr>
              <w:spacing w:after="0"/>
              <w:rPr>
                <w:sz w:val="11"/>
                <w:szCs w:val="11"/>
                <w:color w:val="auto"/>
              </w:rPr>
            </w:pPr>
          </w:p>
        </w:tc>
        <w:tc>
          <w:tcPr>
            <w:tcW w:w="5860" w:type="dxa"/>
            <w:vAlign w:val="bottom"/>
            <w:tcBorders>
              <w:bottom w:val="single" w:sz="8" w:color="808080"/>
            </w:tcBorders>
          </w:tcPr>
          <w:p>
            <w:pPr>
              <w:spacing w:after="0"/>
              <w:rPr>
                <w:sz w:val="11"/>
                <w:szCs w:val="11"/>
                <w:color w:val="auto"/>
              </w:rPr>
            </w:pPr>
          </w:p>
        </w:tc>
        <w:tc>
          <w:tcPr>
            <w:tcW w:w="2660" w:type="dxa"/>
            <w:vAlign w:val="bottom"/>
            <w:tcBorders>
              <w:bottom w:val="single" w:sz="8" w:color="808080"/>
            </w:tcBorders>
          </w:tcPr>
          <w:p>
            <w:pPr>
              <w:spacing w:after="0"/>
              <w:rPr>
                <w:sz w:val="11"/>
                <w:szCs w:val="11"/>
                <w:color w:val="auto"/>
              </w:rPr>
            </w:pPr>
          </w:p>
        </w:tc>
        <w:tc>
          <w:tcPr>
            <w:tcW w:w="640" w:type="dxa"/>
            <w:vAlign w:val="bottom"/>
            <w:tcBorders>
              <w:bottom w:val="single" w:sz="8" w:color="808080"/>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263525</wp:posOffset>
            </wp:positionH>
            <wp:positionV relativeFrom="paragraph">
              <wp:posOffset>-290195</wp:posOffset>
            </wp:positionV>
            <wp:extent cx="841375" cy="16383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15" w:name="page16"/>
    <w:bookmarkEnd w:id="15"/>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3"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Director Nominees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spacing w:after="0"/>
        <w:rPr>
          <w:sz w:val="20"/>
          <w:szCs w:val="20"/>
          <w:color w:val="auto"/>
        </w:rPr>
      </w:pPr>
      <w:r>
        <w:rPr>
          <w:rFonts w:ascii="Arial" w:cs="Arial" w:eastAsia="Arial" w:hAnsi="Arial"/>
          <w:sz w:val="20"/>
          <w:szCs w:val="20"/>
          <w:color w:val="auto"/>
        </w:rPr>
        <w:t>Our director nominees 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5327650" cy="41205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327650" cy="4120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right"/>
        <w:spacing w:after="0"/>
        <w:tabs>
          <w:tab w:leader="none" w:pos="200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16" w:name="page17"/>
    <w:bookmarkEnd w:id="16"/>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39"/>
          <w:szCs w:val="39"/>
          <w:b w:val="1"/>
          <w:bCs w:val="1"/>
          <w:color w:val="3A5575"/>
        </w:rPr>
        <w:t>Proxy Statement — General Information</w:t>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Place, Date and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280"/>
        <w:spacing w:after="0" w:line="265" w:lineRule="auto"/>
        <w:rPr>
          <w:sz w:val="20"/>
          <w:szCs w:val="20"/>
          <w:color w:val="auto"/>
        </w:rPr>
      </w:pPr>
      <w:r>
        <w:rPr>
          <w:rFonts w:ascii="Arial" w:cs="Arial" w:eastAsia="Arial" w:hAnsi="Arial"/>
          <w:sz w:val="20"/>
          <w:szCs w:val="20"/>
          <w:color w:val="auto"/>
        </w:rPr>
        <w:t>The Company's 2016 Annual Meeting of Shareholders ("Annual Meeting") will be held at the Heard Museum, 2301 North Central Avenue, Phoenix, Arizona 85004, at 10:30 a.m., Mountain Standard Time, on Wednesday, May 18, 2016.</w:t>
      </w:r>
    </w:p>
    <w:p>
      <w:pPr>
        <w:spacing w:after="0" w:line="126"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Notice of Internet Availability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80"/>
        <w:spacing w:after="0" w:line="242" w:lineRule="auto"/>
        <w:rPr>
          <w:sz w:val="20"/>
          <w:szCs w:val="20"/>
          <w:color w:val="auto"/>
        </w:rPr>
      </w:pPr>
      <w:r>
        <w:rPr>
          <w:rFonts w:ascii="Arial" w:cs="Arial" w:eastAsia="Arial" w:hAnsi="Arial"/>
          <w:sz w:val="20"/>
          <w:szCs w:val="20"/>
          <w:color w:val="auto"/>
        </w:rPr>
        <w:t>Unless you elected to receive printed copies of the proxy materials in prior years, you will receive a Notice of Internet Availability of Proxy Materials by mail (the "Internet Notice"). The Internet Notice will tell you how to access and review the proxy materials. If you received an Internet Notice by mail and would like to receive a printed copy of the proxy materials, you should follow the instructions included on the Internet Notice.</w:t>
      </w:r>
    </w:p>
    <w:p>
      <w:pPr>
        <w:spacing w:after="0" w:line="152" w:lineRule="exact"/>
        <w:rPr>
          <w:sz w:val="20"/>
          <w:szCs w:val="20"/>
          <w:color w:val="auto"/>
        </w:rPr>
      </w:pPr>
    </w:p>
    <w:p>
      <w:pPr>
        <w:ind w:right="500"/>
        <w:spacing w:after="0" w:line="265" w:lineRule="auto"/>
        <w:rPr>
          <w:sz w:val="20"/>
          <w:szCs w:val="20"/>
          <w:color w:val="auto"/>
        </w:rPr>
      </w:pPr>
      <w:r>
        <w:rPr>
          <w:rFonts w:ascii="Arial" w:cs="Arial" w:eastAsia="Arial" w:hAnsi="Arial"/>
          <w:sz w:val="20"/>
          <w:szCs w:val="20"/>
          <w:color w:val="auto"/>
        </w:rPr>
        <w:t>The Internet Notice is first being sent to shareholders on or about March 31, 2016. The Proxy Statement and the form of proxy relating to the Annual Meeting are first being made available to shareholders on or about March 31, 2016.</w:t>
      </w:r>
    </w:p>
    <w:p>
      <w:pPr>
        <w:spacing w:after="0" w:line="126"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Record Date; Shareholders Entitled to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120"/>
        <w:spacing w:after="0" w:line="239" w:lineRule="auto"/>
        <w:rPr>
          <w:sz w:val="20"/>
          <w:szCs w:val="20"/>
          <w:color w:val="auto"/>
        </w:rPr>
      </w:pPr>
      <w:r>
        <w:rPr>
          <w:rFonts w:ascii="Arial" w:cs="Arial" w:eastAsia="Arial" w:hAnsi="Arial"/>
          <w:sz w:val="20"/>
          <w:szCs w:val="20"/>
          <w:color w:val="auto"/>
        </w:rPr>
        <w:t>All shareholders at the close of business on March 10, 2016 (the "Record Date") are entitled to vote at the meeting. Each holder of outstanding Company common stock is entitled to one vote per share held as of the record date on all matters on which shareholders are entitled to vote, except for the election of directors, in which case "cumulative" voting applies (see "Vote Required — Election of directors"). At the close of business on the Record Date, there were 111,138,441 shares of common stock outstanding.</w:t>
      </w:r>
    </w:p>
    <w:p>
      <w:pPr>
        <w:spacing w:after="0" w:line="151"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9" w:lineRule="exact"/>
        <w:rPr>
          <w:sz w:val="20"/>
          <w:szCs w:val="20"/>
          <w:color w:val="auto"/>
        </w:rPr>
      </w:pPr>
    </w:p>
    <w:p>
      <w:pPr>
        <w:ind w:left="940" w:right="160"/>
        <w:spacing w:after="0" w:line="269" w:lineRule="auto"/>
        <w:rPr>
          <w:sz w:val="20"/>
          <w:szCs w:val="20"/>
          <w:color w:val="auto"/>
        </w:rPr>
      </w:pPr>
      <w:r>
        <w:rPr>
          <w:rFonts w:ascii="Arial" w:cs="Arial" w:eastAsia="Arial" w:hAnsi="Arial"/>
          <w:sz w:val="20"/>
          <w:szCs w:val="20"/>
          <w:b w:val="1"/>
          <w:bCs w:val="1"/>
          <w:color w:val="auto"/>
        </w:rPr>
        <w:t>Vote by Internet</w:t>
      </w:r>
      <w:r>
        <w:rPr>
          <w:rFonts w:ascii="Arial" w:cs="Arial" w:eastAsia="Arial" w:hAnsi="Arial"/>
          <w:sz w:val="20"/>
          <w:szCs w:val="20"/>
          <w:color w:val="auto"/>
        </w:rPr>
        <w:t>. The website address for Internet voting is on the proxy card and the Internet Notice. Internet voting is</w:t>
      </w:r>
      <w:r>
        <w:rPr>
          <w:rFonts w:ascii="Arial" w:cs="Arial" w:eastAsia="Arial" w:hAnsi="Arial"/>
          <w:sz w:val="20"/>
          <w:szCs w:val="20"/>
          <w:b w:val="1"/>
          <w:bCs w:val="1"/>
          <w:color w:val="auto"/>
        </w:rPr>
        <w:t xml:space="preserve"> </w:t>
      </w:r>
      <w:r>
        <w:rPr>
          <w:rFonts w:ascii="Arial" w:cs="Arial" w:eastAsia="Arial" w:hAnsi="Arial"/>
          <w:sz w:val="20"/>
          <w:szCs w:val="20"/>
          <w:color w:val="auto"/>
        </w:rPr>
        <w:t>available 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-305435</wp:posOffset>
            </wp:positionV>
            <wp:extent cx="467360" cy="3505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467360" cy="350520"/>
                    </a:xfrm>
                    <a:prstGeom prst="rect">
                      <a:avLst/>
                    </a:prstGeom>
                    <a:noFill/>
                  </pic:spPr>
                </pic:pic>
              </a:graphicData>
            </a:graphic>
          </wp:anchor>
        </w:drawing>
      </w:r>
    </w:p>
    <w:p>
      <w:pPr>
        <w:spacing w:after="0" w:line="237" w:lineRule="exact"/>
        <w:rPr>
          <w:sz w:val="20"/>
          <w:szCs w:val="20"/>
          <w:color w:val="auto"/>
        </w:rPr>
      </w:pPr>
    </w:p>
    <w:p>
      <w:pPr>
        <w:ind w:left="940" w:right="660"/>
        <w:spacing w:after="0" w:line="269" w:lineRule="auto"/>
        <w:rPr>
          <w:sz w:val="20"/>
          <w:szCs w:val="20"/>
          <w:color w:val="auto"/>
        </w:rPr>
      </w:pPr>
      <w:r>
        <w:rPr>
          <w:rFonts w:ascii="Arial" w:cs="Arial" w:eastAsia="Arial" w:hAnsi="Arial"/>
          <w:sz w:val="20"/>
          <w:szCs w:val="20"/>
          <w:b w:val="1"/>
          <w:bCs w:val="1"/>
          <w:color w:val="auto"/>
        </w:rPr>
        <w:t>Vote by telephone</w:t>
      </w:r>
      <w:r>
        <w:rPr>
          <w:rFonts w:ascii="Arial" w:cs="Arial" w:eastAsia="Arial" w:hAnsi="Arial"/>
          <w:sz w:val="20"/>
          <w:szCs w:val="20"/>
          <w:color w:val="auto"/>
        </w:rPr>
        <w:t>. The toll-free number for telephone voting is on your proxy card. Telephone voting is available</w:t>
      </w:r>
      <w:r>
        <w:rPr>
          <w:rFonts w:ascii="Arial" w:cs="Arial" w:eastAsia="Arial" w:hAnsi="Arial"/>
          <w:sz w:val="20"/>
          <w:szCs w:val="20"/>
          <w:b w:val="1"/>
          <w:bCs w:val="1"/>
          <w:color w:val="auto"/>
        </w:rPr>
        <w:t xml:space="preserve"> </w:t>
      </w:r>
      <w:r>
        <w:rPr>
          <w:rFonts w:ascii="Arial" w:cs="Arial" w:eastAsia="Arial" w:hAnsi="Arial"/>
          <w:sz w:val="20"/>
          <w:szCs w:val="20"/>
          <w:color w:val="auto"/>
        </w:rPr>
        <w:t>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131445</wp:posOffset>
            </wp:positionH>
            <wp:positionV relativeFrom="paragraph">
              <wp:posOffset>-305435</wp:posOffset>
            </wp:positionV>
            <wp:extent cx="210185" cy="3505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210185" cy="350520"/>
                    </a:xfrm>
                    <a:prstGeom prst="rect">
                      <a:avLst/>
                    </a:prstGeom>
                    <a:noFill/>
                  </pic:spPr>
                </pic:pic>
              </a:graphicData>
            </a:graphic>
          </wp:anchor>
        </w:drawing>
      </w:r>
    </w:p>
    <w:p>
      <w:pPr>
        <w:spacing w:after="0" w:line="237" w:lineRule="exact"/>
        <w:rPr>
          <w:sz w:val="20"/>
          <w:szCs w:val="20"/>
          <w:color w:val="auto"/>
        </w:rPr>
      </w:pPr>
    </w:p>
    <w:p>
      <w:pPr>
        <w:ind w:left="940"/>
        <w:spacing w:after="0"/>
        <w:rPr>
          <w:sz w:val="20"/>
          <w:szCs w:val="20"/>
          <w:color w:val="auto"/>
        </w:rPr>
      </w:pPr>
      <w:r>
        <w:rPr>
          <w:rFonts w:ascii="Arial" w:cs="Arial" w:eastAsia="Arial" w:hAnsi="Arial"/>
          <w:sz w:val="20"/>
          <w:szCs w:val="20"/>
          <w:b w:val="1"/>
          <w:bCs w:val="1"/>
          <w:color w:val="auto"/>
        </w:rPr>
        <w:t xml:space="preserve">Scan this QR device. </w:t>
      </w:r>
      <w:r>
        <w:rPr>
          <w:rFonts w:ascii="Arial" w:cs="Arial" w:eastAsia="Arial" w:hAnsi="Arial"/>
          <w:sz w:val="20"/>
          <w:szCs w:val="20"/>
          <w:color w:val="auto"/>
        </w:rPr>
        <w:t>The QR system is available 24 hours 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-123825</wp:posOffset>
            </wp:positionV>
            <wp:extent cx="350520" cy="3505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350520" cy="350520"/>
                    </a:xfrm>
                    <a:prstGeom prst="rect">
                      <a:avLst/>
                    </a:prstGeom>
                    <a:noFill/>
                  </pic:spPr>
                </pic:pic>
              </a:graphicData>
            </a:graphic>
          </wp:anchor>
        </w:drawing>
      </w:r>
    </w:p>
    <w:p>
      <w:pPr>
        <w:spacing w:after="0" w:line="200" w:lineRule="exact"/>
        <w:rPr>
          <w:sz w:val="20"/>
          <w:szCs w:val="20"/>
          <w:color w:val="auto"/>
        </w:rPr>
      </w:pPr>
    </w:p>
    <w:p>
      <w:pPr>
        <w:spacing w:after="0" w:line="323" w:lineRule="exact"/>
        <w:rPr>
          <w:sz w:val="20"/>
          <w:szCs w:val="20"/>
          <w:color w:val="auto"/>
        </w:rPr>
      </w:pPr>
    </w:p>
    <w:p>
      <w:pPr>
        <w:ind w:left="940" w:right="240"/>
        <w:spacing w:after="0" w:line="269" w:lineRule="auto"/>
        <w:rPr>
          <w:sz w:val="20"/>
          <w:szCs w:val="20"/>
          <w:color w:val="auto"/>
        </w:rPr>
      </w:pPr>
      <w:r>
        <w:rPr>
          <w:rFonts w:ascii="Arial" w:cs="Arial" w:eastAsia="Arial" w:hAnsi="Arial"/>
          <w:sz w:val="20"/>
          <w:szCs w:val="20"/>
          <w:b w:val="1"/>
          <w:bCs w:val="1"/>
          <w:color w:val="auto"/>
        </w:rPr>
        <w:t>Vote by mail</w:t>
      </w:r>
      <w:r>
        <w:rPr>
          <w:rFonts w:ascii="Arial" w:cs="Arial" w:eastAsia="Arial" w:hAnsi="Arial"/>
          <w:sz w:val="20"/>
          <w:szCs w:val="20"/>
          <w:color w:val="auto"/>
        </w:rPr>
        <w:t>. You may vote by mail by promptly marking, signing, dating, and mailing your proxy card (a postage-paid</w:t>
      </w:r>
      <w:r>
        <w:rPr>
          <w:rFonts w:ascii="Arial" w:cs="Arial" w:eastAsia="Arial" w:hAnsi="Arial"/>
          <w:sz w:val="20"/>
          <w:szCs w:val="20"/>
          <w:b w:val="1"/>
          <w:bCs w:val="1"/>
          <w:color w:val="auto"/>
        </w:rPr>
        <w:t xml:space="preserve"> </w:t>
      </w:r>
      <w:r>
        <w:rPr>
          <w:rFonts w:ascii="Arial" w:cs="Arial" w:eastAsia="Arial" w:hAnsi="Arial"/>
          <w:sz w:val="20"/>
          <w:szCs w:val="20"/>
          <w:color w:val="auto"/>
        </w:rPr>
        <w:t>envelope is provided for mailing in the United States).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69215</wp:posOffset>
            </wp:positionH>
            <wp:positionV relativeFrom="paragraph">
              <wp:posOffset>-305435</wp:posOffset>
            </wp:positionV>
            <wp:extent cx="334645" cy="3505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334645" cy="350520"/>
                    </a:xfrm>
                    <a:prstGeom prst="rect">
                      <a:avLst/>
                    </a:prstGeom>
                    <a:noFill/>
                  </pic:spPr>
                </pic:pic>
              </a:graphicData>
            </a:graphic>
          </wp:anchor>
        </w:drawing>
        <w:drawing>
          <wp:anchor simplePos="0" relativeHeight="251657728" behindDoc="1" locked="0" layoutInCell="0" allowOverlap="1">
            <wp:simplePos x="0" y="0"/>
            <wp:positionH relativeFrom="column">
              <wp:posOffset>263525</wp:posOffset>
            </wp:positionH>
            <wp:positionV relativeFrom="paragraph">
              <wp:posOffset>223520</wp:posOffset>
            </wp:positionV>
            <wp:extent cx="841375" cy="16383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33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100" w:type="dxa"/>
            <w:vAlign w:val="bottom"/>
          </w:tcPr>
          <w:p>
            <w:pPr>
              <w:jc w:val="right"/>
              <w:ind w:right="880"/>
              <w:spacing w:after="0"/>
              <w:rPr>
                <w:sz w:val="20"/>
                <w:szCs w:val="20"/>
                <w:color w:val="auto"/>
              </w:rPr>
            </w:pPr>
            <w:r>
              <w:rPr>
                <w:rFonts w:ascii="Arial" w:cs="Arial" w:eastAsia="Arial" w:hAnsi="Arial"/>
                <w:sz w:val="16"/>
                <w:szCs w:val="16"/>
                <w:b w:val="1"/>
                <w:bCs w:val="1"/>
                <w:color w:val="auto"/>
              </w:rPr>
              <w:t>8</w:t>
            </w:r>
          </w:p>
        </w:tc>
        <w:tc>
          <w:tcPr>
            <w:tcW w:w="116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160" w:type="dxa"/>
            <w:vAlign w:val="bottom"/>
          </w:tcPr>
          <w:p>
            <w:pPr>
              <w:ind w:left="12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100" w:type="dxa"/>
            <w:vAlign w:val="bottom"/>
          </w:tcPr>
          <w:p>
            <w:pPr>
              <w:spacing w:after="0"/>
              <w:rPr>
                <w:sz w:val="5"/>
                <w:szCs w:val="5"/>
                <w:color w:val="auto"/>
              </w:rPr>
            </w:pPr>
          </w:p>
        </w:tc>
        <w:tc>
          <w:tcPr>
            <w:tcW w:w="1160" w:type="dxa"/>
            <w:vAlign w:val="bottom"/>
            <w:vMerge w:val="continue"/>
          </w:tcPr>
          <w:p>
            <w:pPr>
              <w:spacing w:after="0"/>
              <w:rPr>
                <w:sz w:val="5"/>
                <w:szCs w:val="5"/>
                <w:color w:val="auto"/>
              </w:rPr>
            </w:pPr>
          </w:p>
        </w:tc>
        <w:tc>
          <w:tcPr>
            <w:tcW w:w="91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100" w:type="dxa"/>
            <w:vAlign w:val="bottom"/>
            <w:tcBorders>
              <w:bottom w:val="single" w:sz="8" w:color="808080"/>
            </w:tcBorders>
          </w:tcPr>
          <w:p>
            <w:pPr>
              <w:spacing w:after="0"/>
              <w:rPr>
                <w:sz w:val="11"/>
                <w:szCs w:val="11"/>
                <w:color w:val="auto"/>
              </w:rPr>
            </w:pPr>
          </w:p>
        </w:tc>
        <w:tc>
          <w:tcPr>
            <w:tcW w:w="1160" w:type="dxa"/>
            <w:vAlign w:val="bottom"/>
            <w:tcBorders>
              <w:bottom w:val="single" w:sz="8" w:color="808080"/>
            </w:tcBorders>
          </w:tcPr>
          <w:p>
            <w:pPr>
              <w:spacing w:after="0"/>
              <w:rPr>
                <w:sz w:val="11"/>
                <w:szCs w:val="11"/>
                <w:color w:val="auto"/>
              </w:rPr>
            </w:pPr>
          </w:p>
        </w:tc>
        <w:tc>
          <w:tcPr>
            <w:tcW w:w="916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17" w:name="page18"/>
    <w:bookmarkEnd w:id="17"/>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4983480</wp:posOffset>
            </wp:positionH>
            <wp:positionV relativeFrom="paragraph">
              <wp:posOffset>137795</wp:posOffset>
            </wp:positionV>
            <wp:extent cx="2274570" cy="1555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2274570" cy="155575"/>
                    </a:xfrm>
                    <a:prstGeom prst="rect">
                      <a:avLst/>
                    </a:prstGeom>
                    <a:noFill/>
                  </pic:spPr>
                </pic:pic>
              </a:graphicData>
            </a:graphic>
          </wp:anchor>
        </w:drawing>
      </w:r>
    </w:p>
    <w:p>
      <w:pPr>
        <w:spacing w:after="0" w:line="232" w:lineRule="exact"/>
        <w:rPr>
          <w:sz w:val="20"/>
          <w:szCs w:val="20"/>
          <w:color w:val="auto"/>
        </w:rPr>
      </w:pPr>
    </w:p>
    <w:p>
      <w:pPr>
        <w:ind w:left="7900"/>
        <w:spacing w:after="0"/>
        <w:rPr>
          <w:sz w:val="20"/>
          <w:szCs w:val="20"/>
          <w:color w:val="auto"/>
        </w:rPr>
      </w:pPr>
      <w:r>
        <w:rPr>
          <w:rFonts w:ascii="Arial" w:cs="Arial" w:eastAsia="Arial" w:hAnsi="Arial"/>
          <w:sz w:val="13"/>
          <w:szCs w:val="13"/>
          <w:b w:val="1"/>
          <w:bCs w:val="1"/>
          <w:color w:val="FFFFFE"/>
        </w:rPr>
        <w:t>PROXY STATEMENT — GENERAL INFORMATION</w:t>
      </w:r>
    </w:p>
    <w:p>
      <w:pPr>
        <w:spacing w:after="0" w:line="35" w:lineRule="exact"/>
        <w:rPr>
          <w:sz w:val="20"/>
          <w:szCs w:val="20"/>
          <w:color w:val="auto"/>
        </w:rPr>
      </w:pPr>
    </w:p>
    <w:p>
      <w:pPr>
        <w:ind w:left="880" w:right="100"/>
        <w:spacing w:after="0"/>
        <w:rPr>
          <w:sz w:val="20"/>
          <w:szCs w:val="20"/>
          <w:color w:val="auto"/>
        </w:rPr>
      </w:pPr>
      <w:r>
        <w:rPr>
          <w:rFonts w:ascii="Arial" w:cs="Arial" w:eastAsia="Arial" w:hAnsi="Arial"/>
          <w:sz w:val="20"/>
          <w:szCs w:val="20"/>
          <w:b w:val="1"/>
          <w:bCs w:val="1"/>
          <w:color w:val="auto"/>
        </w:rPr>
        <w:t>Vote in person</w:t>
      </w:r>
      <w:r>
        <w:rPr>
          <w:rFonts w:ascii="Arial" w:cs="Arial" w:eastAsia="Arial" w:hAnsi="Arial"/>
          <w:sz w:val="20"/>
          <w:szCs w:val="20"/>
          <w:color w:val="auto"/>
        </w:rPr>
        <w:t>. You may come to and vote at the Annual Meeting. If you hold your shares in street name, you must</w:t>
      </w:r>
      <w:r>
        <w:rPr>
          <w:rFonts w:ascii="Arial" w:cs="Arial" w:eastAsia="Arial" w:hAnsi="Arial"/>
          <w:sz w:val="20"/>
          <w:szCs w:val="20"/>
          <w:b w:val="1"/>
          <w:bCs w:val="1"/>
          <w:color w:val="auto"/>
        </w:rPr>
        <w:t xml:space="preserve"> </w:t>
      </w:r>
      <w:r>
        <w:rPr>
          <w:rFonts w:ascii="Arial" w:cs="Arial" w:eastAsia="Arial" w:hAnsi="Arial"/>
          <w:sz w:val="20"/>
          <w:szCs w:val="20"/>
          <w:color w:val="auto"/>
        </w:rPr>
        <w:t>obtain a proxy, executed in your favor, from the holder of record if you wish to vote these shares at the meeting. Please also review the requirements for attending the Annual Meeting under the heading "Attendance at the Annual Meeting" on page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53340</wp:posOffset>
            </wp:positionH>
            <wp:positionV relativeFrom="paragraph">
              <wp:posOffset>-567055</wp:posOffset>
            </wp:positionV>
            <wp:extent cx="334645" cy="3346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334645" cy="334645"/>
                    </a:xfrm>
                    <a:prstGeom prst="rect">
                      <a:avLst/>
                    </a:prstGeom>
                    <a:noFill/>
                  </pic:spPr>
                </pic:pic>
              </a:graphicData>
            </a:graphic>
          </wp:anchor>
        </w:drawing>
      </w:r>
    </w:p>
    <w:p>
      <w:pPr>
        <w:spacing w:after="0" w:line="135" w:lineRule="exact"/>
        <w:rPr>
          <w:sz w:val="20"/>
          <w:szCs w:val="20"/>
          <w:color w:val="auto"/>
        </w:rPr>
      </w:pPr>
    </w:p>
    <w:p>
      <w:pPr>
        <w:spacing w:after="0"/>
        <w:rPr>
          <w:sz w:val="20"/>
          <w:szCs w:val="20"/>
          <w:color w:val="auto"/>
        </w:rPr>
      </w:pPr>
      <w:r>
        <w:rPr>
          <w:rFonts w:ascii="Arial" w:cs="Arial" w:eastAsia="Arial" w:hAnsi="Arial"/>
          <w:sz w:val="20"/>
          <w:szCs w:val="20"/>
          <w:color w:val="auto"/>
        </w:rPr>
        <w:t>If you vote by telephone or Internet, DO NOT mail a proxy card.</w:t>
      </w:r>
    </w:p>
    <w:p>
      <w:pPr>
        <w:spacing w:after="0" w:line="187" w:lineRule="exact"/>
        <w:rPr>
          <w:sz w:val="20"/>
          <w:szCs w:val="20"/>
          <w:color w:val="auto"/>
        </w:rPr>
      </w:pPr>
    </w:p>
    <w:p>
      <w:pPr>
        <w:ind w:right="60"/>
        <w:spacing w:after="0" w:line="242" w:lineRule="auto"/>
        <w:rPr>
          <w:sz w:val="20"/>
          <w:szCs w:val="20"/>
          <w:color w:val="auto"/>
        </w:rPr>
      </w:pPr>
      <w:r>
        <w:rPr>
          <w:rFonts w:ascii="Arial" w:cs="Arial" w:eastAsia="Arial" w:hAnsi="Arial"/>
          <w:sz w:val="20"/>
          <w:szCs w:val="20"/>
          <w:color w:val="auto"/>
        </w:rPr>
        <w:t>You may change or revoke your vote at any time before the proxy is exercised by: filing with our Corporate Secretary either a notice of revocation or a signed proxy card bearing a later date; re-voting by telephone; or re-voting by Internet. Your proxy will be suspended with respect to your shares if you attend the meeting in person and so request, although attendance at the meeting will not by itself revoke a previously-granted proxy.</w:t>
      </w:r>
    </w:p>
    <w:p>
      <w:pPr>
        <w:spacing w:after="0" w:line="152" w:lineRule="exact"/>
        <w:rPr>
          <w:sz w:val="20"/>
          <w:szCs w:val="20"/>
          <w:color w:val="auto"/>
        </w:rPr>
      </w:pPr>
    </w:p>
    <w:p>
      <w:pPr>
        <w:jc w:val="both"/>
        <w:ind w:right="420"/>
        <w:spacing w:after="0" w:line="247" w:lineRule="auto"/>
        <w:rPr>
          <w:sz w:val="20"/>
          <w:szCs w:val="20"/>
          <w:color w:val="auto"/>
        </w:rPr>
      </w:pPr>
      <w:r>
        <w:rPr>
          <w:rFonts w:ascii="Arial" w:cs="Arial" w:eastAsia="Arial" w:hAnsi="Arial"/>
          <w:sz w:val="20"/>
          <w:szCs w:val="20"/>
          <w:color w:val="auto"/>
        </w:rPr>
        <w:t>Your vote is confidential. Only the following persons have access to your vote: election inspectors; individuals who help with the processing and counting of votes; and persons who need access for legal reasons. All votes will be counted by an independent inspector of elections appointed for the Annual Meeting.</w:t>
      </w:r>
    </w:p>
    <w:p>
      <w:pPr>
        <w:spacing w:after="0" w:line="14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Quorum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140"/>
        <w:spacing w:after="0" w:line="239" w:lineRule="auto"/>
        <w:rPr>
          <w:sz w:val="20"/>
          <w:szCs w:val="20"/>
          <w:color w:val="auto"/>
        </w:rPr>
      </w:pPr>
      <w:r>
        <w:rPr>
          <w:rFonts w:ascii="Arial" w:cs="Arial" w:eastAsia="Arial" w:hAnsi="Arial"/>
          <w:sz w:val="20"/>
          <w:szCs w:val="20"/>
          <w:color w:val="auto"/>
        </w:rPr>
        <w:t>The presence, in person or by proxy, of a majority of the outstanding shares of our common stock is necessary to constitute a quorum at the Annual Meeting. In counting the votes to determine whether a quorum exists, shares that are entitled to vote but are not voted at the direction of the beneficial owner (called abstentions) and votes withheld by brokers in the absence of instructions from beneficial owners (called broker non-votes) will be counted for purposes of determining whether there is a quorum. Shares owned by the Company are not considered outstanding or present at the meeting.</w:t>
      </w:r>
    </w:p>
    <w:p>
      <w:pPr>
        <w:spacing w:after="0" w:line="151"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Vote Required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p>
      <w:pPr>
        <w:spacing w:after="0" w:line="200" w:lineRule="exact"/>
        <w:rPr>
          <w:sz w:val="20"/>
          <w:szCs w:val="20"/>
          <w:color w:val="auto"/>
        </w:rPr>
      </w:pPr>
    </w:p>
    <w:p>
      <w:pPr>
        <w:spacing w:after="0" w:line="228" w:lineRule="exact"/>
        <w:rPr>
          <w:sz w:val="20"/>
          <w:szCs w:val="20"/>
          <w:color w:val="auto"/>
        </w:rPr>
      </w:pPr>
    </w:p>
    <w:p>
      <w:pPr>
        <w:spacing w:after="0" w:line="265" w:lineRule="auto"/>
        <w:rPr>
          <w:sz w:val="20"/>
          <w:szCs w:val="20"/>
          <w:color w:val="auto"/>
        </w:rPr>
      </w:pPr>
      <w:r>
        <w:rPr>
          <w:rFonts w:ascii="Arial" w:cs="Arial" w:eastAsia="Arial" w:hAnsi="Arial"/>
          <w:sz w:val="15"/>
          <w:szCs w:val="15"/>
          <w:i w:val="1"/>
          <w:iCs w:val="1"/>
          <w:color w:val="3A5575"/>
        </w:rPr>
        <w:t>We employ a plurality voting standard with a director resignation policy because we believe a majority voting policy is inconsistent with cumulative voting, which is mandated by the Arizona Constitution.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4" w:lineRule="exact"/>
        <w:rPr>
          <w:sz w:val="20"/>
          <w:szCs w:val="20"/>
          <w:color w:val="auto"/>
        </w:rPr>
      </w:pPr>
    </w:p>
    <w:p>
      <w:pPr>
        <w:ind w:right="40"/>
        <w:spacing w:after="0" w:line="244" w:lineRule="auto"/>
        <w:rPr>
          <w:sz w:val="20"/>
          <w:szCs w:val="20"/>
          <w:color w:val="auto"/>
        </w:rPr>
      </w:pPr>
      <w:r>
        <w:rPr>
          <w:rFonts w:ascii="Arial" w:cs="Arial" w:eastAsia="Arial" w:hAnsi="Arial"/>
          <w:sz w:val="16"/>
          <w:szCs w:val="16"/>
          <w:b w:val="1"/>
          <w:bCs w:val="1"/>
          <w:color w:val="auto"/>
        </w:rPr>
        <w:t>Election of directors</w:t>
      </w:r>
      <w:r>
        <w:rPr>
          <w:rFonts w:ascii="Arial" w:cs="Arial" w:eastAsia="Arial" w:hAnsi="Arial"/>
          <w:sz w:val="16"/>
          <w:szCs w:val="16"/>
          <w:color w:val="auto"/>
        </w:rPr>
        <w:t>. Individuals receiving the highest number of votes will be elected. The number of votes that a</w:t>
      </w:r>
      <w:r>
        <w:rPr>
          <w:rFonts w:ascii="Arial" w:cs="Arial" w:eastAsia="Arial" w:hAnsi="Arial"/>
          <w:sz w:val="16"/>
          <w:szCs w:val="16"/>
          <w:b w:val="1"/>
          <w:bCs w:val="1"/>
          <w:color w:val="auto"/>
        </w:rPr>
        <w:t xml:space="preserve"> </w:t>
      </w:r>
      <w:r>
        <w:rPr>
          <w:rFonts w:ascii="Arial" w:cs="Arial" w:eastAsia="Arial" w:hAnsi="Arial"/>
          <w:sz w:val="16"/>
          <w:szCs w:val="16"/>
          <w:color w:val="auto"/>
        </w:rPr>
        <w:t>shareholder may, but is not required to, cast is calculated by multiplying the number of shares of common stock owned by the shareholder, as of the Record Date, by the number of directors to be elected. Any shareholder may cumulate his or her votes by casting them for any one nominee or by distributing them among two or more nominees. Abstentions will not be counted toward a nominee's total and will have no effect on the election of directors. You may not cumulate your votes against a nominee. If you hold shares beneficially through a broker, trustee or other nominee and wish to cumulate votes, you should contact your broker, trustee or nominee. If you would like to exercise your cumulative voting rights, you must do so by mail. The Company's Bylaws provide that in an uncontested election, a director nominee who receives a greater number of votes cast "withheld" for his or her election than "for" such election will promptly tender his or her resignation to the Corporate Governance Committee. The Corporate</w:t>
      </w:r>
    </w:p>
    <w:p>
      <w:pPr>
        <w:spacing w:after="0" w:line="87" w:lineRule="exact"/>
        <w:rPr>
          <w:sz w:val="20"/>
          <w:szCs w:val="20"/>
          <w:color w:val="auto"/>
        </w:rPr>
      </w:pPr>
    </w:p>
    <w:p>
      <w:pPr>
        <w:jc w:val="right"/>
        <w:spacing w:after="0"/>
        <w:tabs>
          <w:tab w:leader="none" w:pos="200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-1552575</wp:posOffset>
            </wp:positionH>
            <wp:positionV relativeFrom="paragraph">
              <wp:posOffset>137795</wp:posOffset>
            </wp:positionV>
            <wp:extent cx="7263765" cy="203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2">
            <w:col w:w="2160" w:space="280"/>
            <w:col w:w="9000"/>
          </w:cols>
          <w:pgMar w:left="240" w:top="110" w:right="219" w:bottom="1440" w:gutter="0" w:footer="0" w:header="0"/>
          <w:type w:val="continuous"/>
        </w:sectPr>
      </w:pPr>
    </w:p>
    <w:bookmarkStart w:id="18" w:name="page19"/>
    <w:bookmarkEnd w:id="18"/>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2274570" cy="1555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2274570" cy="155575"/>
                    </a:xfrm>
                    <a:prstGeom prst="rect">
                      <a:avLst/>
                    </a:prstGeom>
                    <a:noFill/>
                  </pic:spPr>
                </pic:pic>
              </a:graphicData>
            </a:graphic>
          </wp:anchor>
        </w:drawing>
      </w:r>
    </w:p>
    <w:p>
      <w:pPr>
        <w:spacing w:after="0" w:line="232" w:lineRule="exact"/>
        <w:rPr>
          <w:sz w:val="20"/>
          <w:szCs w:val="20"/>
          <w:color w:val="auto"/>
        </w:rPr>
      </w:pPr>
    </w:p>
    <w:p>
      <w:pPr>
        <w:ind w:left="462"/>
        <w:spacing w:after="0"/>
        <w:rPr>
          <w:sz w:val="20"/>
          <w:szCs w:val="20"/>
          <w:color w:val="auto"/>
        </w:rPr>
      </w:pPr>
      <w:r>
        <w:rPr>
          <w:rFonts w:ascii="Arial" w:cs="Arial" w:eastAsia="Arial" w:hAnsi="Arial"/>
          <w:sz w:val="13"/>
          <w:szCs w:val="13"/>
          <w:b w:val="1"/>
          <w:bCs w:val="1"/>
          <w:color w:val="FFFFFE"/>
        </w:rPr>
        <w:t>PROXY STATEMENT — GENERAL INFORMATION</w:t>
      </w:r>
    </w:p>
    <w:p>
      <w:pPr>
        <w:spacing w:after="0" w:line="35" w:lineRule="exact"/>
        <w:rPr>
          <w:sz w:val="20"/>
          <w:szCs w:val="20"/>
          <w:color w:val="auto"/>
        </w:rPr>
      </w:pPr>
    </w:p>
    <w:p>
      <w:pPr>
        <w:ind w:left="2422" w:right="80"/>
        <w:spacing w:after="0" w:line="245" w:lineRule="auto"/>
        <w:rPr>
          <w:sz w:val="20"/>
          <w:szCs w:val="20"/>
          <w:color w:val="auto"/>
        </w:rPr>
      </w:pPr>
      <w:r>
        <w:rPr>
          <w:rFonts w:ascii="Arial" w:cs="Arial" w:eastAsia="Arial" w:hAnsi="Arial"/>
          <w:sz w:val="20"/>
          <w:szCs w:val="20"/>
          <w:color w:val="auto"/>
        </w:rPr>
        <w:t>Governance Committee is required to evaluate the resignation, taking into account the best interests of the Company and its shareholders, and will recommend to the Board whether to accept or reject the resignation.</w:t>
      </w:r>
    </w:p>
    <w:p>
      <w:pPr>
        <w:spacing w:after="0" w:line="175" w:lineRule="exact"/>
        <w:rPr>
          <w:sz w:val="20"/>
          <w:szCs w:val="20"/>
          <w:color w:val="auto"/>
        </w:rPr>
      </w:pPr>
    </w:p>
    <w:p>
      <w:pPr>
        <w:ind w:left="2422" w:right="260"/>
        <w:spacing w:after="0" w:line="267" w:lineRule="auto"/>
        <w:rPr>
          <w:sz w:val="20"/>
          <w:szCs w:val="20"/>
          <w:color w:val="auto"/>
        </w:rPr>
      </w:pPr>
      <w:r>
        <w:rPr>
          <w:rFonts w:ascii="Arial" w:cs="Arial" w:eastAsia="Arial" w:hAnsi="Arial"/>
          <w:sz w:val="19"/>
          <w:szCs w:val="19"/>
          <w:color w:val="auto"/>
        </w:rPr>
        <w:t>Under the current rules of the New York Stock Exchange ("NYSE"), your broker is not able to vote on your behalf in any director election unless you give your broker specific voting instructions. We encourage you to provide instructions so that your shares will be counted in the election of directors.</w:t>
      </w:r>
    </w:p>
    <w:p>
      <w:pPr>
        <w:spacing w:after="0" w:line="125" w:lineRule="exact"/>
        <w:rPr>
          <w:sz w:val="20"/>
          <w:szCs w:val="20"/>
          <w:color w:val="auto"/>
        </w:rPr>
      </w:pPr>
    </w:p>
    <w:p>
      <w:pPr>
        <w:ind w:left="2" w:right="40"/>
        <w:spacing w:after="0" w:line="236" w:lineRule="auto"/>
        <w:rPr>
          <w:sz w:val="20"/>
          <w:szCs w:val="20"/>
          <w:color w:val="auto"/>
        </w:rPr>
      </w:pPr>
      <w:r>
        <w:rPr>
          <w:rFonts w:ascii="Arial" w:cs="Arial" w:eastAsia="Arial" w:hAnsi="Arial"/>
          <w:sz w:val="20"/>
          <w:szCs w:val="20"/>
          <w:b w:val="1"/>
          <w:bCs w:val="1"/>
          <w:color w:val="auto"/>
        </w:rPr>
        <w:t xml:space="preserve">Say-on-Pay. </w:t>
      </w:r>
      <w:r>
        <w:rPr>
          <w:rFonts w:ascii="Arial" w:cs="Arial" w:eastAsia="Arial" w:hAnsi="Arial"/>
          <w:sz w:val="20"/>
          <w:szCs w:val="20"/>
          <w:color w:val="auto"/>
        </w:rPr>
        <w:t>The votes cast "for" must exceed the votes cast "against" to approve the advisory resolution on the compensation</w:t>
      </w:r>
      <w:r>
        <w:rPr>
          <w:rFonts w:ascii="Arial" w:cs="Arial" w:eastAsia="Arial" w:hAnsi="Arial"/>
          <w:sz w:val="20"/>
          <w:szCs w:val="20"/>
          <w:b w:val="1"/>
          <w:bCs w:val="1"/>
          <w:color w:val="auto"/>
        </w:rPr>
        <w:t xml:space="preserve"> </w:t>
      </w:r>
      <w:r>
        <w:rPr>
          <w:rFonts w:ascii="Arial" w:cs="Arial" w:eastAsia="Arial" w:hAnsi="Arial"/>
          <w:sz w:val="20"/>
          <w:szCs w:val="20"/>
          <w:color w:val="auto"/>
        </w:rPr>
        <w:t>disclosed in this Proxy Statement of our Named Executive Officers — the Say-on-Pay vote. This resolution is not intended to address any specific item of compensation, but rather the overall compensation of the Named Executive Officers and the compensation philosophy, policies and procedures described in this Proxy Statement. Because your vote is advisory, it will not be binding on the Board or the Company. However, the Board will review the voting results and take them into consideration when making future decisions regarding executive compensation. Abstentions and broker non-votes will have no effect on the outcome of this proposal. We will hold an advisory vote on Say-on-Pay on an annual basis until we next hold an advisory vote of shareholders on the frequency of such votes as required by law.</w:t>
      </w:r>
    </w:p>
    <w:p>
      <w:pPr>
        <w:spacing w:after="0" w:line="153" w:lineRule="exact"/>
        <w:rPr>
          <w:sz w:val="20"/>
          <w:szCs w:val="20"/>
          <w:color w:val="auto"/>
        </w:rPr>
      </w:pPr>
    </w:p>
    <w:p>
      <w:pPr>
        <w:ind w:left="2" w:right="40"/>
        <w:spacing w:after="0" w:line="256" w:lineRule="auto"/>
        <w:rPr>
          <w:sz w:val="20"/>
          <w:szCs w:val="20"/>
          <w:color w:val="auto"/>
        </w:rPr>
      </w:pPr>
      <w:r>
        <w:rPr>
          <w:rFonts w:ascii="Arial" w:cs="Arial" w:eastAsia="Arial" w:hAnsi="Arial"/>
          <w:sz w:val="19"/>
          <w:szCs w:val="19"/>
          <w:b w:val="1"/>
          <w:bCs w:val="1"/>
          <w:color w:val="auto"/>
        </w:rPr>
        <w:t xml:space="preserve">Ratification of the appointment of the independent accountants and approval of the shareholder proposal. </w:t>
      </w:r>
      <w:r>
        <w:rPr>
          <w:rFonts w:ascii="Arial" w:cs="Arial" w:eastAsia="Arial" w:hAnsi="Arial"/>
          <w:sz w:val="19"/>
          <w:szCs w:val="19"/>
          <w:color w:val="auto"/>
        </w:rPr>
        <w:t>The votes cast</w:t>
      </w:r>
      <w:r>
        <w:rPr>
          <w:rFonts w:ascii="Arial" w:cs="Arial" w:eastAsia="Arial" w:hAnsi="Arial"/>
          <w:sz w:val="19"/>
          <w:szCs w:val="19"/>
          <w:b w:val="1"/>
          <w:bCs w:val="1"/>
          <w:color w:val="auto"/>
        </w:rPr>
        <w:t xml:space="preserve"> </w:t>
      </w:r>
      <w:r>
        <w:rPr>
          <w:rFonts w:ascii="Arial" w:cs="Arial" w:eastAsia="Arial" w:hAnsi="Arial"/>
          <w:sz w:val="19"/>
          <w:szCs w:val="19"/>
          <w:color w:val="auto"/>
        </w:rPr>
        <w:t>"for" must exceed the votes cast "against" to ratify the appointment of the independent accountants for the year ending December 31, 2016 and for the approval of the shareholder proposal. Abstentions and broker non-votes will have no effect on the outcome of these proposals. With respect to the shareholder proposal, because your vote is advisory, it will not be binding on the Board or the Company. However, the Board will review the voting results and take into consideration our shareholders' views.</w:t>
      </w:r>
    </w:p>
    <w:p>
      <w:pPr>
        <w:spacing w:after="0" w:line="135"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Board Recommendations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24130</wp:posOffset>
            </wp:positionV>
            <wp:extent cx="7259320" cy="762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9" w:lineRule="exact"/>
        <w:rPr>
          <w:sz w:val="20"/>
          <w:szCs w:val="20"/>
          <w:color w:val="auto"/>
        </w:rPr>
      </w:pPr>
    </w:p>
    <w:p>
      <w:pPr>
        <w:ind w:left="2"/>
        <w:spacing w:after="0"/>
        <w:tabs>
          <w:tab w:leader="none" w:pos="2621" w:val="left"/>
        </w:tabs>
        <w:rPr>
          <w:sz w:val="20"/>
          <w:szCs w:val="20"/>
          <w:color w:val="auto"/>
        </w:rPr>
      </w:pPr>
      <w:r>
        <w:rPr>
          <w:rFonts w:ascii="Arial" w:cs="Arial" w:eastAsia="Arial" w:hAnsi="Arial"/>
          <w:sz w:val="20"/>
          <w:szCs w:val="20"/>
          <w:b w:val="1"/>
          <w:bCs w:val="1"/>
          <w:color w:val="auto"/>
        </w:rPr>
        <w:t>Board Recommendations.</w:t>
      </w:r>
      <w:r>
        <w:rPr>
          <w:sz w:val="20"/>
          <w:szCs w:val="20"/>
          <w:color w:val="auto"/>
        </w:rPr>
        <w:tab/>
      </w:r>
      <w:r>
        <w:rPr>
          <w:rFonts w:ascii="Arial" w:cs="Arial" w:eastAsia="Arial" w:hAnsi="Arial"/>
          <w:sz w:val="19"/>
          <w:szCs w:val="19"/>
          <w:color w:val="auto"/>
        </w:rPr>
        <w:t>The Board recommends a vote:</w:t>
      </w:r>
    </w:p>
    <w:p>
      <w:pPr>
        <w:spacing w:after="0" w:line="175" w:lineRule="exact"/>
        <w:rPr>
          <w:sz w:val="20"/>
          <w:szCs w:val="20"/>
          <w:color w:val="auto"/>
        </w:rPr>
      </w:pPr>
    </w:p>
    <w:p>
      <w:pPr>
        <w:ind w:left="482" w:hanging="482"/>
        <w:spacing w:after="0"/>
        <w:tabs>
          <w:tab w:leader="none" w:pos="482" w:val="left"/>
        </w:tabs>
        <w:numPr>
          <w:ilvl w:val="0"/>
          <w:numId w:val="24"/>
        </w:numPr>
        <w:rPr>
          <w:rFonts w:ascii="Times New Roman" w:cs="Times New Roman" w:eastAsia="Times New Roman" w:hAnsi="Times New Roman"/>
          <w:sz w:val="20"/>
          <w:szCs w:val="20"/>
          <w:color w:val="3A5575"/>
        </w:rPr>
      </w:pPr>
      <w:r>
        <w:rPr>
          <w:rFonts w:ascii="Arial" w:cs="Arial" w:eastAsia="Arial" w:hAnsi="Arial"/>
          <w:sz w:val="20"/>
          <w:szCs w:val="20"/>
          <w:b w:val="1"/>
          <w:bCs w:val="1"/>
          <w:color w:val="3A5575"/>
        </w:rPr>
        <w:t xml:space="preserve">FOR </w:t>
      </w:r>
      <w:r>
        <w:rPr>
          <w:rFonts w:ascii="Arial" w:cs="Arial" w:eastAsia="Arial" w:hAnsi="Arial"/>
          <w:sz w:val="20"/>
          <w:szCs w:val="20"/>
          <w:color w:val="000000"/>
        </w:rPr>
        <w:t>the election of the nominated slate of directors (Proposal 1);</w:t>
      </w:r>
    </w:p>
    <w:p>
      <w:pPr>
        <w:spacing w:after="0" w:line="210" w:lineRule="exact"/>
        <w:rPr>
          <w:rFonts w:ascii="Times New Roman" w:cs="Times New Roman" w:eastAsia="Times New Roman" w:hAnsi="Times New Roman"/>
          <w:sz w:val="20"/>
          <w:szCs w:val="20"/>
          <w:color w:val="3A5575"/>
        </w:rPr>
      </w:pPr>
    </w:p>
    <w:p>
      <w:pPr>
        <w:ind w:left="482" w:right="260" w:hanging="482"/>
        <w:spacing w:after="0" w:line="268" w:lineRule="auto"/>
        <w:tabs>
          <w:tab w:leader="none" w:pos="482" w:val="left"/>
        </w:tabs>
        <w:numPr>
          <w:ilvl w:val="0"/>
          <w:numId w:val="24"/>
        </w:numPr>
        <w:rPr>
          <w:rFonts w:ascii="Times New Roman" w:cs="Times New Roman" w:eastAsia="Times New Roman" w:hAnsi="Times New Roman"/>
          <w:sz w:val="20"/>
          <w:szCs w:val="20"/>
          <w:color w:val="3A5575"/>
        </w:rPr>
      </w:pPr>
      <w:r>
        <w:rPr>
          <w:rFonts w:ascii="Arial" w:cs="Arial" w:eastAsia="Arial" w:hAnsi="Arial"/>
          <w:sz w:val="20"/>
          <w:szCs w:val="20"/>
          <w:b w:val="1"/>
          <w:bCs w:val="1"/>
          <w:color w:val="3A5575"/>
        </w:rPr>
        <w:t xml:space="preserve">FOR </w:t>
      </w:r>
      <w:r>
        <w:rPr>
          <w:rFonts w:ascii="Arial" w:cs="Arial" w:eastAsia="Arial" w:hAnsi="Arial"/>
          <w:sz w:val="20"/>
          <w:szCs w:val="20"/>
          <w:color w:val="000000"/>
        </w:rPr>
        <w:t>the approval, on an advisory basis, of the resolution approving the compensation of our Named Executive Officers, as</w:t>
      </w:r>
      <w:r>
        <w:rPr>
          <w:rFonts w:ascii="Arial" w:cs="Arial" w:eastAsia="Arial" w:hAnsi="Arial"/>
          <w:sz w:val="20"/>
          <w:szCs w:val="20"/>
          <w:b w:val="1"/>
          <w:bCs w:val="1"/>
          <w:color w:val="3A5575"/>
        </w:rPr>
        <w:t xml:space="preserve"> </w:t>
      </w:r>
      <w:r>
        <w:rPr>
          <w:rFonts w:ascii="Arial" w:cs="Arial" w:eastAsia="Arial" w:hAnsi="Arial"/>
          <w:sz w:val="20"/>
          <w:szCs w:val="20"/>
          <w:color w:val="000000"/>
        </w:rPr>
        <w:t>disclosed in this Proxy Statement (Proposal 2);</w:t>
      </w:r>
    </w:p>
    <w:p>
      <w:pPr>
        <w:spacing w:after="0" w:line="135" w:lineRule="exact"/>
        <w:rPr>
          <w:rFonts w:ascii="Times New Roman" w:cs="Times New Roman" w:eastAsia="Times New Roman" w:hAnsi="Times New Roman"/>
          <w:sz w:val="20"/>
          <w:szCs w:val="20"/>
          <w:color w:val="3A5575"/>
        </w:rPr>
      </w:pPr>
    </w:p>
    <w:p>
      <w:pPr>
        <w:ind w:left="482" w:right="60" w:hanging="482"/>
        <w:spacing w:after="0" w:line="268" w:lineRule="auto"/>
        <w:tabs>
          <w:tab w:leader="none" w:pos="482" w:val="left"/>
        </w:tabs>
        <w:numPr>
          <w:ilvl w:val="0"/>
          <w:numId w:val="24"/>
        </w:numPr>
        <w:rPr>
          <w:rFonts w:ascii="Times New Roman" w:cs="Times New Roman" w:eastAsia="Times New Roman" w:hAnsi="Times New Roman"/>
          <w:sz w:val="20"/>
          <w:szCs w:val="20"/>
          <w:color w:val="3A5575"/>
        </w:rPr>
      </w:pPr>
      <w:r>
        <w:rPr>
          <w:rFonts w:ascii="Arial" w:cs="Arial" w:eastAsia="Arial" w:hAnsi="Arial"/>
          <w:sz w:val="20"/>
          <w:szCs w:val="20"/>
          <w:b w:val="1"/>
          <w:bCs w:val="1"/>
          <w:color w:val="3A5575"/>
        </w:rPr>
        <w:t xml:space="preserve">FOR </w:t>
      </w:r>
      <w:r>
        <w:rPr>
          <w:rFonts w:ascii="Arial" w:cs="Arial" w:eastAsia="Arial" w:hAnsi="Arial"/>
          <w:sz w:val="20"/>
          <w:szCs w:val="20"/>
          <w:color w:val="000000"/>
        </w:rPr>
        <w:t>the ratification of the appointment of D&amp;T as the Company's independent accountants for the year ending December 31,</w:t>
      </w:r>
      <w:r>
        <w:rPr>
          <w:rFonts w:ascii="Arial" w:cs="Arial" w:eastAsia="Arial" w:hAnsi="Arial"/>
          <w:sz w:val="20"/>
          <w:szCs w:val="20"/>
          <w:b w:val="1"/>
          <w:bCs w:val="1"/>
          <w:color w:val="3A5575"/>
        </w:rPr>
        <w:t xml:space="preserve"> </w:t>
      </w:r>
      <w:r>
        <w:rPr>
          <w:rFonts w:ascii="Arial" w:cs="Arial" w:eastAsia="Arial" w:hAnsi="Arial"/>
          <w:sz w:val="20"/>
          <w:szCs w:val="20"/>
          <w:color w:val="000000"/>
        </w:rPr>
        <w:t>2016 (Proposal 3); and</w:t>
      </w:r>
    </w:p>
    <w:p>
      <w:pPr>
        <w:spacing w:after="0" w:line="123" w:lineRule="exact"/>
        <w:rPr>
          <w:sz w:val="20"/>
          <w:szCs w:val="20"/>
          <w:color w:val="auto"/>
        </w:rPr>
      </w:pPr>
    </w:p>
    <w:p>
      <w:pPr>
        <w:ind w:left="522" w:hanging="522"/>
        <w:spacing w:after="0"/>
        <w:tabs>
          <w:tab w:leader="none" w:pos="522" w:val="left"/>
        </w:tabs>
        <w:numPr>
          <w:ilvl w:val="0"/>
          <w:numId w:val="25"/>
        </w:numPr>
        <w:rPr>
          <w:rFonts w:ascii="Arial" w:cs="Arial" w:eastAsia="Arial" w:hAnsi="Arial"/>
          <w:sz w:val="20"/>
          <w:szCs w:val="20"/>
          <w:b w:val="1"/>
          <w:bCs w:val="1"/>
          <w:color w:val="3A5575"/>
        </w:rPr>
      </w:pPr>
      <w:r>
        <w:rPr>
          <w:rFonts w:ascii="Arial" w:cs="Arial" w:eastAsia="Arial" w:hAnsi="Arial"/>
          <w:sz w:val="20"/>
          <w:szCs w:val="20"/>
          <w:b w:val="1"/>
          <w:bCs w:val="1"/>
          <w:color w:val="3A5575"/>
        </w:rPr>
        <w:t xml:space="preserve">AGAINST </w:t>
      </w:r>
      <w:r>
        <w:rPr>
          <w:rFonts w:ascii="Arial" w:cs="Arial" w:eastAsia="Arial" w:hAnsi="Arial"/>
          <w:sz w:val="20"/>
          <w:szCs w:val="20"/>
          <w:color w:val="000000"/>
        </w:rPr>
        <w:t>the approval of the shareholder proposal (Proposal 4).</w:t>
      </w:r>
    </w:p>
    <w:p>
      <w:pPr>
        <w:spacing w:after="0" w:line="191" w:lineRule="exact"/>
        <w:rPr>
          <w:sz w:val="20"/>
          <w:szCs w:val="20"/>
          <w:color w:val="auto"/>
        </w:rPr>
      </w:pPr>
    </w:p>
    <w:p>
      <w:pPr>
        <w:ind w:left="2" w:right="200"/>
        <w:spacing w:after="0" w:line="247" w:lineRule="auto"/>
        <w:rPr>
          <w:sz w:val="20"/>
          <w:szCs w:val="20"/>
          <w:color w:val="auto"/>
        </w:rPr>
      </w:pPr>
      <w:r>
        <w:rPr>
          <w:rFonts w:ascii="Arial" w:cs="Arial" w:eastAsia="Arial" w:hAnsi="Arial"/>
          <w:sz w:val="20"/>
          <w:szCs w:val="20"/>
          <w:color w:val="auto"/>
        </w:rPr>
        <w:t>The Board is not aware of any other matters that will be brought before the shareholders for a vote. If any other matters properly come before the meeting, the proxy holders will vote on those matters in accordance with the recommendations of the Board or, if no recommendations are given, in accordance with their own judgment.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167640</wp:posOffset>
            </wp:positionV>
            <wp:extent cx="841375" cy="16383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0"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10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19" w:name="page20"/>
    <w:bookmarkEnd w:id="19"/>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4984750</wp:posOffset>
            </wp:positionH>
            <wp:positionV relativeFrom="paragraph">
              <wp:posOffset>137795</wp:posOffset>
            </wp:positionV>
            <wp:extent cx="2274570" cy="1555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2274570" cy="155575"/>
                    </a:xfrm>
                    <a:prstGeom prst="rect">
                      <a:avLst/>
                    </a:prstGeom>
                    <a:noFill/>
                  </pic:spPr>
                </pic:pic>
              </a:graphicData>
            </a:graphic>
          </wp:anchor>
        </w:drawing>
      </w:r>
    </w:p>
    <w:p>
      <w:pPr>
        <w:spacing w:after="0" w:line="232" w:lineRule="exact"/>
        <w:rPr>
          <w:sz w:val="20"/>
          <w:szCs w:val="20"/>
          <w:color w:val="auto"/>
        </w:rPr>
      </w:pPr>
    </w:p>
    <w:p>
      <w:pPr>
        <w:ind w:left="7902"/>
        <w:spacing w:after="0"/>
        <w:rPr>
          <w:sz w:val="20"/>
          <w:szCs w:val="20"/>
          <w:color w:val="auto"/>
        </w:rPr>
      </w:pPr>
      <w:r>
        <w:rPr>
          <w:rFonts w:ascii="Arial" w:cs="Arial" w:eastAsia="Arial" w:hAnsi="Arial"/>
          <w:sz w:val="13"/>
          <w:szCs w:val="13"/>
          <w:b w:val="1"/>
          <w:bCs w:val="1"/>
          <w:color w:val="FFFFFE"/>
        </w:rPr>
        <w:t>PROXY STATEMENT — GENERAL INFORMATION</w:t>
      </w:r>
    </w:p>
    <w:p>
      <w:pPr>
        <w:spacing w:after="0" w:line="35"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Attendance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19050</wp:posOffset>
            </wp:positionV>
            <wp:extent cx="7259320" cy="76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left="2" w:right="840"/>
        <w:spacing w:after="0" w:line="265" w:lineRule="auto"/>
        <w:rPr>
          <w:sz w:val="20"/>
          <w:szCs w:val="20"/>
          <w:color w:val="auto"/>
        </w:rPr>
      </w:pPr>
      <w:r>
        <w:rPr>
          <w:rFonts w:ascii="Arial" w:cs="Arial" w:eastAsia="Arial" w:hAnsi="Arial"/>
          <w:sz w:val="20"/>
          <w:szCs w:val="20"/>
          <w:color w:val="auto"/>
        </w:rPr>
        <w:t>Only shareholders as of the Record Date, or a validly designated proxy, are invited to attend the Annual Meeting. We have implemented the following procedures for attendance at the Annual Meeting:</w:t>
      </w:r>
    </w:p>
    <w:p>
      <w:pPr>
        <w:spacing w:after="0" w:line="118" w:lineRule="exact"/>
        <w:rPr>
          <w:sz w:val="20"/>
          <w:szCs w:val="20"/>
          <w:color w:val="auto"/>
        </w:rPr>
      </w:pPr>
    </w:p>
    <w:p>
      <w:pPr>
        <w:ind w:left="482" w:right="140" w:hanging="482"/>
        <w:spacing w:after="0" w:line="239" w:lineRule="auto"/>
        <w:tabs>
          <w:tab w:leader="none" w:pos="482" w:val="left"/>
        </w:tabs>
        <w:numPr>
          <w:ilvl w:val="0"/>
          <w:numId w:val="26"/>
        </w:numPr>
        <w:rPr>
          <w:rFonts w:ascii="Arial" w:cs="Arial" w:eastAsia="Arial" w:hAnsi="Arial"/>
          <w:sz w:val="20"/>
          <w:szCs w:val="20"/>
          <w:color w:val="3A5575"/>
        </w:rPr>
      </w:pPr>
      <w:r>
        <w:rPr>
          <w:rFonts w:ascii="Arial" w:cs="Arial" w:eastAsia="Arial" w:hAnsi="Arial"/>
          <w:sz w:val="20"/>
          <w:szCs w:val="20"/>
          <w:i w:val="1"/>
          <w:iCs w:val="1"/>
          <w:u w:val="single" w:color="auto"/>
          <w:color w:val="auto"/>
        </w:rPr>
        <w:t>Security</w:t>
      </w:r>
      <w:r>
        <w:rPr>
          <w:rFonts w:ascii="Arial" w:cs="Arial" w:eastAsia="Arial" w:hAnsi="Arial"/>
          <w:sz w:val="20"/>
          <w:szCs w:val="20"/>
          <w:i w:val="1"/>
          <w:iCs w:val="1"/>
          <w:color w:val="auto"/>
        </w:rPr>
        <w:t xml:space="preserve">. </w:t>
      </w:r>
      <w:r>
        <w:rPr>
          <w:rFonts w:ascii="Arial" w:cs="Arial" w:eastAsia="Arial" w:hAnsi="Arial"/>
          <w:sz w:val="20"/>
          <w:szCs w:val="20"/>
          <w:color w:val="auto"/>
        </w:rPr>
        <w:t>You will need both an admission card and a current government-issued picture identification (such as a driver's</w:t>
      </w:r>
      <w:r>
        <w:rPr>
          <w:rFonts w:ascii="Arial" w:cs="Arial" w:eastAsia="Arial" w:hAnsi="Arial"/>
          <w:sz w:val="20"/>
          <w:szCs w:val="20"/>
          <w:i w:val="1"/>
          <w:iCs w:val="1"/>
          <w:color w:val="auto"/>
        </w:rPr>
        <w:t xml:space="preserve"> </w:t>
      </w:r>
      <w:r>
        <w:rPr>
          <w:rFonts w:ascii="Arial" w:cs="Arial" w:eastAsia="Arial" w:hAnsi="Arial"/>
          <w:sz w:val="20"/>
          <w:szCs w:val="20"/>
          <w:color w:val="auto"/>
        </w:rPr>
        <w:t>license or a passport) to enter the meeting. Please follow the instructions below and an admission card will be mailed to you. Please do not carry items such as large handbags and packages to the meeting, as we reserve the right to inspect any items brought into the meeting. Weapons are prohibited in the meeting. We also reserve the right to prohibit bringing cell phones, pagers, cameras, recording devices, banners, signs, and other items into the meeting room.</w:t>
      </w:r>
    </w:p>
    <w:p>
      <w:pPr>
        <w:spacing w:after="0" w:line="179" w:lineRule="exact"/>
        <w:rPr>
          <w:rFonts w:ascii="Arial" w:cs="Arial" w:eastAsia="Arial" w:hAnsi="Arial"/>
          <w:sz w:val="20"/>
          <w:szCs w:val="20"/>
          <w:color w:val="3A5575"/>
        </w:rPr>
      </w:pPr>
    </w:p>
    <w:p>
      <w:pPr>
        <w:ind w:left="482" w:right="80" w:hanging="482"/>
        <w:spacing w:after="0" w:line="247" w:lineRule="auto"/>
        <w:tabs>
          <w:tab w:leader="none" w:pos="482" w:val="left"/>
        </w:tabs>
        <w:numPr>
          <w:ilvl w:val="0"/>
          <w:numId w:val="26"/>
        </w:numPr>
        <w:rPr>
          <w:rFonts w:ascii="Arial" w:cs="Arial" w:eastAsia="Arial" w:hAnsi="Arial"/>
          <w:sz w:val="20"/>
          <w:szCs w:val="20"/>
          <w:color w:val="053582"/>
        </w:rPr>
      </w:pPr>
      <w:r>
        <w:rPr>
          <w:rFonts w:ascii="Arial" w:cs="Arial" w:eastAsia="Arial" w:hAnsi="Arial"/>
          <w:sz w:val="20"/>
          <w:szCs w:val="20"/>
          <w:i w:val="1"/>
          <w:iCs w:val="1"/>
          <w:u w:val="single" w:color="auto"/>
          <w:color w:val="auto"/>
        </w:rPr>
        <w:t>Who can attend the meeting and how to obtain an admission card</w:t>
      </w:r>
      <w:r>
        <w:rPr>
          <w:rFonts w:ascii="Arial" w:cs="Arial" w:eastAsia="Arial" w:hAnsi="Arial"/>
          <w:sz w:val="20"/>
          <w:szCs w:val="20"/>
          <w:i w:val="1"/>
          <w:iCs w:val="1"/>
          <w:color w:val="auto"/>
        </w:rPr>
        <w:t xml:space="preserve">. </w:t>
      </w:r>
      <w:r>
        <w:rPr>
          <w:rFonts w:ascii="Arial" w:cs="Arial" w:eastAsia="Arial" w:hAnsi="Arial"/>
          <w:sz w:val="20"/>
          <w:szCs w:val="20"/>
          <w:color w:val="auto"/>
        </w:rPr>
        <w:t>Attendance is limited to Pinnacle West shareholders as of</w:t>
      </w:r>
      <w:r>
        <w:rPr>
          <w:rFonts w:ascii="Arial" w:cs="Arial" w:eastAsia="Arial" w:hAnsi="Arial"/>
          <w:sz w:val="20"/>
          <w:szCs w:val="20"/>
          <w:i w:val="1"/>
          <w:iCs w:val="1"/>
          <w:color w:val="auto"/>
        </w:rPr>
        <w:t xml:space="preserve"> </w:t>
      </w:r>
      <w:r>
        <w:rPr>
          <w:rFonts w:ascii="Arial" w:cs="Arial" w:eastAsia="Arial" w:hAnsi="Arial"/>
          <w:sz w:val="20"/>
          <w:szCs w:val="20"/>
          <w:color w:val="auto"/>
        </w:rPr>
        <w:t>the Record Date or their validly designated proxy. You must pre-register and obtain an admission card in advance if you plan to attend the meeting. Please follow the instructions below that correspond to how you hold your Pinnacle West stock:</w:t>
      </w:r>
    </w:p>
    <w:p>
      <w:pPr>
        <w:spacing w:after="0" w:line="357" w:lineRule="exact"/>
        <w:rPr>
          <w:sz w:val="20"/>
          <w:szCs w:val="20"/>
          <w:color w:val="auto"/>
        </w:rPr>
      </w:pPr>
    </w:p>
    <w:p>
      <w:pPr>
        <w:ind w:left="1482" w:right="240" w:hanging="501"/>
        <w:spacing w:after="0" w:line="257" w:lineRule="auto"/>
        <w:tabs>
          <w:tab w:leader="none" w:pos="1482" w:val="left"/>
        </w:tabs>
        <w:numPr>
          <w:ilvl w:val="0"/>
          <w:numId w:val="27"/>
        </w:numPr>
        <w:rPr>
          <w:rFonts w:ascii="Courier New" w:cs="Courier New" w:eastAsia="Courier New" w:hAnsi="Courier New"/>
          <w:sz w:val="19"/>
          <w:szCs w:val="19"/>
          <w:color w:val="053582"/>
        </w:rPr>
      </w:pPr>
      <w:r>
        <w:rPr>
          <w:rFonts w:ascii="Arial" w:cs="Arial" w:eastAsia="Arial" w:hAnsi="Arial"/>
          <w:sz w:val="19"/>
          <w:szCs w:val="19"/>
          <w:color w:val="auto"/>
        </w:rPr>
        <w:t>If you hold your Pinnacle West shares directly with the Company and you received a proxy card or you hold your Pinnacle West shares through the Pinnacle West Capital Corporation Savings Plan: Please follow the advance registration instructions set forth on your proxy card, which was included in the mailing from the Company;</w:t>
      </w:r>
    </w:p>
    <w:p>
      <w:pPr>
        <w:spacing w:after="0" w:line="151" w:lineRule="exact"/>
        <w:rPr>
          <w:rFonts w:ascii="Courier New" w:cs="Courier New" w:eastAsia="Courier New" w:hAnsi="Courier New"/>
          <w:sz w:val="19"/>
          <w:szCs w:val="19"/>
          <w:color w:val="053582"/>
        </w:rPr>
      </w:pPr>
    </w:p>
    <w:p>
      <w:pPr>
        <w:ind w:left="1482" w:right="20" w:hanging="501"/>
        <w:spacing w:after="0" w:line="235" w:lineRule="auto"/>
        <w:tabs>
          <w:tab w:leader="none" w:pos="1482" w:val="left"/>
        </w:tabs>
        <w:numPr>
          <w:ilvl w:val="0"/>
          <w:numId w:val="27"/>
        </w:numPr>
        <w:rPr>
          <w:rFonts w:ascii="Courier New" w:cs="Courier New" w:eastAsia="Courier New" w:hAnsi="Courier New"/>
          <w:sz w:val="20"/>
          <w:szCs w:val="20"/>
          <w:color w:val="053582"/>
        </w:rPr>
      </w:pPr>
      <w:r>
        <w:rPr>
          <w:rFonts w:ascii="Arial" w:cs="Arial" w:eastAsia="Arial" w:hAnsi="Arial"/>
          <w:sz w:val="20"/>
          <w:szCs w:val="20"/>
          <w:color w:val="auto"/>
        </w:rPr>
        <w:t>If you hold your Pinnacle West shares directly with the Company and you received a Notice of Internet Availability of Proxy Materials or you received your proxy materials by e-mail: Please follow the advance registration instructions provided when you vote by mobile device or the Internet or, if you vote by telephone, please follow the steps below for submitting an advance registration request and include a copy of your Notice of Internet Availability of Proxy Materials or e-mail, as applicable, as your proof of ownership;</w:t>
      </w:r>
    </w:p>
    <w:p>
      <w:pPr>
        <w:spacing w:after="0" w:line="181" w:lineRule="exact"/>
        <w:rPr>
          <w:rFonts w:ascii="Courier New" w:cs="Courier New" w:eastAsia="Courier New" w:hAnsi="Courier New"/>
          <w:sz w:val="20"/>
          <w:szCs w:val="20"/>
          <w:color w:val="053582"/>
        </w:rPr>
      </w:pPr>
    </w:p>
    <w:p>
      <w:pPr>
        <w:ind w:left="1482" w:right="680" w:hanging="501"/>
        <w:spacing w:after="0" w:line="247" w:lineRule="auto"/>
        <w:tabs>
          <w:tab w:leader="none" w:pos="1482" w:val="left"/>
        </w:tabs>
        <w:numPr>
          <w:ilvl w:val="0"/>
          <w:numId w:val="27"/>
        </w:numPr>
        <w:rPr>
          <w:rFonts w:ascii="Courier New" w:cs="Courier New" w:eastAsia="Courier New" w:hAnsi="Courier New"/>
          <w:sz w:val="20"/>
          <w:szCs w:val="20"/>
          <w:color w:val="053582"/>
        </w:rPr>
      </w:pPr>
      <w:r>
        <w:rPr>
          <w:rFonts w:ascii="Arial" w:cs="Arial" w:eastAsia="Arial" w:hAnsi="Arial"/>
          <w:sz w:val="20"/>
          <w:szCs w:val="20"/>
          <w:color w:val="auto"/>
        </w:rPr>
        <w:t>If you hold your Pinnacle West shares through a broker, bank or other institutional account: Please send an advance registration request containing the information listed below to:</w:t>
      </w:r>
    </w:p>
    <w:p>
      <w:pPr>
        <w:spacing w:after="0" w:line="146" w:lineRule="exact"/>
        <w:rPr>
          <w:sz w:val="20"/>
          <w:szCs w:val="20"/>
          <w:color w:val="auto"/>
        </w:rPr>
      </w:pPr>
    </w:p>
    <w:p>
      <w:pPr>
        <w:jc w:val="center"/>
        <w:ind w:right="18"/>
        <w:spacing w:after="0"/>
        <w:rPr>
          <w:sz w:val="20"/>
          <w:szCs w:val="20"/>
          <w:color w:val="auto"/>
        </w:rPr>
      </w:pPr>
      <w:r>
        <w:rPr>
          <w:rFonts w:ascii="Arial" w:cs="Arial" w:eastAsia="Arial" w:hAnsi="Arial"/>
          <w:sz w:val="20"/>
          <w:szCs w:val="20"/>
          <w:color w:val="auto"/>
        </w:rPr>
        <w:t>Pinnacle West Capital Corporation</w:t>
      </w:r>
    </w:p>
    <w:p>
      <w:pPr>
        <w:spacing w:after="0" w:line="6" w:lineRule="exact"/>
        <w:rPr>
          <w:sz w:val="20"/>
          <w:szCs w:val="20"/>
          <w:color w:val="auto"/>
        </w:rPr>
      </w:pPr>
    </w:p>
    <w:p>
      <w:pPr>
        <w:jc w:val="center"/>
        <w:ind w:right="18"/>
        <w:spacing w:after="0"/>
        <w:rPr>
          <w:sz w:val="20"/>
          <w:szCs w:val="20"/>
          <w:color w:val="auto"/>
        </w:rPr>
      </w:pPr>
      <w:r>
        <w:rPr>
          <w:rFonts w:ascii="Arial" w:cs="Arial" w:eastAsia="Arial" w:hAnsi="Arial"/>
          <w:sz w:val="20"/>
          <w:szCs w:val="20"/>
          <w:color w:val="auto"/>
        </w:rPr>
        <w:t>Shareholder Services Department</w:t>
      </w:r>
    </w:p>
    <w:p>
      <w:pPr>
        <w:jc w:val="center"/>
        <w:ind w:right="18"/>
        <w:spacing w:after="0" w:line="230" w:lineRule="auto"/>
        <w:rPr>
          <w:sz w:val="20"/>
          <w:szCs w:val="20"/>
          <w:color w:val="auto"/>
        </w:rPr>
      </w:pPr>
      <w:r>
        <w:rPr>
          <w:rFonts w:ascii="Arial" w:cs="Arial" w:eastAsia="Arial" w:hAnsi="Arial"/>
          <w:sz w:val="20"/>
          <w:szCs w:val="20"/>
          <w:color w:val="auto"/>
        </w:rPr>
        <w:t>P.O. Box 53999, Mail Station 8602</w:t>
      </w:r>
    </w:p>
    <w:p>
      <w:pPr>
        <w:jc w:val="center"/>
        <w:ind w:right="18"/>
        <w:spacing w:after="0"/>
        <w:rPr>
          <w:sz w:val="20"/>
          <w:szCs w:val="20"/>
          <w:color w:val="auto"/>
        </w:rPr>
      </w:pPr>
      <w:r>
        <w:rPr>
          <w:rFonts w:ascii="Arial" w:cs="Arial" w:eastAsia="Arial" w:hAnsi="Arial"/>
          <w:sz w:val="20"/>
          <w:szCs w:val="20"/>
          <w:color w:val="auto"/>
        </w:rPr>
        <w:t>Phoenix, AZ 85072-3999</w:t>
      </w:r>
    </w:p>
    <w:p>
      <w:pPr>
        <w:spacing w:after="0" w:line="147" w:lineRule="exact"/>
        <w:rPr>
          <w:sz w:val="20"/>
          <w:szCs w:val="20"/>
          <w:color w:val="auto"/>
        </w:rPr>
      </w:pPr>
    </w:p>
    <w:p>
      <w:pPr>
        <w:ind w:left="982" w:hanging="491"/>
        <w:spacing w:after="0"/>
        <w:tabs>
          <w:tab w:leader="none" w:pos="982" w:val="left"/>
        </w:tabs>
        <w:numPr>
          <w:ilvl w:val="0"/>
          <w:numId w:val="28"/>
        </w:numPr>
        <w:rPr>
          <w:rFonts w:ascii="Arial" w:cs="Arial" w:eastAsia="Arial" w:hAnsi="Arial"/>
          <w:sz w:val="20"/>
          <w:szCs w:val="20"/>
          <w:color w:val="3A5575"/>
        </w:rPr>
      </w:pPr>
      <w:r>
        <w:rPr>
          <w:rFonts w:ascii="Arial" w:cs="Arial" w:eastAsia="Arial" w:hAnsi="Arial"/>
          <w:sz w:val="20"/>
          <w:szCs w:val="20"/>
          <w:b w:val="1"/>
          <w:bCs w:val="1"/>
          <w:color w:val="auto"/>
        </w:rPr>
        <w:t>PLEASE INCLUDE THE FOLLOWING INFORMATION IN A REQUEST FOR AN ADMISSION CARD:</w:t>
      </w:r>
    </w:p>
    <w:p>
      <w:pPr>
        <w:spacing w:after="0" w:line="399" w:lineRule="exact"/>
        <w:rPr>
          <w:rFonts w:ascii="Arial" w:cs="Arial" w:eastAsia="Arial" w:hAnsi="Arial"/>
          <w:sz w:val="20"/>
          <w:szCs w:val="20"/>
          <w:color w:val="3A5575"/>
        </w:rPr>
      </w:pPr>
    </w:p>
    <w:p>
      <w:pPr>
        <w:ind w:left="982"/>
        <w:spacing w:after="0"/>
        <w:rPr>
          <w:rFonts w:ascii="Arial" w:cs="Arial" w:eastAsia="Arial" w:hAnsi="Arial"/>
          <w:sz w:val="20"/>
          <w:szCs w:val="20"/>
          <w:color w:val="3A5575"/>
        </w:rPr>
      </w:pPr>
      <w:r>
        <w:rPr>
          <w:rFonts w:ascii="Courier New" w:cs="Courier New" w:eastAsia="Courier New" w:hAnsi="Courier New"/>
          <w:sz w:val="20"/>
          <w:szCs w:val="20"/>
          <w:color w:val="053582"/>
        </w:rPr>
        <w:t xml:space="preserve">o   </w:t>
      </w:r>
      <w:r>
        <w:rPr>
          <w:rFonts w:ascii="Arial" w:cs="Arial" w:eastAsia="Arial" w:hAnsi="Arial"/>
          <w:sz w:val="20"/>
          <w:szCs w:val="20"/>
          <w:color w:val="000000"/>
        </w:rPr>
        <w:t>Your name and complete mailing address;</w:t>
      </w:r>
    </w:p>
    <w:p>
      <w:pPr>
        <w:spacing w:after="0" w:line="183" w:lineRule="exact"/>
        <w:rPr>
          <w:rFonts w:ascii="Arial" w:cs="Arial" w:eastAsia="Arial" w:hAnsi="Arial"/>
          <w:sz w:val="20"/>
          <w:szCs w:val="20"/>
          <w:color w:val="3A5575"/>
        </w:rPr>
      </w:pPr>
    </w:p>
    <w:p>
      <w:pPr>
        <w:ind w:left="1482" w:right="320" w:hanging="491"/>
        <w:spacing w:after="0" w:line="239" w:lineRule="auto"/>
        <w:rPr>
          <w:rFonts w:ascii="Arial" w:cs="Arial" w:eastAsia="Arial" w:hAnsi="Arial"/>
          <w:sz w:val="20"/>
          <w:szCs w:val="20"/>
          <w:color w:val="3A5575"/>
        </w:rPr>
      </w:pPr>
      <w:r>
        <w:rPr>
          <w:rFonts w:ascii="Courier New" w:cs="Courier New" w:eastAsia="Courier New" w:hAnsi="Courier New"/>
          <w:sz w:val="20"/>
          <w:szCs w:val="20"/>
          <w:color w:val="053582"/>
        </w:rPr>
        <w:t xml:space="preserve">o </w:t>
      </w:r>
      <w:r>
        <w:rPr>
          <w:rFonts w:ascii="Arial" w:cs="Arial" w:eastAsia="Arial" w:hAnsi="Arial"/>
          <w:sz w:val="20"/>
          <w:szCs w:val="20"/>
          <w:color w:val="000000"/>
        </w:rPr>
        <w:t>The name of any other shareholder who will accompany you (the other shareholder's name must appear on the</w:t>
      </w:r>
      <w:r>
        <w:rPr>
          <w:rFonts w:ascii="Courier New" w:cs="Courier New" w:eastAsia="Courier New" w:hAnsi="Courier New"/>
          <w:sz w:val="20"/>
          <w:szCs w:val="20"/>
          <w:color w:val="053582"/>
        </w:rPr>
        <w:t xml:space="preserve"> </w:t>
      </w:r>
      <w:r>
        <w:rPr>
          <w:rFonts w:ascii="Arial" w:cs="Arial" w:eastAsia="Arial" w:hAnsi="Arial"/>
          <w:sz w:val="20"/>
          <w:szCs w:val="20"/>
          <w:color w:val="000000"/>
        </w:rPr>
        <w:t>documentation showing ownership of the stock);</w:t>
      </w:r>
    </w:p>
    <w:p>
      <w:pPr>
        <w:spacing w:after="0" w:line="235"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7263765" cy="2032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20" w:name="page21"/>
    <w:bookmarkEnd w:id="20"/>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75" w:lineRule="exact"/>
        <w:rPr>
          <w:sz w:val="20"/>
          <w:szCs w:val="20"/>
          <w:color w:val="auto"/>
        </w:rPr>
      </w:pPr>
    </w:p>
    <w:p>
      <w:pPr>
        <w:ind w:left="3582" w:right="120" w:hanging="3123"/>
        <w:spacing w:after="0" w:line="273" w:lineRule="auto"/>
        <w:rPr>
          <w:sz w:val="20"/>
          <w:szCs w:val="20"/>
          <w:color w:val="auto"/>
        </w:rPr>
      </w:pPr>
      <w:r>
        <w:rPr>
          <w:rFonts w:ascii="Arial" w:cs="Arial" w:eastAsia="Arial" w:hAnsi="Arial"/>
          <w:sz w:val="13"/>
          <w:szCs w:val="13"/>
          <w:b w:val="1"/>
          <w:bCs w:val="1"/>
          <w:color w:val="FFFFFE"/>
        </w:rPr>
        <w:t xml:space="preserve">PROXY STATEMENT — GENERAL INFORMATION </w:t>
      </w:r>
      <w:r>
        <w:rPr>
          <w:rFonts w:ascii="Arial" w:cs="Arial" w:eastAsia="Arial" w:hAnsi="Arial"/>
          <w:sz w:val="19"/>
          <w:szCs w:val="19"/>
          <w:color w:val="000000"/>
        </w:rPr>
        <w:t>If</w:t>
      </w:r>
      <w:r>
        <w:rPr>
          <w:rFonts w:ascii="Courier New" w:cs="Courier New" w:eastAsia="Courier New" w:hAnsi="Courier New"/>
          <w:sz w:val="19"/>
          <w:szCs w:val="19"/>
          <w:color w:val="3A5575"/>
        </w:rPr>
        <w:t>o</w:t>
      </w:r>
      <w:r>
        <w:rPr>
          <w:rFonts w:ascii="Arial" w:cs="Arial" w:eastAsia="Arial" w:hAnsi="Arial"/>
          <w:sz w:val="13"/>
          <w:szCs w:val="13"/>
          <w:b w:val="1"/>
          <w:bCs w:val="1"/>
          <w:color w:val="FFFFFE"/>
        </w:rPr>
        <w:t xml:space="preserve"> </w:t>
      </w:r>
      <w:r>
        <w:rPr>
          <w:rFonts w:ascii="Arial" w:cs="Arial" w:eastAsia="Arial" w:hAnsi="Arial"/>
          <w:sz w:val="19"/>
          <w:szCs w:val="19"/>
          <w:color w:val="000000"/>
        </w:rPr>
        <w:t>you will be sending a validly designated proxy to attend the meeting on your behalf, the</w:t>
      </w:r>
      <w:r>
        <w:rPr>
          <w:rFonts w:ascii="Arial" w:cs="Arial" w:eastAsia="Arial" w:hAnsi="Arial"/>
          <w:sz w:val="13"/>
          <w:szCs w:val="13"/>
          <w:b w:val="1"/>
          <w:bCs w:val="1"/>
          <w:color w:val="FFFFFE"/>
        </w:rPr>
        <w:t xml:space="preserve"> </w:t>
      </w:r>
      <w:r>
        <w:rPr>
          <w:rFonts w:ascii="Arial" w:cs="Arial" w:eastAsia="Arial" w:hAnsi="Arial"/>
          <w:sz w:val="19"/>
          <w:szCs w:val="19"/>
          <w:color w:val="000000"/>
        </w:rPr>
        <w:t>name, address and telephone number of that individual;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-300355</wp:posOffset>
            </wp:positionV>
            <wp:extent cx="2274570" cy="1555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2274570" cy="155575"/>
                    </a:xfrm>
                    <a:prstGeom prst="rect">
                      <a:avLst/>
                    </a:prstGeom>
                    <a:noFill/>
                  </pic:spPr>
                </pic:pic>
              </a:graphicData>
            </a:graphic>
          </wp:anchor>
        </w:drawing>
      </w:r>
    </w:p>
    <w:p>
      <w:pPr>
        <w:spacing w:after="0" w:line="126" w:lineRule="exact"/>
        <w:rPr>
          <w:sz w:val="20"/>
          <w:szCs w:val="20"/>
          <w:color w:val="auto"/>
        </w:rPr>
      </w:pPr>
    </w:p>
    <w:p>
      <w:pPr>
        <w:ind w:left="1482" w:right="320" w:hanging="501"/>
        <w:spacing w:after="0" w:line="247" w:lineRule="auto"/>
        <w:tabs>
          <w:tab w:leader="none" w:pos="1482" w:val="left"/>
        </w:tabs>
        <w:numPr>
          <w:ilvl w:val="0"/>
          <w:numId w:val="29"/>
        </w:numPr>
        <w:rPr>
          <w:rFonts w:ascii="Courier New" w:cs="Courier New" w:eastAsia="Courier New" w:hAnsi="Courier New"/>
          <w:sz w:val="20"/>
          <w:szCs w:val="20"/>
          <w:color w:val="053582"/>
        </w:rPr>
      </w:pPr>
      <w:r>
        <w:rPr>
          <w:rFonts w:ascii="Arial" w:cs="Arial" w:eastAsia="Arial" w:hAnsi="Arial"/>
          <w:sz w:val="20"/>
          <w:szCs w:val="20"/>
          <w:color w:val="auto"/>
        </w:rPr>
        <w:t>Proof that you own Pinnacle West shares as of the Record Date (such as a letter from your bank or broker, or a photocopy of your voting instruction form or Notice of Internet Availability of Proxy Materials).</w:t>
      </w:r>
    </w:p>
    <w:p>
      <w:pPr>
        <w:spacing w:after="0" w:line="146" w:lineRule="exact"/>
        <w:rPr>
          <w:sz w:val="20"/>
          <w:szCs w:val="20"/>
          <w:color w:val="auto"/>
        </w:rPr>
      </w:pPr>
    </w:p>
    <w:p>
      <w:pPr>
        <w:ind w:left="2" w:right="380"/>
        <w:spacing w:after="0" w:line="265" w:lineRule="auto"/>
        <w:rPr>
          <w:sz w:val="20"/>
          <w:szCs w:val="20"/>
          <w:color w:val="auto"/>
        </w:rPr>
      </w:pPr>
      <w:r>
        <w:rPr>
          <w:rFonts w:ascii="Arial" w:cs="Arial" w:eastAsia="Arial" w:hAnsi="Arial"/>
          <w:sz w:val="20"/>
          <w:szCs w:val="20"/>
          <w:color w:val="auto"/>
        </w:rPr>
        <w:t>Admission cards will be mailed to shareholders who register before May 12, 2016. Admission cards for requests submitted after May 12, 2016 will be available the day of the Annual Meeting.</w:t>
      </w:r>
    </w:p>
    <w:p>
      <w:pPr>
        <w:spacing w:after="0" w:line="126" w:lineRule="exact"/>
        <w:rPr>
          <w:sz w:val="20"/>
          <w:szCs w:val="20"/>
          <w:color w:val="auto"/>
        </w:rPr>
      </w:pPr>
    </w:p>
    <w:p>
      <w:pPr>
        <w:ind w:left="2" w:right="180"/>
        <w:spacing w:after="0" w:line="300" w:lineRule="auto"/>
        <w:rPr>
          <w:sz w:val="20"/>
          <w:szCs w:val="20"/>
          <w:color w:val="auto"/>
        </w:rPr>
      </w:pPr>
      <w:r>
        <w:rPr>
          <w:rFonts w:ascii="Arial" w:cs="Arial" w:eastAsia="Arial" w:hAnsi="Arial"/>
          <w:sz w:val="22"/>
          <w:szCs w:val="22"/>
          <w:b w:val="1"/>
          <w:bCs w:val="1"/>
          <w:color w:val="3A5575"/>
        </w:rPr>
        <w:t>Delivery of Annual Reports and Proxy Statements to a Shared Address and Obtaining a Copy of the Annual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-52705</wp:posOffset>
            </wp:positionV>
            <wp:extent cx="7259320" cy="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71" w:lineRule="exact"/>
        <w:rPr>
          <w:sz w:val="20"/>
          <w:szCs w:val="20"/>
          <w:color w:val="auto"/>
        </w:rPr>
      </w:pPr>
    </w:p>
    <w:p>
      <w:pPr>
        <w:ind w:left="2" w:right="40"/>
        <w:spacing w:after="0" w:line="247" w:lineRule="auto"/>
        <w:rPr>
          <w:sz w:val="20"/>
          <w:szCs w:val="20"/>
          <w:color w:val="auto"/>
        </w:rPr>
      </w:pPr>
      <w:r>
        <w:rPr>
          <w:rFonts w:ascii="Arial" w:cs="Arial" w:eastAsia="Arial" w:hAnsi="Arial"/>
          <w:sz w:val="20"/>
          <w:szCs w:val="20"/>
          <w:color w:val="auto"/>
        </w:rPr>
        <w:t>If you and one or more shareholders share the same address, it is possible that only one Internet Notice, Annual Report or Proxy Statement was delivered to your address. Registered shareholders at the same address who wish to receive separate copies of the Internet Notice, the Annual Report or Proxy Statement may:</w:t>
      </w:r>
    </w:p>
    <w:p>
      <w:pPr>
        <w:spacing w:after="0" w:line="136" w:lineRule="exact"/>
        <w:rPr>
          <w:sz w:val="20"/>
          <w:szCs w:val="20"/>
          <w:color w:val="auto"/>
        </w:rPr>
      </w:pPr>
    </w:p>
    <w:p>
      <w:pPr>
        <w:ind w:left="482" w:hanging="482"/>
        <w:spacing w:after="0"/>
        <w:tabs>
          <w:tab w:leader="none" w:pos="482" w:val="left"/>
        </w:tabs>
        <w:numPr>
          <w:ilvl w:val="0"/>
          <w:numId w:val="30"/>
        </w:numPr>
        <w:rPr>
          <w:rFonts w:ascii="Arial" w:cs="Arial" w:eastAsia="Arial" w:hAnsi="Arial"/>
          <w:sz w:val="20"/>
          <w:szCs w:val="20"/>
          <w:color w:val="3A5575"/>
        </w:rPr>
      </w:pPr>
      <w:r>
        <w:rPr>
          <w:rFonts w:ascii="Arial" w:cs="Arial" w:eastAsia="Arial" w:hAnsi="Arial"/>
          <w:sz w:val="20"/>
          <w:szCs w:val="20"/>
          <w:color w:val="auto"/>
        </w:rPr>
        <w:t>Call the Company's Shareholder Services Department at 1-602-250-5511;</w:t>
      </w:r>
    </w:p>
    <w:p>
      <w:pPr>
        <w:spacing w:after="0" w:line="199" w:lineRule="exact"/>
        <w:rPr>
          <w:rFonts w:ascii="Arial" w:cs="Arial" w:eastAsia="Arial" w:hAnsi="Arial"/>
          <w:sz w:val="20"/>
          <w:szCs w:val="20"/>
          <w:color w:val="3A5575"/>
        </w:rPr>
      </w:pPr>
    </w:p>
    <w:p>
      <w:pPr>
        <w:ind w:left="482" w:hanging="482"/>
        <w:spacing w:after="0"/>
        <w:tabs>
          <w:tab w:leader="none" w:pos="482" w:val="left"/>
        </w:tabs>
        <w:numPr>
          <w:ilvl w:val="0"/>
          <w:numId w:val="30"/>
        </w:numPr>
        <w:rPr>
          <w:rFonts w:ascii="Arial" w:cs="Arial" w:eastAsia="Arial" w:hAnsi="Arial"/>
          <w:sz w:val="20"/>
          <w:szCs w:val="20"/>
          <w:color w:val="3A5575"/>
        </w:rPr>
      </w:pPr>
      <w:r>
        <w:rPr>
          <w:rFonts w:ascii="Arial" w:cs="Arial" w:eastAsia="Arial" w:hAnsi="Arial"/>
          <w:sz w:val="20"/>
          <w:szCs w:val="20"/>
          <w:color w:val="auto"/>
        </w:rPr>
        <w:t>Mail a request to Shareholder Services at P.O. Box 53999, Mail Station 8602, Phoenix, Arizona, 85072-3999; or</w:t>
      </w:r>
    </w:p>
    <w:p>
      <w:pPr>
        <w:spacing w:after="0" w:line="211" w:lineRule="exact"/>
        <w:rPr>
          <w:rFonts w:ascii="Arial" w:cs="Arial" w:eastAsia="Arial" w:hAnsi="Arial"/>
          <w:sz w:val="20"/>
          <w:szCs w:val="20"/>
          <w:color w:val="3A5575"/>
        </w:rPr>
      </w:pPr>
    </w:p>
    <w:p>
      <w:pPr>
        <w:ind w:left="482" w:hanging="482"/>
        <w:spacing w:after="0"/>
        <w:tabs>
          <w:tab w:leader="none" w:pos="482" w:val="left"/>
        </w:tabs>
        <w:numPr>
          <w:ilvl w:val="0"/>
          <w:numId w:val="30"/>
        </w:numPr>
        <w:rPr>
          <w:rFonts w:ascii="Arial" w:cs="Arial" w:eastAsia="Arial" w:hAnsi="Arial"/>
          <w:sz w:val="20"/>
          <w:szCs w:val="20"/>
          <w:color w:val="3A5575"/>
        </w:rPr>
      </w:pPr>
      <w:r>
        <w:rPr>
          <w:rFonts w:ascii="Arial" w:cs="Arial" w:eastAsia="Arial" w:hAnsi="Arial"/>
          <w:sz w:val="20"/>
          <w:szCs w:val="20"/>
          <w:color w:val="auto"/>
        </w:rPr>
        <w:t>E-mail a request to: shareholderdept@pinnaclewest.com.</w:t>
      </w:r>
    </w:p>
    <w:p>
      <w:pPr>
        <w:spacing w:after="0" w:line="187" w:lineRule="exact"/>
        <w:rPr>
          <w:sz w:val="20"/>
          <w:szCs w:val="20"/>
          <w:color w:val="auto"/>
        </w:rPr>
      </w:pPr>
    </w:p>
    <w:p>
      <w:pPr>
        <w:ind w:left="2" w:right="20"/>
        <w:spacing w:after="0" w:line="242" w:lineRule="auto"/>
        <w:rPr>
          <w:sz w:val="20"/>
          <w:szCs w:val="20"/>
          <w:color w:val="auto"/>
        </w:rPr>
      </w:pPr>
      <w:r>
        <w:rPr>
          <w:rFonts w:ascii="Arial" w:cs="Arial" w:eastAsia="Arial" w:hAnsi="Arial"/>
          <w:sz w:val="20"/>
          <w:szCs w:val="20"/>
          <w:color w:val="auto"/>
        </w:rPr>
        <w:t>The Company will promptly deliver to you the information requested. Shareholders who share the same address but wish to receive one Internet Notice, Annual Report or Proxy Statement may contact the Company through the same methods listed above. Shareholders who own Company stock through a broker and who wish to receive separate copies of the Internet Notice, Annual Report or Proxy Statement should contact their broker.</w:t>
      </w:r>
    </w:p>
    <w:p>
      <w:pPr>
        <w:spacing w:after="0" w:line="152" w:lineRule="exact"/>
        <w:rPr>
          <w:sz w:val="20"/>
          <w:szCs w:val="20"/>
          <w:color w:val="auto"/>
        </w:rPr>
      </w:pPr>
    </w:p>
    <w:p>
      <w:pPr>
        <w:ind w:left="2" w:right="320"/>
        <w:spacing w:after="0" w:line="242" w:lineRule="auto"/>
        <w:rPr>
          <w:sz w:val="20"/>
          <w:szCs w:val="20"/>
          <w:color w:val="auto"/>
        </w:rPr>
      </w:pPr>
      <w:r>
        <w:rPr>
          <w:rFonts w:ascii="Arial" w:cs="Arial" w:eastAsia="Arial" w:hAnsi="Arial"/>
          <w:sz w:val="20"/>
          <w:szCs w:val="20"/>
          <w:color w:val="auto"/>
        </w:rPr>
        <w:t>You may access our Annual Report and Proxy Statement via the Internet. Copies of the Annual Report and Proxy Statement are available on the Company's website (</w:t>
      </w:r>
      <w:r>
        <w:rPr>
          <w:rFonts w:ascii="Arial" w:cs="Arial" w:eastAsia="Arial" w:hAnsi="Arial"/>
          <w:sz w:val="20"/>
          <w:szCs w:val="20"/>
          <w:b w:val="1"/>
          <w:bCs w:val="1"/>
          <w:i w:val="1"/>
          <w:iCs w:val="1"/>
          <w:color w:val="3A5575"/>
        </w:rPr>
        <w:t>www.pinnaclewest.com</w:t>
      </w:r>
      <w:r>
        <w:rPr>
          <w:rFonts w:ascii="Arial" w:cs="Arial" w:eastAsia="Arial" w:hAnsi="Arial"/>
          <w:sz w:val="20"/>
          <w:szCs w:val="20"/>
          <w:color w:val="auto"/>
        </w:rPr>
        <w:t>) and will be provided to any shareholder promptly upon request. Shareholders may request copies from Shareholder Services at the telephone number or addresses set forth above, or as described on the Internet Notice.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161925</wp:posOffset>
            </wp:positionV>
            <wp:extent cx="841375" cy="1638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3"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12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21" w:name="page22"/>
    <w:bookmarkEnd w:id="2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4983480</wp:posOffset>
            </wp:positionH>
            <wp:positionV relativeFrom="paragraph">
              <wp:posOffset>137795</wp:posOffset>
            </wp:positionV>
            <wp:extent cx="2274570" cy="1555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2274570" cy="155575"/>
                    </a:xfrm>
                    <a:prstGeom prst="rect">
                      <a:avLst/>
                    </a:prstGeom>
                    <a:noFill/>
                  </pic:spPr>
                </pic:pic>
              </a:graphicData>
            </a:graphic>
          </wp:anchor>
        </w:drawing>
      </w:r>
    </w:p>
    <w:p>
      <w:pPr>
        <w:spacing w:after="0" w:line="232" w:lineRule="exact"/>
        <w:rPr>
          <w:sz w:val="20"/>
          <w:szCs w:val="20"/>
          <w:color w:val="auto"/>
        </w:rPr>
      </w:pPr>
    </w:p>
    <w:p>
      <w:pPr>
        <w:ind w:left="7900"/>
        <w:spacing w:after="0"/>
        <w:rPr>
          <w:sz w:val="20"/>
          <w:szCs w:val="20"/>
          <w:color w:val="auto"/>
        </w:rPr>
      </w:pPr>
      <w:r>
        <w:rPr>
          <w:rFonts w:ascii="Arial" w:cs="Arial" w:eastAsia="Arial" w:hAnsi="Arial"/>
          <w:sz w:val="13"/>
          <w:szCs w:val="13"/>
          <w:b w:val="1"/>
          <w:bCs w:val="1"/>
          <w:color w:val="FFFFFE"/>
        </w:rPr>
        <w:t>PROXY STATEMENT — GENERAL INFORMATION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Shareholder Proposals or Director Nominations for the 2017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jc w:val="both"/>
        <w:ind w:right="280"/>
        <w:spacing w:after="0" w:line="247" w:lineRule="auto"/>
        <w:rPr>
          <w:sz w:val="20"/>
          <w:szCs w:val="20"/>
          <w:color w:val="auto"/>
        </w:rPr>
      </w:pPr>
      <w:r>
        <w:rPr>
          <w:rFonts w:ascii="Arial" w:cs="Arial" w:eastAsia="Arial" w:hAnsi="Arial"/>
          <w:sz w:val="20"/>
          <w:szCs w:val="20"/>
          <w:color w:val="auto"/>
        </w:rPr>
        <w:t>To be included in the proxy materials for the 2017 Annual Meeting of Shareholders (the "2017 Annual Meeting"), any shareholder proposal intended to be presented must be received by our Corporate Secretary no later than December 1, 2016 at the following address:</w:t>
      </w:r>
    </w:p>
    <w:p>
      <w:pPr>
        <w:spacing w:after="0" w:line="149" w:lineRule="exact"/>
        <w:rPr>
          <w:sz w:val="20"/>
          <w:szCs w:val="20"/>
          <w:color w:val="auto"/>
        </w:rPr>
      </w:pPr>
    </w:p>
    <w:p>
      <w:pPr>
        <w:jc w:val="center"/>
        <w:ind w:right="20"/>
        <w:spacing w:after="0"/>
        <w:rPr>
          <w:sz w:val="20"/>
          <w:szCs w:val="20"/>
          <w:color w:val="auto"/>
        </w:rPr>
      </w:pPr>
      <w:r>
        <w:rPr>
          <w:rFonts w:ascii="Arial" w:cs="Arial" w:eastAsia="Arial" w:hAnsi="Arial"/>
          <w:sz w:val="20"/>
          <w:szCs w:val="20"/>
          <w:color w:val="auto"/>
        </w:rPr>
        <w:t>Corporate Secretary</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20"/>
          <w:szCs w:val="20"/>
          <w:color w:val="auto"/>
        </w:rPr>
        <w:t>Pinnacle West Capital Corporation</w:t>
      </w:r>
    </w:p>
    <w:p>
      <w:pPr>
        <w:jc w:val="center"/>
        <w:ind w:right="20"/>
        <w:spacing w:after="0" w:line="230" w:lineRule="auto"/>
        <w:rPr>
          <w:sz w:val="20"/>
          <w:szCs w:val="20"/>
          <w:color w:val="auto"/>
        </w:rPr>
      </w:pPr>
      <w:r>
        <w:rPr>
          <w:rFonts w:ascii="Arial" w:cs="Arial" w:eastAsia="Arial" w:hAnsi="Arial"/>
          <w:sz w:val="20"/>
          <w:szCs w:val="20"/>
          <w:color w:val="auto"/>
        </w:rPr>
        <w:t>400 North Fifth Street, Mail Station 8602</w:t>
      </w:r>
    </w:p>
    <w:p>
      <w:pPr>
        <w:jc w:val="center"/>
        <w:ind w:right="20"/>
        <w:spacing w:after="0"/>
        <w:rPr>
          <w:sz w:val="20"/>
          <w:szCs w:val="20"/>
          <w:color w:val="auto"/>
        </w:rPr>
      </w:pPr>
      <w:r>
        <w:rPr>
          <w:rFonts w:ascii="Arial" w:cs="Arial" w:eastAsia="Arial" w:hAnsi="Arial"/>
          <w:sz w:val="20"/>
          <w:szCs w:val="20"/>
          <w:color w:val="auto"/>
        </w:rPr>
        <w:t>Phoenix, Arizona 85004</w:t>
      </w:r>
    </w:p>
    <w:p>
      <w:pPr>
        <w:spacing w:after="0" w:line="163" w:lineRule="exact"/>
        <w:rPr>
          <w:sz w:val="20"/>
          <w:szCs w:val="20"/>
          <w:color w:val="auto"/>
        </w:rPr>
      </w:pPr>
    </w:p>
    <w:p>
      <w:pPr>
        <w:ind w:right="60"/>
        <w:spacing w:after="0" w:line="242" w:lineRule="auto"/>
        <w:rPr>
          <w:sz w:val="20"/>
          <w:szCs w:val="20"/>
          <w:color w:val="auto"/>
        </w:rPr>
      </w:pPr>
      <w:r>
        <w:rPr>
          <w:rFonts w:ascii="Arial" w:cs="Arial" w:eastAsia="Arial" w:hAnsi="Arial"/>
          <w:sz w:val="20"/>
          <w:szCs w:val="20"/>
          <w:color w:val="auto"/>
        </w:rPr>
        <w:t>A shareholder who intends to present a proposal at the 2017 Annual Meeting, but does not wish it to be included in the 2017 proxy materials, must submit the proposal no earlier than January 18, 2017 and no later than the close of business on February 17, 2017. Nominations for the Board must be received by November 19, 2016. In all cases, shareholders must also comply with the applicable rules of the Securities and Exchange Commission ("SEC") and our Bylaws.</w:t>
      </w:r>
    </w:p>
    <w:p>
      <w:pPr>
        <w:spacing w:after="0" w:line="148"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140"/>
        <w:spacing w:after="0" w:line="237" w:lineRule="auto"/>
        <w:rPr>
          <w:sz w:val="20"/>
          <w:szCs w:val="20"/>
          <w:color w:val="auto"/>
        </w:rPr>
      </w:pPr>
      <w:r>
        <w:rPr>
          <w:rFonts w:ascii="Arial" w:cs="Arial" w:eastAsia="Arial" w:hAnsi="Arial"/>
          <w:sz w:val="20"/>
          <w:szCs w:val="20"/>
          <w:color w:val="auto"/>
        </w:rPr>
        <w:t>The Board is soliciting the enclosed proxy. The Company may solicit shareholders over the Internet, by telephone or by mail. The Company has retained D.F. King &amp; Co., Inc. to assist in the distribution of proxy solicitation materials and the solicitation of proxies for $10,500, plus customary expenses. The costs of the solicitation will be paid by the Company. Proxies may also be solicited in person, by telephone or electronically by Company personnel who will not receive additional compensation for such solicitation. As required, the Company will reimburse brokerage houses and others for their out-of-pocket expenses in forwarding documents to beneficial owners of our stock.</w:t>
      </w:r>
    </w:p>
    <w:p>
      <w:pPr>
        <w:spacing w:after="0" w:line="9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22" w:name="page23"/>
    <w:bookmarkEnd w:id="22"/>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39"/>
          <w:szCs w:val="39"/>
          <w:b w:val="1"/>
          <w:bCs w:val="1"/>
          <w:color w:val="3A5575"/>
        </w:rPr>
        <w:t>Information About Our Board and Corporate Governance</w:t>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Board Meetings and Attendance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p>
      <w:pPr>
        <w:spacing w:after="0" w:line="200" w:lineRule="exact"/>
        <w:rPr>
          <w:sz w:val="20"/>
          <w:szCs w:val="20"/>
          <w:color w:val="auto"/>
        </w:rPr>
      </w:pPr>
    </w:p>
    <w:p>
      <w:pPr>
        <w:spacing w:after="0" w:line="228" w:lineRule="exact"/>
        <w:rPr>
          <w:sz w:val="20"/>
          <w:szCs w:val="20"/>
          <w:color w:val="auto"/>
        </w:rPr>
      </w:pPr>
    </w:p>
    <w:p>
      <w:pPr>
        <w:ind w:left="1140"/>
        <w:spacing w:after="0" w:line="311" w:lineRule="auto"/>
        <w:rPr>
          <w:sz w:val="20"/>
          <w:szCs w:val="20"/>
          <w:color w:val="auto"/>
        </w:rPr>
      </w:pPr>
      <w:r>
        <w:rPr>
          <w:rFonts w:ascii="Arial" w:cs="Arial" w:eastAsia="Arial" w:hAnsi="Arial"/>
          <w:sz w:val="15"/>
          <w:szCs w:val="15"/>
          <w:i w:val="1"/>
          <w:iCs w:val="1"/>
          <w:color w:val="3A5575"/>
        </w:rPr>
        <w:t>In 2015 our Directors had perfect (100%) attendance.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6" w:lineRule="exact"/>
        <w:rPr>
          <w:sz w:val="20"/>
          <w:szCs w:val="20"/>
          <w:color w:val="auto"/>
        </w:rPr>
      </w:pPr>
    </w:p>
    <w:p>
      <w:pPr>
        <w:ind w:right="1380"/>
        <w:spacing w:after="0" w:line="253" w:lineRule="auto"/>
        <w:rPr>
          <w:sz w:val="20"/>
          <w:szCs w:val="20"/>
          <w:color w:val="auto"/>
        </w:rPr>
      </w:pPr>
      <w:r>
        <w:rPr>
          <w:rFonts w:ascii="Arial" w:cs="Arial" w:eastAsia="Arial" w:hAnsi="Arial"/>
          <w:sz w:val="16"/>
          <w:szCs w:val="16"/>
          <w:color w:val="auto"/>
        </w:rPr>
        <w:t>In 2015, our Board held seven meetings and all of our directors attended 100% of the Board meetings and any meetings of Board committees on which he or she served. Each director is expected to be present at the Annual Meeting. All of the Board members attended the 2015 Annual Meeting.</w:t>
      </w:r>
    </w:p>
    <w:p>
      <w:pPr>
        <w:spacing w:after="0" w:line="140" w:lineRule="exact"/>
        <w:rPr>
          <w:sz w:val="20"/>
          <w:szCs w:val="20"/>
          <w:color w:val="auto"/>
        </w:rPr>
      </w:pPr>
    </w:p>
    <w:p>
      <w:pPr>
        <w:sectPr>
          <w:pgSz w:w="11900" w:h="16838" w:orient="portrait"/>
          <w:cols w:equalWidth="0" w:num="2">
            <w:col w:w="3060" w:space="440"/>
            <w:col w:w="7920"/>
          </w:cols>
          <w:pgMar w:left="240" w:top="110" w:right="239" w:bottom="1440" w:gutter="0" w:footer="0" w:header="0"/>
          <w:type w:val="continuous"/>
        </w:sectPr>
      </w:pPr>
    </w:p>
    <w:p>
      <w:pPr>
        <w:spacing w:after="0"/>
        <w:rPr>
          <w:sz w:val="20"/>
          <w:szCs w:val="20"/>
          <w:color w:val="auto"/>
        </w:rPr>
      </w:pPr>
      <w:r>
        <w:rPr>
          <w:rFonts w:ascii="Arial" w:cs="Arial" w:eastAsia="Arial" w:hAnsi="Arial"/>
          <w:sz w:val="22"/>
          <w:szCs w:val="22"/>
          <w:b w:val="1"/>
          <w:bCs w:val="1"/>
          <w:color w:val="3A5575"/>
        </w:rPr>
        <w:t>Board Committees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spacing w:after="0"/>
        <w:rPr>
          <w:sz w:val="20"/>
          <w:szCs w:val="20"/>
          <w:color w:val="auto"/>
        </w:rPr>
      </w:pPr>
      <w:r>
        <w:rPr>
          <w:rFonts w:ascii="Arial" w:cs="Arial" w:eastAsia="Arial" w:hAnsi="Arial"/>
          <w:sz w:val="20"/>
          <w:szCs w:val="20"/>
          <w:color w:val="auto"/>
        </w:rPr>
        <w:t>The Board has the following standing committees: Audit; Corporate Governance; Finance; Human Resources; and Nuclear and</w:t>
      </w:r>
    </w:p>
    <w:p>
      <w:pPr>
        <w:spacing w:after="0" w:line="6" w:lineRule="exact"/>
        <w:rPr>
          <w:sz w:val="20"/>
          <w:szCs w:val="20"/>
          <w:color w:val="auto"/>
        </w:rPr>
      </w:pPr>
    </w:p>
    <w:p>
      <w:pPr>
        <w:spacing w:after="0"/>
        <w:rPr>
          <w:sz w:val="20"/>
          <w:szCs w:val="20"/>
          <w:color w:val="auto"/>
        </w:rPr>
      </w:pPr>
      <w:r>
        <w:rPr>
          <w:rFonts w:ascii="Arial" w:cs="Arial" w:eastAsia="Arial" w:hAnsi="Arial"/>
          <w:sz w:val="20"/>
          <w:szCs w:val="20"/>
          <w:color w:val="auto"/>
        </w:rPr>
        <w:t>Operating. All of the charters of the Board's committees are publicly available on the Company's website</w:t>
      </w:r>
    </w:p>
    <w:p>
      <w:pPr>
        <w:spacing w:after="0" w:line="230" w:lineRule="auto"/>
        <w:rPr>
          <w:sz w:val="20"/>
          <w:szCs w:val="20"/>
          <w:color w:val="auto"/>
        </w:rPr>
      </w:pPr>
      <w:r>
        <w:rPr>
          <w:rFonts w:ascii="Arial" w:cs="Arial" w:eastAsia="Arial" w:hAnsi="Arial"/>
          <w:sz w:val="20"/>
          <w:szCs w:val="20"/>
          <w:color w:val="auto"/>
        </w:rPr>
        <w:t>(</w:t>
      </w:r>
      <w:r>
        <w:rPr>
          <w:rFonts w:ascii="Arial" w:cs="Arial" w:eastAsia="Arial" w:hAnsi="Arial"/>
          <w:sz w:val="20"/>
          <w:szCs w:val="20"/>
          <w:b w:val="1"/>
          <w:bCs w:val="1"/>
          <w:i w:val="1"/>
          <w:iCs w:val="1"/>
          <w:color w:val="3A5575"/>
        </w:rPr>
        <w:t>www.pinnaclewest.com</w:t>
      </w:r>
      <w:r>
        <w:rPr>
          <w:rFonts w:ascii="Arial" w:cs="Arial" w:eastAsia="Arial" w:hAnsi="Arial"/>
          <w:sz w:val="20"/>
          <w:szCs w:val="20"/>
          <w:color w:val="auto"/>
        </w:rPr>
        <w:t>). All of our committees are comprised of independent directors who meet the independence</w:t>
      </w:r>
    </w:p>
    <w:p>
      <w:pPr>
        <w:spacing w:after="0" w:line="230" w:lineRule="auto"/>
        <w:rPr>
          <w:sz w:val="20"/>
          <w:szCs w:val="20"/>
          <w:color w:val="auto"/>
        </w:rPr>
      </w:pPr>
      <w:r>
        <w:rPr>
          <w:rFonts w:ascii="Arial" w:cs="Arial" w:eastAsia="Arial" w:hAnsi="Arial"/>
          <w:sz w:val="20"/>
          <w:szCs w:val="20"/>
          <w:color w:val="auto"/>
        </w:rPr>
        <w:t>requirements of the NYSE rules, SEC rules, and the Director Independence Standards, including any specific committee</w:t>
      </w:r>
    </w:p>
    <w:p>
      <w:pPr>
        <w:spacing w:after="0" w:line="1" w:lineRule="exact"/>
        <w:rPr>
          <w:sz w:val="20"/>
          <w:szCs w:val="20"/>
          <w:color w:val="auto"/>
        </w:rPr>
      </w:pPr>
    </w:p>
    <w:p>
      <w:pPr>
        <w:spacing w:after="0"/>
        <w:rPr>
          <w:sz w:val="20"/>
          <w:szCs w:val="20"/>
          <w:color w:val="auto"/>
        </w:rPr>
      </w:pPr>
      <w:r>
        <w:rPr>
          <w:rFonts w:ascii="Arial" w:cs="Arial" w:eastAsia="Arial" w:hAnsi="Arial"/>
          <w:sz w:val="20"/>
          <w:szCs w:val="20"/>
          <w:color w:val="auto"/>
        </w:rPr>
        <w:t>independence requirements.</w:t>
      </w:r>
    </w:p>
    <w:p>
      <w:pPr>
        <w:spacing w:after="0" w:line="200" w:lineRule="exact"/>
        <w:rPr>
          <w:sz w:val="20"/>
          <w:szCs w:val="20"/>
          <w:color w:val="auto"/>
        </w:rPr>
      </w:pPr>
    </w:p>
    <w:p>
      <w:pPr>
        <w:spacing w:after="0" w:line="317"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48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tcPr>
          <w:p>
            <w:pPr>
              <w:spacing w:after="0"/>
              <w:rPr>
                <w:sz w:val="16"/>
                <w:szCs w:val="16"/>
                <w:color w:val="auto"/>
              </w:rPr>
            </w:pPr>
          </w:p>
        </w:tc>
        <w:tc>
          <w:tcPr>
            <w:tcW w:w="2560" w:type="dxa"/>
            <w:vAlign w:val="bottom"/>
            <w:gridSpan w:val="2"/>
          </w:tcPr>
          <w:p>
            <w:pPr>
              <w:jc w:val="center"/>
              <w:ind w:right="1280"/>
              <w:spacing w:after="0"/>
              <w:rPr>
                <w:sz w:val="20"/>
                <w:szCs w:val="20"/>
                <w:color w:val="auto"/>
              </w:rPr>
            </w:pPr>
            <w:r>
              <w:rPr>
                <w:rFonts w:ascii="Arial" w:cs="Arial" w:eastAsia="Arial" w:hAnsi="Arial"/>
                <w:sz w:val="16"/>
                <w:szCs w:val="16"/>
                <w:b w:val="1"/>
                <w:bCs w:val="1"/>
                <w:color w:val="3A5575"/>
                <w:w w:val="99"/>
              </w:rPr>
              <w:t>NUMBER OF</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tcPr>
          <w:p>
            <w:pPr>
              <w:spacing w:after="0"/>
              <w:rPr>
                <w:sz w:val="16"/>
                <w:szCs w:val="16"/>
                <w:color w:val="auto"/>
              </w:rPr>
            </w:pPr>
          </w:p>
        </w:tc>
        <w:tc>
          <w:tcPr>
            <w:tcW w:w="2560" w:type="dxa"/>
            <w:vAlign w:val="bottom"/>
            <w:gridSpan w:val="2"/>
          </w:tcPr>
          <w:p>
            <w:pPr>
              <w:jc w:val="center"/>
              <w:ind w:right="1280"/>
              <w:spacing w:after="0"/>
              <w:rPr>
                <w:sz w:val="20"/>
                <w:szCs w:val="20"/>
                <w:color w:val="auto"/>
              </w:rPr>
            </w:pPr>
            <w:r>
              <w:rPr>
                <w:rFonts w:ascii="Arial" w:cs="Arial" w:eastAsia="Arial" w:hAnsi="Arial"/>
                <w:sz w:val="16"/>
                <w:szCs w:val="16"/>
                <w:b w:val="1"/>
                <w:bCs w:val="1"/>
                <w:color w:val="3A5575"/>
              </w:rPr>
              <w:t>MEETINGS</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tcPr>
          <w:p>
            <w:pPr>
              <w:spacing w:after="0"/>
              <w:rPr>
                <w:sz w:val="16"/>
                <w:szCs w:val="16"/>
                <w:color w:val="auto"/>
              </w:rPr>
            </w:pPr>
          </w:p>
        </w:tc>
        <w:tc>
          <w:tcPr>
            <w:tcW w:w="2560" w:type="dxa"/>
            <w:vAlign w:val="bottom"/>
            <w:gridSpan w:val="2"/>
          </w:tcPr>
          <w:p>
            <w:pPr>
              <w:jc w:val="center"/>
              <w:ind w:right="1280"/>
              <w:spacing w:after="0"/>
              <w:rPr>
                <w:sz w:val="20"/>
                <w:szCs w:val="20"/>
                <w:color w:val="auto"/>
              </w:rPr>
            </w:pPr>
            <w:r>
              <w:rPr>
                <w:rFonts w:ascii="Arial" w:cs="Arial" w:eastAsia="Arial" w:hAnsi="Arial"/>
                <w:sz w:val="16"/>
                <w:szCs w:val="16"/>
                <w:b w:val="1"/>
                <w:bCs w:val="1"/>
                <w:color w:val="3A5575"/>
              </w:rPr>
              <w:t>DURING</w:t>
            </w:r>
          </w:p>
        </w:tc>
        <w:tc>
          <w:tcPr>
            <w:tcW w:w="0" w:type="dxa"/>
            <w:vAlign w:val="bottom"/>
          </w:tcPr>
          <w:p>
            <w:pPr>
              <w:spacing w:after="0"/>
              <w:rPr>
                <w:sz w:val="1"/>
                <w:szCs w:val="1"/>
                <w:color w:val="auto"/>
              </w:rPr>
            </w:pPr>
          </w:p>
        </w:tc>
      </w:tr>
      <w:tr>
        <w:trPr>
          <w:trHeight w:val="203"/>
        </w:trPr>
        <w:tc>
          <w:tcPr>
            <w:tcW w:w="14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20" w:type="dxa"/>
            <w:vAlign w:val="bottom"/>
          </w:tcPr>
          <w:p>
            <w:pPr>
              <w:spacing w:after="0"/>
              <w:rPr>
                <w:sz w:val="20"/>
                <w:szCs w:val="20"/>
                <w:color w:val="auto"/>
              </w:rPr>
            </w:pPr>
            <w:r>
              <w:rPr>
                <w:rFonts w:ascii="Arial" w:cs="Arial" w:eastAsia="Arial" w:hAnsi="Arial"/>
                <w:sz w:val="16"/>
                <w:szCs w:val="16"/>
                <w:b w:val="1"/>
                <w:bCs w:val="1"/>
                <w:color w:val="3A5575"/>
              </w:rPr>
              <w:t>RESPONSIBILITIES</w:t>
            </w:r>
          </w:p>
        </w:tc>
        <w:tc>
          <w:tcPr>
            <w:tcW w:w="2560" w:type="dxa"/>
            <w:vAlign w:val="bottom"/>
            <w:gridSpan w:val="2"/>
          </w:tcPr>
          <w:p>
            <w:pPr>
              <w:jc w:val="center"/>
              <w:ind w:right="1280"/>
              <w:spacing w:after="0"/>
              <w:rPr>
                <w:sz w:val="20"/>
                <w:szCs w:val="20"/>
                <w:color w:val="auto"/>
              </w:rPr>
            </w:pPr>
            <w:r>
              <w:rPr>
                <w:rFonts w:ascii="Arial" w:cs="Arial" w:eastAsia="Arial" w:hAnsi="Arial"/>
                <w:sz w:val="16"/>
                <w:szCs w:val="16"/>
                <w:b w:val="1"/>
                <w:bCs w:val="1"/>
                <w:color w:val="3A5575"/>
                <w:w w:val="98"/>
              </w:rPr>
              <w:t>FISCAL 2015</w:t>
            </w:r>
          </w:p>
        </w:tc>
        <w:tc>
          <w:tcPr>
            <w:tcW w:w="0" w:type="dxa"/>
            <w:vAlign w:val="bottom"/>
          </w:tcPr>
          <w:p>
            <w:pPr>
              <w:spacing w:after="0"/>
              <w:rPr>
                <w:sz w:val="1"/>
                <w:szCs w:val="1"/>
                <w:color w:val="auto"/>
              </w:rPr>
            </w:pPr>
          </w:p>
        </w:tc>
      </w:tr>
      <w:tr>
        <w:trPr>
          <w:trHeight w:val="147"/>
        </w:trPr>
        <w:tc>
          <w:tcPr>
            <w:tcW w:w="1480" w:type="dxa"/>
            <w:vAlign w:val="bottom"/>
          </w:tcPr>
          <w:p>
            <w:pPr>
              <w:spacing w:after="0"/>
              <w:rPr>
                <w:sz w:val="12"/>
                <w:szCs w:val="12"/>
                <w:color w:val="auto"/>
              </w:rPr>
            </w:pPr>
          </w:p>
        </w:tc>
        <w:tc>
          <w:tcPr>
            <w:tcW w:w="1760" w:type="dxa"/>
            <w:vAlign w:val="bottom"/>
            <w:gridSpan w:val="2"/>
            <w:shd w:val="clear" w:color="auto" w:fill="395775"/>
          </w:tcPr>
          <w:p>
            <w:pPr>
              <w:jc w:val="center"/>
              <w:spacing w:after="0" w:line="147" w:lineRule="exact"/>
              <w:rPr>
                <w:sz w:val="20"/>
                <w:szCs w:val="20"/>
                <w:color w:val="auto"/>
              </w:rPr>
            </w:pPr>
            <w:r>
              <w:rPr>
                <w:rFonts w:ascii="Arial" w:cs="Arial" w:eastAsia="Arial" w:hAnsi="Arial"/>
                <w:sz w:val="16"/>
                <w:szCs w:val="16"/>
                <w:b w:val="1"/>
                <w:bCs w:val="1"/>
                <w:color w:val="FFFFFE"/>
              </w:rPr>
              <w:t>AUDIT</w:t>
            </w:r>
          </w:p>
        </w:tc>
        <w:tc>
          <w:tcPr>
            <w:tcW w:w="200" w:type="dxa"/>
            <w:vAlign w:val="bottom"/>
          </w:tcPr>
          <w:p>
            <w:pPr>
              <w:spacing w:after="0"/>
              <w:rPr>
                <w:sz w:val="12"/>
                <w:szCs w:val="12"/>
                <w:color w:val="auto"/>
              </w:rPr>
            </w:pPr>
          </w:p>
        </w:tc>
        <w:tc>
          <w:tcPr>
            <w:tcW w:w="5420" w:type="dxa"/>
            <w:vAlign w:val="bottom"/>
            <w:tcBorders>
              <w:top w:val="single" w:sz="8" w:color="3A5575"/>
            </w:tcBorders>
            <w:shd w:val="clear" w:color="auto" w:fill="E3E5EB"/>
          </w:tcPr>
          <w:p>
            <w:pPr>
              <w:spacing w:after="0" w:line="147" w:lineRule="exact"/>
              <w:rPr>
                <w:sz w:val="20"/>
                <w:szCs w:val="20"/>
                <w:color w:val="auto"/>
              </w:rPr>
            </w:pPr>
            <w:r>
              <w:rPr>
                <w:rFonts w:ascii="Arial" w:cs="Arial" w:eastAsia="Arial" w:hAnsi="Arial"/>
                <w:sz w:val="16"/>
                <w:szCs w:val="16"/>
                <w:color w:val="3A5575"/>
              </w:rPr>
              <w:t>The Audit Committee:</w:t>
            </w:r>
          </w:p>
        </w:tc>
        <w:tc>
          <w:tcPr>
            <w:tcW w:w="1180" w:type="dxa"/>
            <w:vAlign w:val="bottom"/>
            <w:tcBorders>
              <w:top w:val="single" w:sz="8" w:color="3A5575"/>
            </w:tcBorders>
            <w:shd w:val="clear" w:color="auto" w:fill="E3E5EB"/>
          </w:tcPr>
          <w:p>
            <w:pPr>
              <w:jc w:val="center"/>
              <w:ind w:left="20"/>
              <w:spacing w:after="0" w:line="147" w:lineRule="exact"/>
              <w:rPr>
                <w:sz w:val="20"/>
                <w:szCs w:val="20"/>
                <w:color w:val="auto"/>
              </w:rPr>
            </w:pPr>
            <w:r>
              <w:rPr>
                <w:rFonts w:ascii="Arial" w:cs="Arial" w:eastAsia="Arial" w:hAnsi="Arial"/>
                <w:sz w:val="16"/>
                <w:szCs w:val="16"/>
                <w:color w:val="auto"/>
                <w:w w:val="89"/>
              </w:rPr>
              <w:t>6</w:t>
            </w:r>
          </w:p>
        </w:tc>
        <w:tc>
          <w:tcPr>
            <w:tcW w:w="13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rPr>
              <w:t>COMMITTEE:</w:t>
            </w: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Oversees the integrity of the Company's financial statements;</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rPr>
              <w:t>Bruce J. Nordstrom,</w:t>
            </w:r>
          </w:p>
        </w:tc>
        <w:tc>
          <w:tcPr>
            <w:tcW w:w="200" w:type="dxa"/>
            <w:vAlign w:val="bottom"/>
          </w:tcPr>
          <w:p>
            <w:pPr>
              <w:spacing w:after="0"/>
              <w:rPr>
                <w:sz w:val="16"/>
                <w:szCs w:val="16"/>
                <w:color w:val="auto"/>
              </w:rPr>
            </w:pPr>
          </w:p>
        </w:tc>
        <w:tc>
          <w:tcPr>
            <w:tcW w:w="5420" w:type="dxa"/>
            <w:vAlign w:val="bottom"/>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Appoints the independent accountants and is responsible for their</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gridSpan w:val="2"/>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rPr>
              <w:t>Chair</w:t>
            </w:r>
          </w:p>
        </w:tc>
        <w:tc>
          <w:tcPr>
            <w:tcW w:w="200" w:type="dxa"/>
            <w:vAlign w:val="bottom"/>
          </w:tcPr>
          <w:p>
            <w:pPr>
              <w:spacing w:after="0"/>
              <w:rPr>
                <w:sz w:val="15"/>
                <w:szCs w:val="15"/>
                <w:color w:val="auto"/>
              </w:rPr>
            </w:pPr>
          </w:p>
        </w:tc>
        <w:tc>
          <w:tcPr>
            <w:tcW w:w="5420" w:type="dxa"/>
            <w:vAlign w:val="bottom"/>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13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Denis A. Cortese</w:t>
            </w:r>
          </w:p>
        </w:tc>
        <w:tc>
          <w:tcPr>
            <w:tcW w:w="200" w:type="dxa"/>
            <w:vAlign w:val="bottom"/>
          </w:tcPr>
          <w:p>
            <w:pPr>
              <w:spacing w:after="0"/>
              <w:rPr>
                <w:sz w:val="16"/>
                <w:szCs w:val="16"/>
                <w:color w:val="auto"/>
              </w:rPr>
            </w:pPr>
          </w:p>
        </w:tc>
        <w:tc>
          <w:tcPr>
            <w:tcW w:w="5420" w:type="dxa"/>
            <w:vAlign w:val="bottom"/>
            <w:shd w:val="clear" w:color="auto" w:fill="E3E5EB"/>
          </w:tcPr>
          <w:p>
            <w:pPr>
              <w:ind w:left="280"/>
              <w:spacing w:after="0"/>
              <w:rPr>
                <w:sz w:val="20"/>
                <w:szCs w:val="20"/>
                <w:color w:val="auto"/>
              </w:rPr>
            </w:pPr>
            <w:r>
              <w:rPr>
                <w:rFonts w:ascii="Arial" w:cs="Arial" w:eastAsia="Arial" w:hAnsi="Arial"/>
                <w:sz w:val="16"/>
                <w:szCs w:val="16"/>
                <w:color w:val="auto"/>
              </w:rPr>
              <w:t>qualifications, independence, performance, and compensation;</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Richard P. Fox</w:t>
            </w:r>
          </w:p>
        </w:tc>
        <w:tc>
          <w:tcPr>
            <w:tcW w:w="200" w:type="dxa"/>
            <w:vAlign w:val="bottom"/>
          </w:tcPr>
          <w:p>
            <w:pPr>
              <w:spacing w:after="0"/>
              <w:rPr>
                <w:sz w:val="16"/>
                <w:szCs w:val="16"/>
                <w:color w:val="auto"/>
              </w:rPr>
            </w:pPr>
          </w:p>
        </w:tc>
        <w:tc>
          <w:tcPr>
            <w:tcW w:w="5420" w:type="dxa"/>
            <w:vAlign w:val="bottom"/>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the performance of the Company's internal audit function; and</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rPr>
              <w:t>Dale E. Klein</w:t>
            </w:r>
          </w:p>
        </w:tc>
        <w:tc>
          <w:tcPr>
            <w:tcW w:w="200" w:type="dxa"/>
            <w:vAlign w:val="bottom"/>
          </w:tcPr>
          <w:p>
            <w:pPr>
              <w:spacing w:after="0"/>
              <w:rPr>
                <w:sz w:val="16"/>
                <w:szCs w:val="16"/>
                <w:color w:val="auto"/>
              </w:rPr>
            </w:pPr>
          </w:p>
        </w:tc>
        <w:tc>
          <w:tcPr>
            <w:tcW w:w="5420" w:type="dxa"/>
            <w:vAlign w:val="bottom"/>
            <w:vMerge w:val="continue"/>
            <w:shd w:val="clear" w:color="auto" w:fill="E3E5EB"/>
          </w:tcPr>
          <w:p>
            <w:pPr>
              <w:spacing w:after="0"/>
              <w:rPr>
                <w:sz w:val="16"/>
                <w:szCs w:val="16"/>
                <w:color w:val="auto"/>
              </w:rPr>
            </w:pP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gridSpan w:val="2"/>
            <w:shd w:val="clear" w:color="auto" w:fill="395775"/>
          </w:tcPr>
          <w:p>
            <w:pPr>
              <w:jc w:val="center"/>
              <w:spacing w:after="0"/>
              <w:rPr>
                <w:sz w:val="20"/>
                <w:szCs w:val="20"/>
                <w:color w:val="auto"/>
              </w:rPr>
            </w:pPr>
            <w:r>
              <w:rPr>
                <w:rFonts w:ascii="Arial" w:cs="Arial" w:eastAsia="Arial" w:hAnsi="Arial"/>
                <w:sz w:val="16"/>
                <w:szCs w:val="16"/>
                <w:b w:val="1"/>
                <w:bCs w:val="1"/>
                <w:color w:val="FFFFFE"/>
              </w:rPr>
              <w:t>Humberto S. Lopez</w:t>
            </w:r>
          </w:p>
        </w:tc>
        <w:tc>
          <w:tcPr>
            <w:tcW w:w="200" w:type="dxa"/>
            <w:vAlign w:val="bottom"/>
          </w:tcPr>
          <w:p>
            <w:pPr>
              <w:spacing w:after="0"/>
              <w:rPr>
                <w:sz w:val="16"/>
                <w:szCs w:val="16"/>
                <w:color w:val="auto"/>
              </w:rPr>
            </w:pPr>
          </w:p>
        </w:tc>
        <w:tc>
          <w:tcPr>
            <w:tcW w:w="5420" w:type="dxa"/>
            <w:vAlign w:val="bottom"/>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Monitors the Company's general compliance with legal and regulatory</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gridSpan w:val="2"/>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w w:val="97"/>
              </w:rPr>
              <w:t>David P. Wagener</w:t>
            </w:r>
          </w:p>
        </w:tc>
        <w:tc>
          <w:tcPr>
            <w:tcW w:w="200" w:type="dxa"/>
            <w:vAlign w:val="bottom"/>
          </w:tcPr>
          <w:p>
            <w:pPr>
              <w:spacing w:after="0"/>
              <w:rPr>
                <w:sz w:val="15"/>
                <w:szCs w:val="15"/>
                <w:color w:val="auto"/>
              </w:rPr>
            </w:pPr>
          </w:p>
        </w:tc>
        <w:tc>
          <w:tcPr>
            <w:tcW w:w="5420" w:type="dxa"/>
            <w:vAlign w:val="bottom"/>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13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1"/>
        </w:trPr>
        <w:tc>
          <w:tcPr>
            <w:tcW w:w="1480" w:type="dxa"/>
            <w:vAlign w:val="bottom"/>
          </w:tcPr>
          <w:p>
            <w:pPr>
              <w:spacing w:after="0"/>
              <w:rPr>
                <w:sz w:val="17"/>
                <w:szCs w:val="17"/>
                <w:color w:val="auto"/>
              </w:rPr>
            </w:pPr>
          </w:p>
        </w:tc>
        <w:tc>
          <w:tcPr>
            <w:tcW w:w="860" w:type="dxa"/>
            <w:vAlign w:val="bottom"/>
            <w:shd w:val="clear" w:color="auto" w:fill="395775"/>
          </w:tcPr>
          <w:p>
            <w:pPr>
              <w:spacing w:after="0"/>
              <w:rPr>
                <w:sz w:val="17"/>
                <w:szCs w:val="17"/>
                <w:color w:val="auto"/>
              </w:rPr>
            </w:pPr>
          </w:p>
        </w:tc>
        <w:tc>
          <w:tcPr>
            <w:tcW w:w="900" w:type="dxa"/>
            <w:vAlign w:val="bottom"/>
            <w:shd w:val="clear" w:color="auto" w:fill="395775"/>
          </w:tcPr>
          <w:p>
            <w:pPr>
              <w:spacing w:after="0"/>
              <w:rPr>
                <w:sz w:val="17"/>
                <w:szCs w:val="17"/>
                <w:color w:val="auto"/>
              </w:rPr>
            </w:pPr>
          </w:p>
        </w:tc>
        <w:tc>
          <w:tcPr>
            <w:tcW w:w="200" w:type="dxa"/>
            <w:vAlign w:val="bottom"/>
          </w:tcPr>
          <w:p>
            <w:pPr>
              <w:spacing w:after="0"/>
              <w:rPr>
                <w:sz w:val="17"/>
                <w:szCs w:val="17"/>
                <w:color w:val="auto"/>
              </w:rPr>
            </w:pPr>
          </w:p>
        </w:tc>
        <w:tc>
          <w:tcPr>
            <w:tcW w:w="5420" w:type="dxa"/>
            <w:vAlign w:val="bottom"/>
            <w:shd w:val="clear" w:color="auto" w:fill="E3E5EB"/>
          </w:tcPr>
          <w:p>
            <w:pPr>
              <w:ind w:left="280"/>
              <w:spacing w:after="0"/>
              <w:rPr>
                <w:sz w:val="20"/>
                <w:szCs w:val="20"/>
                <w:color w:val="auto"/>
              </w:rPr>
            </w:pPr>
            <w:r>
              <w:rPr>
                <w:rFonts w:ascii="Arial" w:cs="Arial" w:eastAsia="Arial" w:hAnsi="Arial"/>
                <w:sz w:val="16"/>
                <w:szCs w:val="16"/>
                <w:color w:val="auto"/>
              </w:rPr>
              <w:t>requirements.</w:t>
            </w:r>
          </w:p>
        </w:tc>
        <w:tc>
          <w:tcPr>
            <w:tcW w:w="1180" w:type="dxa"/>
            <w:vAlign w:val="bottom"/>
            <w:shd w:val="clear" w:color="auto" w:fill="E3E5EB"/>
          </w:tcPr>
          <w:p>
            <w:pPr>
              <w:spacing w:after="0"/>
              <w:rPr>
                <w:sz w:val="17"/>
                <w:szCs w:val="17"/>
                <w:color w:val="auto"/>
              </w:rPr>
            </w:pPr>
          </w:p>
        </w:tc>
        <w:tc>
          <w:tcPr>
            <w:tcW w:w="1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1480" w:type="dxa"/>
            <w:vAlign w:val="bottom"/>
          </w:tcPr>
          <w:p>
            <w:pPr>
              <w:spacing w:after="0"/>
              <w:rPr>
                <w:sz w:val="14"/>
                <w:szCs w:val="14"/>
                <w:color w:val="auto"/>
              </w:rPr>
            </w:pPr>
          </w:p>
        </w:tc>
        <w:tc>
          <w:tcPr>
            <w:tcW w:w="860" w:type="dxa"/>
            <w:vAlign w:val="bottom"/>
            <w:shd w:val="clear" w:color="auto" w:fill="395775"/>
          </w:tcPr>
          <w:p>
            <w:pPr>
              <w:spacing w:after="0"/>
              <w:rPr>
                <w:sz w:val="14"/>
                <w:szCs w:val="14"/>
                <w:color w:val="auto"/>
              </w:rPr>
            </w:pPr>
          </w:p>
        </w:tc>
        <w:tc>
          <w:tcPr>
            <w:tcW w:w="900" w:type="dxa"/>
            <w:vAlign w:val="bottom"/>
            <w:shd w:val="clear" w:color="auto" w:fill="395775"/>
          </w:tcPr>
          <w:p>
            <w:pPr>
              <w:spacing w:after="0"/>
              <w:rPr>
                <w:sz w:val="14"/>
                <w:szCs w:val="14"/>
                <w:color w:val="auto"/>
              </w:rPr>
            </w:pPr>
          </w:p>
        </w:tc>
        <w:tc>
          <w:tcPr>
            <w:tcW w:w="200" w:type="dxa"/>
            <w:vAlign w:val="bottom"/>
          </w:tcPr>
          <w:p>
            <w:pPr>
              <w:spacing w:after="0"/>
              <w:rPr>
                <w:sz w:val="14"/>
                <w:szCs w:val="14"/>
                <w:color w:val="auto"/>
              </w:rPr>
            </w:pPr>
          </w:p>
        </w:tc>
        <w:tc>
          <w:tcPr>
            <w:tcW w:w="5420" w:type="dxa"/>
            <w:vAlign w:val="bottom"/>
            <w:shd w:val="clear" w:color="auto" w:fill="E3E5EB"/>
          </w:tcPr>
          <w:p>
            <w:pPr>
              <w:spacing w:after="0" w:line="167" w:lineRule="exact"/>
              <w:rPr>
                <w:sz w:val="20"/>
                <w:szCs w:val="20"/>
                <w:color w:val="auto"/>
              </w:rPr>
            </w:pPr>
            <w:r>
              <w:rPr>
                <w:rFonts w:ascii="Arial" w:cs="Arial" w:eastAsia="Arial" w:hAnsi="Arial"/>
                <w:sz w:val="16"/>
                <w:szCs w:val="16"/>
                <w:color w:val="auto"/>
              </w:rPr>
              <w:t>The Board has determined that each member of the Audit Committee meets</w:t>
            </w:r>
          </w:p>
        </w:tc>
        <w:tc>
          <w:tcPr>
            <w:tcW w:w="1180" w:type="dxa"/>
            <w:vAlign w:val="bottom"/>
            <w:shd w:val="clear" w:color="auto" w:fill="E3E5EB"/>
          </w:tcPr>
          <w:p>
            <w:pPr>
              <w:spacing w:after="0"/>
              <w:rPr>
                <w:sz w:val="14"/>
                <w:szCs w:val="14"/>
                <w:color w:val="auto"/>
              </w:rPr>
            </w:pPr>
          </w:p>
        </w:tc>
        <w:tc>
          <w:tcPr>
            <w:tcW w:w="13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the NYSE experience requirements and that Mr. Nordstrom, the Chair of the</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Audit Committee, and Mr. Fox are "audit committee financial experts" under</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applicable SEC rules. None of the members of our Audit Committee, other</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than Mr. Fox, currently serve on more than three public company audit</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committees. Mr. Fox currently serves on the audit committees of four public</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companies, including Pinnacle West. Our Board has discussed with Mr. Fox</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the time and effort required to be devoted by Mr. Fox to his service on these</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committees and has affirmatively determined that such services do not</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860" w:type="dxa"/>
            <w:vAlign w:val="bottom"/>
            <w:shd w:val="clear" w:color="auto" w:fill="395775"/>
          </w:tcPr>
          <w:p>
            <w:pPr>
              <w:spacing w:after="0"/>
              <w:rPr>
                <w:sz w:val="16"/>
                <w:szCs w:val="16"/>
                <w:color w:val="auto"/>
              </w:rPr>
            </w:pPr>
          </w:p>
        </w:tc>
        <w:tc>
          <w:tcPr>
            <w:tcW w:w="90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impair Mr. Fox's ability to serve as an effective member of our Audit</w:t>
            </w:r>
          </w:p>
        </w:tc>
        <w:tc>
          <w:tcPr>
            <w:tcW w:w="1180" w:type="dxa"/>
            <w:vAlign w:val="bottom"/>
            <w:shd w:val="clear" w:color="auto" w:fill="E3E5EB"/>
          </w:tcPr>
          <w:p>
            <w:pPr>
              <w:spacing w:after="0"/>
              <w:rPr>
                <w:sz w:val="16"/>
                <w:szCs w:val="16"/>
                <w:color w:val="auto"/>
              </w:rPr>
            </w:pPr>
          </w:p>
        </w:tc>
        <w:tc>
          <w:tcPr>
            <w:tcW w:w="1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1"/>
        </w:trPr>
        <w:tc>
          <w:tcPr>
            <w:tcW w:w="1480" w:type="dxa"/>
            <w:vAlign w:val="bottom"/>
          </w:tcPr>
          <w:p>
            <w:pPr>
              <w:spacing w:after="0"/>
              <w:rPr>
                <w:sz w:val="17"/>
                <w:szCs w:val="17"/>
                <w:color w:val="auto"/>
              </w:rPr>
            </w:pPr>
          </w:p>
        </w:tc>
        <w:tc>
          <w:tcPr>
            <w:tcW w:w="860" w:type="dxa"/>
            <w:vAlign w:val="bottom"/>
            <w:shd w:val="clear" w:color="auto" w:fill="395775"/>
          </w:tcPr>
          <w:p>
            <w:pPr>
              <w:spacing w:after="0"/>
              <w:rPr>
                <w:sz w:val="17"/>
                <w:szCs w:val="17"/>
                <w:color w:val="auto"/>
              </w:rPr>
            </w:pPr>
          </w:p>
        </w:tc>
        <w:tc>
          <w:tcPr>
            <w:tcW w:w="900" w:type="dxa"/>
            <w:vAlign w:val="bottom"/>
            <w:shd w:val="clear" w:color="auto" w:fill="395775"/>
          </w:tcPr>
          <w:p>
            <w:pPr>
              <w:spacing w:after="0"/>
              <w:rPr>
                <w:sz w:val="17"/>
                <w:szCs w:val="17"/>
                <w:color w:val="auto"/>
              </w:rPr>
            </w:pPr>
          </w:p>
        </w:tc>
        <w:tc>
          <w:tcPr>
            <w:tcW w:w="200" w:type="dxa"/>
            <w:vAlign w:val="bottom"/>
          </w:tcPr>
          <w:p>
            <w:pPr>
              <w:spacing w:after="0"/>
              <w:rPr>
                <w:sz w:val="17"/>
                <w:szCs w:val="17"/>
                <w:color w:val="auto"/>
              </w:rPr>
            </w:pPr>
          </w:p>
        </w:tc>
        <w:tc>
          <w:tcPr>
            <w:tcW w:w="5420" w:type="dxa"/>
            <w:vAlign w:val="bottom"/>
            <w:shd w:val="clear" w:color="auto" w:fill="E3E5EB"/>
          </w:tcPr>
          <w:p>
            <w:pPr>
              <w:spacing w:after="0"/>
              <w:rPr>
                <w:sz w:val="20"/>
                <w:szCs w:val="20"/>
                <w:color w:val="auto"/>
              </w:rPr>
            </w:pPr>
            <w:r>
              <w:rPr>
                <w:rFonts w:ascii="Arial" w:cs="Arial" w:eastAsia="Arial" w:hAnsi="Arial"/>
                <w:sz w:val="16"/>
                <w:szCs w:val="16"/>
                <w:color w:val="auto"/>
              </w:rPr>
              <w:t>Committee.</w:t>
            </w:r>
          </w:p>
        </w:tc>
        <w:tc>
          <w:tcPr>
            <w:tcW w:w="1180" w:type="dxa"/>
            <w:vAlign w:val="bottom"/>
            <w:shd w:val="clear" w:color="auto" w:fill="E3E5EB"/>
          </w:tcPr>
          <w:p>
            <w:pPr>
              <w:spacing w:after="0"/>
              <w:rPr>
                <w:sz w:val="17"/>
                <w:szCs w:val="17"/>
                <w:color w:val="auto"/>
              </w:rPr>
            </w:pPr>
          </w:p>
        </w:tc>
        <w:tc>
          <w:tcPr>
            <w:tcW w:w="1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622"/>
        </w:trPr>
        <w:tc>
          <w:tcPr>
            <w:tcW w:w="1480" w:type="dxa"/>
            <w:vAlign w:val="bottom"/>
          </w:tcPr>
          <w:p>
            <w:pPr>
              <w:jc w:val="right"/>
              <w:ind w:right="1180"/>
              <w:spacing w:after="0"/>
              <w:rPr>
                <w:sz w:val="20"/>
                <w:szCs w:val="20"/>
                <w:color w:val="auto"/>
              </w:rPr>
            </w:pPr>
            <w:r>
              <w:rPr>
                <w:rFonts w:ascii="Arial" w:cs="Arial" w:eastAsia="Arial" w:hAnsi="Arial"/>
                <w:sz w:val="16"/>
                <w:szCs w:val="16"/>
                <w:b w:val="1"/>
                <w:bCs w:val="1"/>
                <w:color w:val="auto"/>
              </w:rPr>
              <w:t>14</w:t>
            </w:r>
          </w:p>
        </w:tc>
        <w:tc>
          <w:tcPr>
            <w:tcW w:w="860" w:type="dxa"/>
            <w:vAlign w:val="bottom"/>
            <w:vMerge w:val="restart"/>
          </w:tcPr>
          <w:p>
            <w:pPr>
              <w:jc w:val="right"/>
              <w:ind w:right="60"/>
              <w:spacing w:after="0"/>
              <w:rPr>
                <w:sz w:val="20"/>
                <w:szCs w:val="20"/>
                <w:color w:val="auto"/>
              </w:rPr>
            </w:pPr>
            <w:r>
              <w:rPr>
                <w:rFonts w:ascii="Arial" w:cs="Arial" w:eastAsia="Arial" w:hAnsi="Arial"/>
                <w:sz w:val="16"/>
                <w:szCs w:val="16"/>
                <w:b w:val="1"/>
                <w:bCs w:val="1"/>
                <w:color w:val="3A5575"/>
              </w:rPr>
              <w:t>|</w:t>
            </w:r>
          </w:p>
        </w:tc>
        <w:tc>
          <w:tcPr>
            <w:tcW w:w="6520" w:type="dxa"/>
            <w:vAlign w:val="bottom"/>
            <w:gridSpan w:val="3"/>
          </w:tcPr>
          <w:p>
            <w:pPr>
              <w:ind w:left="140"/>
              <w:spacing w:after="0"/>
              <w:rPr>
                <w:sz w:val="20"/>
                <w:szCs w:val="20"/>
                <w:color w:val="auto"/>
              </w:rPr>
            </w:pPr>
            <w:r>
              <w:rPr>
                <w:rFonts w:ascii="Arial" w:cs="Arial" w:eastAsia="Arial" w:hAnsi="Arial"/>
                <w:sz w:val="16"/>
                <w:szCs w:val="16"/>
                <w:color w:val="auto"/>
              </w:rPr>
              <w:t>2016 Proxy Statement</w:t>
            </w:r>
          </w:p>
        </w:tc>
        <w:tc>
          <w:tcPr>
            <w:tcW w:w="118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
        </w:trPr>
        <w:tc>
          <w:tcPr>
            <w:tcW w:w="1480" w:type="dxa"/>
            <w:vAlign w:val="bottom"/>
          </w:tcPr>
          <w:p>
            <w:pPr>
              <w:spacing w:after="0"/>
              <w:rPr>
                <w:sz w:val="6"/>
                <w:szCs w:val="6"/>
                <w:color w:val="auto"/>
              </w:rPr>
            </w:pPr>
          </w:p>
        </w:tc>
        <w:tc>
          <w:tcPr>
            <w:tcW w:w="860" w:type="dxa"/>
            <w:vAlign w:val="bottom"/>
            <w:vMerge w:val="continue"/>
          </w:tcPr>
          <w:p>
            <w:pPr>
              <w:spacing w:after="0"/>
              <w:rPr>
                <w:sz w:val="6"/>
                <w:szCs w:val="6"/>
                <w:color w:val="auto"/>
              </w:rPr>
            </w:pPr>
          </w:p>
        </w:tc>
        <w:tc>
          <w:tcPr>
            <w:tcW w:w="900" w:type="dxa"/>
            <w:vAlign w:val="bottom"/>
          </w:tcPr>
          <w:p>
            <w:pPr>
              <w:spacing w:after="0"/>
              <w:rPr>
                <w:sz w:val="6"/>
                <w:szCs w:val="6"/>
                <w:color w:val="auto"/>
              </w:rPr>
            </w:pPr>
          </w:p>
        </w:tc>
        <w:tc>
          <w:tcPr>
            <w:tcW w:w="200" w:type="dxa"/>
            <w:vAlign w:val="bottom"/>
          </w:tcPr>
          <w:p>
            <w:pPr>
              <w:spacing w:after="0"/>
              <w:rPr>
                <w:sz w:val="6"/>
                <w:szCs w:val="6"/>
                <w:color w:val="auto"/>
              </w:rPr>
            </w:pPr>
          </w:p>
        </w:tc>
        <w:tc>
          <w:tcPr>
            <w:tcW w:w="5420" w:type="dxa"/>
            <w:vAlign w:val="bottom"/>
          </w:tcPr>
          <w:p>
            <w:pPr>
              <w:spacing w:after="0"/>
              <w:rPr>
                <w:sz w:val="6"/>
                <w:szCs w:val="6"/>
                <w:color w:val="auto"/>
              </w:rPr>
            </w:pPr>
          </w:p>
        </w:tc>
        <w:tc>
          <w:tcPr>
            <w:tcW w:w="1180" w:type="dxa"/>
            <w:vAlign w:val="bottom"/>
          </w:tcPr>
          <w:p>
            <w:pPr>
              <w:spacing w:after="0"/>
              <w:rPr>
                <w:sz w:val="6"/>
                <w:szCs w:val="6"/>
                <w:color w:val="auto"/>
              </w:rPr>
            </w:pPr>
          </w:p>
        </w:tc>
        <w:tc>
          <w:tcPr>
            <w:tcW w:w="13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48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542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318135</wp:posOffset>
            </wp:positionH>
            <wp:positionV relativeFrom="paragraph">
              <wp:posOffset>-281940</wp:posOffset>
            </wp:positionV>
            <wp:extent cx="841375" cy="16383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type w:val="continuous"/>
        </w:sectPr>
      </w:pPr>
    </w:p>
    <w:bookmarkStart w:id="23" w:name="page24"/>
    <w:bookmarkEnd w:id="2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148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3060" w:type="dxa"/>
            <w:vAlign w:val="bottom"/>
          </w:tcPr>
          <w:p>
            <w:pPr>
              <w:spacing w:after="0"/>
              <w:rPr>
                <w:sz w:val="19"/>
                <w:szCs w:val="19"/>
                <w:color w:val="auto"/>
              </w:rPr>
            </w:pPr>
          </w:p>
        </w:tc>
        <w:tc>
          <w:tcPr>
            <w:tcW w:w="4600" w:type="dxa"/>
            <w:vAlign w:val="bottom"/>
            <w:tcBorders>
              <w:bottom w:val="single" w:sz="8" w:color="3A5575"/>
            </w:tcBorders>
            <w:gridSpan w:val="3"/>
            <w:shd w:val="clear" w:color="auto" w:fill="3A5575"/>
          </w:tcPr>
          <w:p>
            <w:pPr>
              <w:ind w:left="40"/>
              <w:spacing w:after="0"/>
              <w:rPr>
                <w:sz w:val="20"/>
                <w:szCs w:val="20"/>
                <w:color w:val="auto"/>
              </w:rPr>
            </w:pPr>
            <w:r>
              <w:rPr>
                <w:rFonts w:ascii="Arial" w:cs="Arial" w:eastAsia="Arial" w:hAnsi="Arial"/>
                <w:sz w:val="13"/>
                <w:szCs w:val="13"/>
                <w:b w:val="1"/>
                <w:bCs w:val="1"/>
                <w:color w:val="FFFFFE"/>
              </w:rPr>
              <w:t>INFORMATION ABOUT OUR BOARD AND CORPORATE GOVERNANCE</w:t>
            </w:r>
          </w:p>
        </w:tc>
        <w:tc>
          <w:tcPr>
            <w:tcW w:w="300" w:type="dxa"/>
            <w:vAlign w:val="bottom"/>
            <w:tcBorders>
              <w:bottom w:val="single" w:sz="8" w:color="3A5575"/>
            </w:tcBorders>
            <w:shd w:val="clear" w:color="auto" w:fill="3A5575"/>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3"/>
        </w:trPr>
        <w:tc>
          <w:tcPr>
            <w:tcW w:w="1480" w:type="dxa"/>
            <w:vAlign w:val="bottom"/>
          </w:tcPr>
          <w:p>
            <w:pPr>
              <w:spacing w:after="0"/>
              <w:rPr>
                <w:sz w:val="22"/>
                <w:szCs w:val="22"/>
                <w:color w:val="auto"/>
              </w:rPr>
            </w:pPr>
          </w:p>
        </w:tc>
        <w:tc>
          <w:tcPr>
            <w:tcW w:w="17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3060" w:type="dxa"/>
            <w:vAlign w:val="bottom"/>
          </w:tcPr>
          <w:p>
            <w:pPr>
              <w:spacing w:after="0"/>
              <w:rPr>
                <w:sz w:val="22"/>
                <w:szCs w:val="22"/>
                <w:color w:val="auto"/>
              </w:rPr>
            </w:pPr>
          </w:p>
        </w:tc>
        <w:tc>
          <w:tcPr>
            <w:tcW w:w="2340" w:type="dxa"/>
            <w:vAlign w:val="bottom"/>
          </w:tcPr>
          <w:p>
            <w:pPr>
              <w:spacing w:after="0"/>
              <w:rPr>
                <w:sz w:val="22"/>
                <w:szCs w:val="22"/>
                <w:color w:val="auto"/>
              </w:rPr>
            </w:pPr>
          </w:p>
        </w:tc>
        <w:tc>
          <w:tcPr>
            <w:tcW w:w="2260" w:type="dxa"/>
            <w:vAlign w:val="bottom"/>
            <w:gridSpan w:val="2"/>
          </w:tcPr>
          <w:p>
            <w:pPr>
              <w:jc w:val="center"/>
              <w:ind w:right="980"/>
              <w:spacing w:after="0"/>
              <w:rPr>
                <w:sz w:val="20"/>
                <w:szCs w:val="20"/>
                <w:color w:val="auto"/>
              </w:rPr>
            </w:pPr>
            <w:r>
              <w:rPr>
                <w:rFonts w:ascii="Arial" w:cs="Arial" w:eastAsia="Arial" w:hAnsi="Arial"/>
                <w:sz w:val="16"/>
                <w:szCs w:val="16"/>
                <w:b w:val="1"/>
                <w:bCs w:val="1"/>
                <w:color w:val="3A5575"/>
                <w:w w:val="99"/>
              </w:rPr>
              <w:t>NUMBER OF</w:t>
            </w:r>
          </w:p>
        </w:tc>
        <w:tc>
          <w:tcPr>
            <w:tcW w:w="3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060" w:type="dxa"/>
            <w:vAlign w:val="bottom"/>
          </w:tcPr>
          <w:p>
            <w:pPr>
              <w:spacing w:after="0"/>
              <w:rPr>
                <w:sz w:val="16"/>
                <w:szCs w:val="16"/>
                <w:color w:val="auto"/>
              </w:rPr>
            </w:pPr>
          </w:p>
        </w:tc>
        <w:tc>
          <w:tcPr>
            <w:tcW w:w="2340" w:type="dxa"/>
            <w:vAlign w:val="bottom"/>
          </w:tcPr>
          <w:p>
            <w:pPr>
              <w:spacing w:after="0"/>
              <w:rPr>
                <w:sz w:val="16"/>
                <w:szCs w:val="16"/>
                <w:color w:val="auto"/>
              </w:rPr>
            </w:pPr>
          </w:p>
        </w:tc>
        <w:tc>
          <w:tcPr>
            <w:tcW w:w="2260" w:type="dxa"/>
            <w:vAlign w:val="bottom"/>
            <w:gridSpan w:val="2"/>
          </w:tcPr>
          <w:p>
            <w:pPr>
              <w:jc w:val="center"/>
              <w:ind w:right="980"/>
              <w:spacing w:after="0"/>
              <w:rPr>
                <w:sz w:val="20"/>
                <w:szCs w:val="20"/>
                <w:color w:val="auto"/>
              </w:rPr>
            </w:pPr>
            <w:r>
              <w:rPr>
                <w:rFonts w:ascii="Arial" w:cs="Arial" w:eastAsia="Arial" w:hAnsi="Arial"/>
                <w:sz w:val="16"/>
                <w:szCs w:val="16"/>
                <w:b w:val="1"/>
                <w:bCs w:val="1"/>
                <w:color w:val="3A5575"/>
              </w:rPr>
              <w:t>MEETINGS</w:t>
            </w: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060" w:type="dxa"/>
            <w:vAlign w:val="bottom"/>
          </w:tcPr>
          <w:p>
            <w:pPr>
              <w:spacing w:after="0"/>
              <w:rPr>
                <w:sz w:val="16"/>
                <w:szCs w:val="16"/>
                <w:color w:val="auto"/>
              </w:rPr>
            </w:pPr>
          </w:p>
        </w:tc>
        <w:tc>
          <w:tcPr>
            <w:tcW w:w="2340" w:type="dxa"/>
            <w:vAlign w:val="bottom"/>
          </w:tcPr>
          <w:p>
            <w:pPr>
              <w:spacing w:after="0"/>
              <w:rPr>
                <w:sz w:val="16"/>
                <w:szCs w:val="16"/>
                <w:color w:val="auto"/>
              </w:rPr>
            </w:pPr>
          </w:p>
        </w:tc>
        <w:tc>
          <w:tcPr>
            <w:tcW w:w="2260" w:type="dxa"/>
            <w:vAlign w:val="bottom"/>
            <w:gridSpan w:val="2"/>
          </w:tcPr>
          <w:p>
            <w:pPr>
              <w:jc w:val="center"/>
              <w:ind w:right="980"/>
              <w:spacing w:after="0"/>
              <w:rPr>
                <w:sz w:val="20"/>
                <w:szCs w:val="20"/>
                <w:color w:val="auto"/>
              </w:rPr>
            </w:pPr>
            <w:r>
              <w:rPr>
                <w:rFonts w:ascii="Arial" w:cs="Arial" w:eastAsia="Arial" w:hAnsi="Arial"/>
                <w:sz w:val="16"/>
                <w:szCs w:val="16"/>
                <w:b w:val="1"/>
                <w:bCs w:val="1"/>
                <w:color w:val="3A5575"/>
              </w:rPr>
              <w:t>DURING</w:t>
            </w: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148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20" w:type="dxa"/>
            <w:vAlign w:val="bottom"/>
            <w:gridSpan w:val="3"/>
          </w:tcPr>
          <w:p>
            <w:pPr>
              <w:spacing w:after="0"/>
              <w:rPr>
                <w:sz w:val="20"/>
                <w:szCs w:val="20"/>
                <w:color w:val="auto"/>
              </w:rPr>
            </w:pPr>
            <w:r>
              <w:rPr>
                <w:rFonts w:ascii="Arial" w:cs="Arial" w:eastAsia="Arial" w:hAnsi="Arial"/>
                <w:sz w:val="16"/>
                <w:szCs w:val="16"/>
                <w:b w:val="1"/>
                <w:bCs w:val="1"/>
                <w:color w:val="3A5575"/>
              </w:rPr>
              <w:t>RESPONSIBILITIES</w:t>
            </w:r>
          </w:p>
        </w:tc>
        <w:tc>
          <w:tcPr>
            <w:tcW w:w="2260" w:type="dxa"/>
            <w:vAlign w:val="bottom"/>
            <w:gridSpan w:val="2"/>
          </w:tcPr>
          <w:p>
            <w:pPr>
              <w:jc w:val="center"/>
              <w:ind w:right="980"/>
              <w:spacing w:after="0"/>
              <w:rPr>
                <w:sz w:val="20"/>
                <w:szCs w:val="20"/>
                <w:color w:val="auto"/>
              </w:rPr>
            </w:pPr>
            <w:r>
              <w:rPr>
                <w:rFonts w:ascii="Arial" w:cs="Arial" w:eastAsia="Arial" w:hAnsi="Arial"/>
                <w:sz w:val="16"/>
                <w:szCs w:val="16"/>
                <w:b w:val="1"/>
                <w:bCs w:val="1"/>
                <w:color w:val="3A5575"/>
                <w:w w:val="98"/>
              </w:rPr>
              <w:t>FISCAL 2015</w:t>
            </w:r>
          </w:p>
        </w:tc>
        <w:tc>
          <w:tcPr>
            <w:tcW w:w="3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1480" w:type="dxa"/>
            <w:vAlign w:val="bottom"/>
          </w:tcPr>
          <w:p>
            <w:pPr>
              <w:spacing w:after="0"/>
              <w:rPr>
                <w:sz w:val="12"/>
                <w:szCs w:val="12"/>
                <w:color w:val="auto"/>
              </w:rPr>
            </w:pPr>
          </w:p>
        </w:tc>
        <w:tc>
          <w:tcPr>
            <w:tcW w:w="1760" w:type="dxa"/>
            <w:vAlign w:val="bottom"/>
            <w:shd w:val="clear" w:color="auto" w:fill="395775"/>
          </w:tcPr>
          <w:p>
            <w:pPr>
              <w:jc w:val="center"/>
              <w:spacing w:after="0" w:line="147" w:lineRule="exact"/>
              <w:rPr>
                <w:sz w:val="20"/>
                <w:szCs w:val="20"/>
                <w:color w:val="auto"/>
              </w:rPr>
            </w:pPr>
            <w:r>
              <w:rPr>
                <w:rFonts w:ascii="Arial" w:cs="Arial" w:eastAsia="Arial" w:hAnsi="Arial"/>
                <w:sz w:val="16"/>
                <w:szCs w:val="16"/>
                <w:b w:val="1"/>
                <w:bCs w:val="1"/>
                <w:color w:val="FFFFFE"/>
                <w:w w:val="99"/>
              </w:rPr>
              <w:t>CORPORATE</w:t>
            </w:r>
          </w:p>
        </w:tc>
        <w:tc>
          <w:tcPr>
            <w:tcW w:w="200" w:type="dxa"/>
            <w:vAlign w:val="bottom"/>
          </w:tcPr>
          <w:p>
            <w:pPr>
              <w:spacing w:after="0"/>
              <w:rPr>
                <w:sz w:val="12"/>
                <w:szCs w:val="12"/>
                <w:color w:val="auto"/>
              </w:rPr>
            </w:pPr>
          </w:p>
        </w:tc>
        <w:tc>
          <w:tcPr>
            <w:tcW w:w="20" w:type="dxa"/>
            <w:vAlign w:val="bottom"/>
            <w:tcBorders>
              <w:top w:val="single" w:sz="8" w:color="3A5575"/>
            </w:tcBorders>
          </w:tcPr>
          <w:p>
            <w:pPr>
              <w:spacing w:after="0"/>
              <w:rPr>
                <w:sz w:val="12"/>
                <w:szCs w:val="12"/>
                <w:color w:val="auto"/>
              </w:rPr>
            </w:pPr>
          </w:p>
        </w:tc>
        <w:tc>
          <w:tcPr>
            <w:tcW w:w="5400" w:type="dxa"/>
            <w:vAlign w:val="bottom"/>
            <w:tcBorders>
              <w:top w:val="single" w:sz="8" w:color="3A5575"/>
            </w:tcBorders>
            <w:gridSpan w:val="2"/>
            <w:shd w:val="clear" w:color="auto" w:fill="E3E5EB"/>
          </w:tcPr>
          <w:p>
            <w:pPr>
              <w:spacing w:after="0" w:line="147" w:lineRule="exact"/>
              <w:rPr>
                <w:sz w:val="20"/>
                <w:szCs w:val="20"/>
                <w:color w:val="auto"/>
              </w:rPr>
            </w:pPr>
            <w:r>
              <w:rPr>
                <w:rFonts w:ascii="Arial" w:cs="Arial" w:eastAsia="Arial" w:hAnsi="Arial"/>
                <w:sz w:val="16"/>
                <w:szCs w:val="16"/>
                <w:color w:val="3A5575"/>
              </w:rPr>
              <w:t>The Corporate Governance Committee:</w:t>
            </w:r>
          </w:p>
        </w:tc>
        <w:tc>
          <w:tcPr>
            <w:tcW w:w="1180" w:type="dxa"/>
            <w:vAlign w:val="bottom"/>
            <w:tcBorders>
              <w:top w:val="single" w:sz="8" w:color="3A5575"/>
            </w:tcBorders>
            <w:shd w:val="clear" w:color="auto" w:fill="E3E5EB"/>
          </w:tcPr>
          <w:p>
            <w:pPr>
              <w:jc w:val="center"/>
              <w:ind w:left="20"/>
              <w:spacing w:after="0" w:line="147" w:lineRule="exact"/>
              <w:rPr>
                <w:sz w:val="20"/>
                <w:szCs w:val="20"/>
                <w:color w:val="auto"/>
              </w:rPr>
            </w:pPr>
            <w:r>
              <w:rPr>
                <w:rFonts w:ascii="Arial" w:cs="Arial" w:eastAsia="Arial" w:hAnsi="Arial"/>
                <w:sz w:val="16"/>
                <w:szCs w:val="16"/>
                <w:color w:val="auto"/>
                <w:w w:val="89"/>
              </w:rPr>
              <w:t>5</w:t>
            </w:r>
          </w:p>
        </w:tc>
        <w:tc>
          <w:tcPr>
            <w:tcW w:w="10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9"/>
              </w:rPr>
              <w:t>GOVERNANCE</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assesses the Corporate Governance Guidelines;</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COMMITTEE:</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Develops and recommends to the Board criteria for selecting new</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rPr>
              <w:t>Kathryn L. Munro,</w:t>
            </w:r>
          </w:p>
        </w:tc>
        <w:tc>
          <w:tcPr>
            <w:tcW w:w="2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0" w:type="dxa"/>
            <w:vAlign w:val="bottom"/>
            <w:gridSpan w:val="2"/>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10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Chair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directors;</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Michael L. Gallagher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Identifies and evaluates individuals qualified to become members of the</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w w:val="98"/>
              </w:rPr>
              <w:t>Roy A. Herberger, Jr.</w:t>
            </w:r>
          </w:p>
        </w:tc>
        <w:tc>
          <w:tcPr>
            <w:tcW w:w="2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0" w:type="dxa"/>
            <w:vAlign w:val="bottom"/>
            <w:gridSpan w:val="2"/>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10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5"/>
        </w:trPr>
        <w:tc>
          <w:tcPr>
            <w:tcW w:w="1480" w:type="dxa"/>
            <w:vAlign w:val="bottom"/>
          </w:tcPr>
          <w:p>
            <w:pPr>
              <w:spacing w:after="0"/>
              <w:rPr>
                <w:sz w:val="20"/>
                <w:szCs w:val="20"/>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Bruce J. Nordstrom</w:t>
            </w:r>
          </w:p>
        </w:tc>
        <w:tc>
          <w:tcPr>
            <w:tcW w:w="2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Board, consistent with the criteria for selecting new directors;</w:t>
            </w:r>
          </w:p>
        </w:tc>
        <w:tc>
          <w:tcPr>
            <w:tcW w:w="1180" w:type="dxa"/>
            <w:vAlign w:val="bottom"/>
            <w:shd w:val="clear" w:color="auto" w:fill="E3E5EB"/>
          </w:tcPr>
          <w:p>
            <w:pPr>
              <w:spacing w:after="0"/>
              <w:rPr>
                <w:sz w:val="20"/>
                <w:szCs w:val="20"/>
                <w:color w:val="auto"/>
              </w:rPr>
            </w:pPr>
          </w:p>
        </w:tc>
        <w:tc>
          <w:tcPr>
            <w:tcW w:w="10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0"/>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Recommends director nominees to the Board;</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5"/>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Recommends to the Board who should serve on each of the Board's</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1480" w:type="dxa"/>
            <w:vAlign w:val="bottom"/>
          </w:tcPr>
          <w:p>
            <w:pPr>
              <w:spacing w:after="0"/>
              <w:rPr>
                <w:sz w:val="18"/>
                <w:szCs w:val="18"/>
                <w:color w:val="auto"/>
              </w:rPr>
            </w:pPr>
          </w:p>
        </w:tc>
        <w:tc>
          <w:tcPr>
            <w:tcW w:w="1760" w:type="dxa"/>
            <w:vAlign w:val="bottom"/>
            <w:shd w:val="clear" w:color="auto" w:fill="395775"/>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committees;</w:t>
            </w:r>
          </w:p>
        </w:tc>
        <w:tc>
          <w:tcPr>
            <w:tcW w:w="1180" w:type="dxa"/>
            <w:vAlign w:val="bottom"/>
            <w:shd w:val="clear" w:color="auto" w:fill="E3E5EB"/>
          </w:tcPr>
          <w:p>
            <w:pPr>
              <w:spacing w:after="0"/>
              <w:rPr>
                <w:sz w:val="18"/>
                <w:szCs w:val="18"/>
                <w:color w:val="auto"/>
              </w:rPr>
            </w:pPr>
          </w:p>
        </w:tc>
        <w:tc>
          <w:tcPr>
            <w:tcW w:w="10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0"/>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the results of the Annual Meeting shareholder votes; and</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5"/>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makes recommendations to the Board regarding the</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1"/>
        </w:trPr>
        <w:tc>
          <w:tcPr>
            <w:tcW w:w="1480" w:type="dxa"/>
            <w:vAlign w:val="bottom"/>
          </w:tcPr>
          <w:p>
            <w:pPr>
              <w:spacing w:after="0"/>
              <w:rPr>
                <w:sz w:val="17"/>
                <w:szCs w:val="17"/>
                <w:color w:val="auto"/>
              </w:rPr>
            </w:pPr>
          </w:p>
        </w:tc>
        <w:tc>
          <w:tcPr>
            <w:tcW w:w="1760" w:type="dxa"/>
            <w:vAlign w:val="bottom"/>
            <w:shd w:val="clear" w:color="auto" w:fill="395775"/>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selection of the CEO and CEO succession planning.</w:t>
            </w:r>
          </w:p>
        </w:tc>
        <w:tc>
          <w:tcPr>
            <w:tcW w:w="1180" w:type="dxa"/>
            <w:vAlign w:val="bottom"/>
            <w:shd w:val="clear" w:color="auto" w:fill="E3E5EB"/>
          </w:tcPr>
          <w:p>
            <w:pPr>
              <w:spacing w:after="0"/>
              <w:rPr>
                <w:sz w:val="17"/>
                <w:szCs w:val="17"/>
                <w:color w:val="auto"/>
              </w:rPr>
            </w:pPr>
          </w:p>
        </w:tc>
        <w:tc>
          <w:tcPr>
            <w:tcW w:w="10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1480" w:type="dxa"/>
            <w:vAlign w:val="bottom"/>
          </w:tcPr>
          <w:p>
            <w:pPr>
              <w:spacing w:after="0"/>
              <w:rPr>
                <w:sz w:val="14"/>
                <w:szCs w:val="14"/>
                <w:color w:val="auto"/>
              </w:rPr>
            </w:pPr>
          </w:p>
        </w:tc>
        <w:tc>
          <w:tcPr>
            <w:tcW w:w="1760" w:type="dxa"/>
            <w:vAlign w:val="bottom"/>
            <w:shd w:val="clear" w:color="auto" w:fill="395775"/>
          </w:tcPr>
          <w:p>
            <w:pPr>
              <w:spacing w:after="0"/>
              <w:rPr>
                <w:sz w:val="14"/>
                <w:szCs w:val="14"/>
                <w:color w:val="auto"/>
              </w:rPr>
            </w:pP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400" w:type="dxa"/>
            <w:vAlign w:val="bottom"/>
            <w:gridSpan w:val="2"/>
            <w:shd w:val="clear" w:color="auto" w:fill="E3E5EB"/>
          </w:tcPr>
          <w:p>
            <w:pPr>
              <w:spacing w:after="0" w:line="167" w:lineRule="exact"/>
              <w:rPr>
                <w:sz w:val="20"/>
                <w:szCs w:val="20"/>
                <w:color w:val="auto"/>
              </w:rPr>
            </w:pPr>
            <w:r>
              <w:rPr>
                <w:rFonts w:ascii="Arial" w:cs="Arial" w:eastAsia="Arial" w:hAnsi="Arial"/>
                <w:sz w:val="16"/>
                <w:szCs w:val="16"/>
                <w:color w:val="auto"/>
              </w:rPr>
              <w:t>The Corporate Governance Guidelines are available on the Company's</w:t>
            </w:r>
          </w:p>
        </w:tc>
        <w:tc>
          <w:tcPr>
            <w:tcW w:w="1180" w:type="dxa"/>
            <w:vAlign w:val="bottom"/>
            <w:shd w:val="clear" w:color="auto" w:fill="E3E5EB"/>
          </w:tcPr>
          <w:p>
            <w:pPr>
              <w:spacing w:after="0"/>
              <w:rPr>
                <w:sz w:val="14"/>
                <w:szCs w:val="14"/>
                <w:color w:val="auto"/>
              </w:rPr>
            </w:pPr>
          </w:p>
        </w:tc>
        <w:tc>
          <w:tcPr>
            <w:tcW w:w="10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1"/>
        </w:trPr>
        <w:tc>
          <w:tcPr>
            <w:tcW w:w="1480" w:type="dxa"/>
            <w:vAlign w:val="bottom"/>
          </w:tcPr>
          <w:p>
            <w:pPr>
              <w:spacing w:after="0"/>
              <w:rPr>
                <w:sz w:val="17"/>
                <w:szCs w:val="17"/>
                <w:color w:val="auto"/>
              </w:rPr>
            </w:pPr>
          </w:p>
        </w:tc>
        <w:tc>
          <w:tcPr>
            <w:tcW w:w="1760" w:type="dxa"/>
            <w:vAlign w:val="bottom"/>
            <w:shd w:val="clear" w:color="auto" w:fill="395775"/>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auto"/>
              </w:rPr>
              <w:t>website (</w:t>
            </w:r>
            <w:r>
              <w:rPr>
                <w:rFonts w:ascii="Arial" w:cs="Arial" w:eastAsia="Arial" w:hAnsi="Arial"/>
                <w:sz w:val="16"/>
                <w:szCs w:val="16"/>
                <w:b w:val="1"/>
                <w:bCs w:val="1"/>
                <w:i w:val="1"/>
                <w:iCs w:val="1"/>
                <w:color w:val="3A5575"/>
              </w:rPr>
              <w:t>www.pinnaclewest.com</w:t>
            </w:r>
            <w:r>
              <w:rPr>
                <w:rFonts w:ascii="Arial" w:cs="Arial" w:eastAsia="Arial" w:hAnsi="Arial"/>
                <w:sz w:val="16"/>
                <w:szCs w:val="16"/>
                <w:color w:val="auto"/>
              </w:rPr>
              <w:t>).</w:t>
            </w:r>
          </w:p>
        </w:tc>
        <w:tc>
          <w:tcPr>
            <w:tcW w:w="1180" w:type="dxa"/>
            <w:vAlign w:val="bottom"/>
            <w:shd w:val="clear" w:color="auto" w:fill="E3E5EB"/>
          </w:tcPr>
          <w:p>
            <w:pPr>
              <w:spacing w:after="0"/>
              <w:rPr>
                <w:sz w:val="17"/>
                <w:szCs w:val="17"/>
                <w:color w:val="auto"/>
              </w:rPr>
            </w:pPr>
          </w:p>
        </w:tc>
        <w:tc>
          <w:tcPr>
            <w:tcW w:w="10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89"/>
        </w:trPr>
        <w:tc>
          <w:tcPr>
            <w:tcW w:w="148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5400" w:type="dxa"/>
            <w:vAlign w:val="bottom"/>
            <w:tcBorders>
              <w:bottom w:val="single" w:sz="8" w:color="3A5575"/>
            </w:tcBorders>
            <w:gridSpan w:val="2"/>
          </w:tcPr>
          <w:p>
            <w:pPr>
              <w:spacing w:after="0"/>
              <w:rPr>
                <w:sz w:val="24"/>
                <w:szCs w:val="24"/>
                <w:color w:val="auto"/>
              </w:rPr>
            </w:pPr>
          </w:p>
        </w:tc>
        <w:tc>
          <w:tcPr>
            <w:tcW w:w="1180" w:type="dxa"/>
            <w:vAlign w:val="bottom"/>
            <w:tcBorders>
              <w:bottom w:val="single" w:sz="8" w:color="3A5575"/>
            </w:tcBorders>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1480" w:type="dxa"/>
            <w:vAlign w:val="bottom"/>
          </w:tcPr>
          <w:p>
            <w:pPr>
              <w:spacing w:after="0"/>
              <w:rPr>
                <w:sz w:val="12"/>
                <w:szCs w:val="12"/>
                <w:color w:val="auto"/>
              </w:rPr>
            </w:pPr>
          </w:p>
        </w:tc>
        <w:tc>
          <w:tcPr>
            <w:tcW w:w="1760" w:type="dxa"/>
            <w:vAlign w:val="bottom"/>
            <w:shd w:val="clear" w:color="auto" w:fill="395775"/>
          </w:tcPr>
          <w:p>
            <w:pPr>
              <w:jc w:val="center"/>
              <w:spacing w:after="0" w:line="147" w:lineRule="exact"/>
              <w:rPr>
                <w:sz w:val="20"/>
                <w:szCs w:val="20"/>
                <w:color w:val="auto"/>
              </w:rPr>
            </w:pPr>
            <w:r>
              <w:rPr>
                <w:rFonts w:ascii="Arial" w:cs="Arial" w:eastAsia="Arial" w:hAnsi="Arial"/>
                <w:sz w:val="16"/>
                <w:szCs w:val="16"/>
                <w:b w:val="1"/>
                <w:bCs w:val="1"/>
                <w:color w:val="FFFFFE"/>
                <w:w w:val="98"/>
              </w:rPr>
              <w:t>FINANCE</w:t>
            </w:r>
          </w:p>
        </w:tc>
        <w:tc>
          <w:tcPr>
            <w:tcW w:w="200" w:type="dxa"/>
            <w:vAlign w:val="bottom"/>
            <w:vMerge w:val="continue"/>
          </w:tcPr>
          <w:p>
            <w:pPr>
              <w:spacing w:after="0"/>
              <w:rPr>
                <w:sz w:val="12"/>
                <w:szCs w:val="12"/>
                <w:color w:val="auto"/>
              </w:rPr>
            </w:pPr>
          </w:p>
        </w:tc>
        <w:tc>
          <w:tcPr>
            <w:tcW w:w="20" w:type="dxa"/>
            <w:vAlign w:val="bottom"/>
            <w:vMerge w:val="continue"/>
          </w:tcPr>
          <w:p>
            <w:pPr>
              <w:spacing w:after="0"/>
              <w:rPr>
                <w:sz w:val="12"/>
                <w:szCs w:val="12"/>
                <w:color w:val="auto"/>
              </w:rPr>
            </w:pPr>
          </w:p>
        </w:tc>
        <w:tc>
          <w:tcPr>
            <w:tcW w:w="5400" w:type="dxa"/>
            <w:vAlign w:val="bottom"/>
            <w:gridSpan w:val="2"/>
            <w:shd w:val="clear" w:color="auto" w:fill="E3E5EB"/>
          </w:tcPr>
          <w:p>
            <w:pPr>
              <w:spacing w:after="0" w:line="147" w:lineRule="exact"/>
              <w:rPr>
                <w:sz w:val="20"/>
                <w:szCs w:val="20"/>
                <w:color w:val="auto"/>
              </w:rPr>
            </w:pPr>
            <w:r>
              <w:rPr>
                <w:rFonts w:ascii="Arial" w:cs="Arial" w:eastAsia="Arial" w:hAnsi="Arial"/>
                <w:sz w:val="16"/>
                <w:szCs w:val="16"/>
                <w:color w:val="3A5575"/>
              </w:rPr>
              <w:t>The Finance Committee:</w:t>
            </w:r>
          </w:p>
        </w:tc>
        <w:tc>
          <w:tcPr>
            <w:tcW w:w="1180" w:type="dxa"/>
            <w:vAlign w:val="bottom"/>
            <w:shd w:val="clear" w:color="auto" w:fill="E3E5EB"/>
          </w:tcPr>
          <w:p>
            <w:pPr>
              <w:jc w:val="center"/>
              <w:ind w:left="20"/>
              <w:spacing w:after="0" w:line="147" w:lineRule="exact"/>
              <w:rPr>
                <w:sz w:val="20"/>
                <w:szCs w:val="20"/>
                <w:color w:val="auto"/>
              </w:rPr>
            </w:pPr>
            <w:r>
              <w:rPr>
                <w:rFonts w:ascii="Arial" w:cs="Arial" w:eastAsia="Arial" w:hAnsi="Arial"/>
                <w:sz w:val="16"/>
                <w:szCs w:val="16"/>
                <w:color w:val="auto"/>
                <w:w w:val="89"/>
              </w:rPr>
              <w:t>4</w:t>
            </w:r>
          </w:p>
        </w:tc>
        <w:tc>
          <w:tcPr>
            <w:tcW w:w="10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COMMITTEE:</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the Company's historical and projected financial performance</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9"/>
              </w:rPr>
              <w:t>Humberto S. Lopez,</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and the Company's financing plan and recommends approval of credit</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Chair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facilities and the issuance of long-term debt, common equity and</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Richard P. Fox</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preferred securities;</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Roy A. Herberger, Jr.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recommends approval of the Company's annual capital</w:t>
            </w:r>
          </w:p>
        </w:tc>
        <w:tc>
          <w:tcPr>
            <w:tcW w:w="1180" w:type="dxa"/>
            <w:vAlign w:val="bottom"/>
            <w:shd w:val="clear" w:color="auto" w:fill="E3E5EB"/>
          </w:tcPr>
          <w:p>
            <w:pPr>
              <w:spacing w:after="0"/>
              <w:rPr>
                <w:sz w:val="16"/>
                <w:szCs w:val="16"/>
                <w:color w:val="auto"/>
              </w:rPr>
            </w:pPr>
          </w:p>
        </w:tc>
        <w:tc>
          <w:tcPr>
            <w:tcW w:w="1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w w:val="99"/>
              </w:rPr>
              <w:t>Kathryn L. Munro</w:t>
            </w:r>
          </w:p>
        </w:tc>
        <w:tc>
          <w:tcPr>
            <w:tcW w:w="2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0" w:type="dxa"/>
            <w:vAlign w:val="bottom"/>
            <w:gridSpan w:val="2"/>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10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5"/>
        </w:trPr>
        <w:tc>
          <w:tcPr>
            <w:tcW w:w="1480" w:type="dxa"/>
            <w:vAlign w:val="bottom"/>
          </w:tcPr>
          <w:p>
            <w:pPr>
              <w:spacing w:after="0"/>
              <w:rPr>
                <w:sz w:val="20"/>
                <w:szCs w:val="20"/>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7"/>
              </w:rPr>
              <w:t>David P. Wagener</w:t>
            </w:r>
          </w:p>
        </w:tc>
        <w:tc>
          <w:tcPr>
            <w:tcW w:w="2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budget and reviews the annual operations and maintenance budget;</w:t>
            </w:r>
          </w:p>
        </w:tc>
        <w:tc>
          <w:tcPr>
            <w:tcW w:w="1180" w:type="dxa"/>
            <w:vAlign w:val="bottom"/>
            <w:shd w:val="clear" w:color="auto" w:fill="E3E5EB"/>
          </w:tcPr>
          <w:p>
            <w:pPr>
              <w:spacing w:after="0"/>
              <w:rPr>
                <w:sz w:val="20"/>
                <w:szCs w:val="20"/>
                <w:color w:val="auto"/>
              </w:rPr>
            </w:pPr>
          </w:p>
        </w:tc>
        <w:tc>
          <w:tcPr>
            <w:tcW w:w="10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7"/>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recommends approval of short-term investments and</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1480" w:type="dxa"/>
            <w:vAlign w:val="bottom"/>
          </w:tcPr>
          <w:p>
            <w:pPr>
              <w:spacing w:after="0"/>
              <w:rPr>
                <w:sz w:val="18"/>
                <w:szCs w:val="18"/>
                <w:color w:val="auto"/>
              </w:rPr>
            </w:pPr>
          </w:p>
        </w:tc>
        <w:tc>
          <w:tcPr>
            <w:tcW w:w="1760" w:type="dxa"/>
            <w:vAlign w:val="bottom"/>
            <w:shd w:val="clear" w:color="auto" w:fill="395775"/>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borrowing policies; and</w:t>
            </w:r>
          </w:p>
        </w:tc>
        <w:tc>
          <w:tcPr>
            <w:tcW w:w="1180" w:type="dxa"/>
            <w:vAlign w:val="bottom"/>
            <w:shd w:val="clear" w:color="auto" w:fill="E3E5EB"/>
          </w:tcPr>
          <w:p>
            <w:pPr>
              <w:spacing w:after="0"/>
              <w:rPr>
                <w:sz w:val="18"/>
                <w:szCs w:val="18"/>
                <w:color w:val="auto"/>
              </w:rPr>
            </w:pPr>
          </w:p>
        </w:tc>
        <w:tc>
          <w:tcPr>
            <w:tcW w:w="10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55"/>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recommends to the Board the Company's dividend actions.</w:t>
            </w:r>
          </w:p>
        </w:tc>
        <w:tc>
          <w:tcPr>
            <w:tcW w:w="1180" w:type="dxa"/>
            <w:vAlign w:val="bottom"/>
            <w:shd w:val="clear" w:color="auto" w:fill="E3E5EB"/>
          </w:tcPr>
          <w:p>
            <w:pPr>
              <w:spacing w:after="0"/>
              <w:rPr>
                <w:sz w:val="24"/>
                <w:szCs w:val="24"/>
                <w:color w:val="auto"/>
              </w:rPr>
            </w:pPr>
          </w:p>
        </w:tc>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1"/>
        </w:trPr>
        <w:tc>
          <w:tcPr>
            <w:tcW w:w="148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60" w:type="dxa"/>
            <w:vAlign w:val="bottom"/>
          </w:tcPr>
          <w:p>
            <w:pPr>
              <w:spacing w:after="0"/>
              <w:rPr>
                <w:sz w:val="24"/>
                <w:szCs w:val="24"/>
                <w:color w:val="auto"/>
              </w:rPr>
            </w:pPr>
          </w:p>
        </w:tc>
        <w:tc>
          <w:tcPr>
            <w:tcW w:w="4600" w:type="dxa"/>
            <w:vAlign w:val="bottom"/>
            <w:gridSpan w:val="3"/>
          </w:tcPr>
          <w:p>
            <w:pPr>
              <w:ind w:left="96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320" w:type="dxa"/>
            <w:vAlign w:val="bottom"/>
            <w:gridSpan w:val="2"/>
          </w:tcPr>
          <w:p>
            <w:pPr>
              <w:jc w:val="right"/>
              <w:spacing w:after="0"/>
              <w:rPr>
                <w:sz w:val="20"/>
                <w:szCs w:val="20"/>
                <w:color w:val="auto"/>
              </w:rPr>
            </w:pPr>
            <w:r>
              <w:rPr>
                <w:rFonts w:ascii="Arial" w:cs="Arial" w:eastAsia="Arial" w:hAnsi="Arial"/>
                <w:sz w:val="16"/>
                <w:szCs w:val="16"/>
                <w:b w:val="1"/>
                <w:bCs w:val="1"/>
                <w:color w:val="auto"/>
              </w:rPr>
              <w:t>15</w:t>
            </w:r>
          </w:p>
        </w:tc>
        <w:tc>
          <w:tcPr>
            <w:tcW w:w="0" w:type="dxa"/>
            <w:vAlign w:val="bottom"/>
          </w:tcPr>
          <w:p>
            <w:pPr>
              <w:spacing w:after="0"/>
              <w:rPr>
                <w:sz w:val="1"/>
                <w:szCs w:val="1"/>
                <w:color w:val="auto"/>
              </w:rPr>
            </w:pPr>
          </w:p>
        </w:tc>
      </w:tr>
      <w:tr>
        <w:trPr>
          <w:trHeight w:val="157"/>
        </w:trPr>
        <w:tc>
          <w:tcPr>
            <w:tcW w:w="1480" w:type="dxa"/>
            <w:vAlign w:val="bottom"/>
            <w:tcBorders>
              <w:bottom w:val="single" w:sz="8" w:color="808080"/>
            </w:tcBorders>
          </w:tcPr>
          <w:p>
            <w:pPr>
              <w:spacing w:after="0"/>
              <w:rPr>
                <w:sz w:val="13"/>
                <w:szCs w:val="13"/>
                <w:color w:val="auto"/>
              </w:rPr>
            </w:pPr>
          </w:p>
        </w:tc>
        <w:tc>
          <w:tcPr>
            <w:tcW w:w="1760" w:type="dxa"/>
            <w:vAlign w:val="bottom"/>
            <w:tcBorders>
              <w:bottom w:val="single" w:sz="8" w:color="808080"/>
            </w:tcBorders>
          </w:tcPr>
          <w:p>
            <w:pPr>
              <w:spacing w:after="0"/>
              <w:rPr>
                <w:sz w:val="13"/>
                <w:szCs w:val="13"/>
                <w:color w:val="auto"/>
              </w:rPr>
            </w:pPr>
          </w:p>
        </w:tc>
        <w:tc>
          <w:tcPr>
            <w:tcW w:w="20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3060" w:type="dxa"/>
            <w:vAlign w:val="bottom"/>
            <w:tcBorders>
              <w:bottom w:val="single" w:sz="8" w:color="808080"/>
            </w:tcBorders>
          </w:tcPr>
          <w:p>
            <w:pPr>
              <w:spacing w:after="0"/>
              <w:rPr>
                <w:sz w:val="13"/>
                <w:szCs w:val="13"/>
                <w:color w:val="auto"/>
              </w:rPr>
            </w:pPr>
          </w:p>
        </w:tc>
        <w:tc>
          <w:tcPr>
            <w:tcW w:w="2340" w:type="dxa"/>
            <w:vAlign w:val="bottom"/>
            <w:tcBorders>
              <w:bottom w:val="single" w:sz="8" w:color="808080"/>
            </w:tcBorders>
          </w:tcPr>
          <w:p>
            <w:pPr>
              <w:spacing w:after="0"/>
              <w:rPr>
                <w:sz w:val="13"/>
                <w:szCs w:val="13"/>
                <w:color w:val="auto"/>
              </w:rPr>
            </w:pPr>
          </w:p>
        </w:tc>
        <w:tc>
          <w:tcPr>
            <w:tcW w:w="1180" w:type="dxa"/>
            <w:vAlign w:val="bottom"/>
            <w:tcBorders>
              <w:bottom w:val="single" w:sz="8" w:color="808080"/>
            </w:tcBorders>
          </w:tcPr>
          <w:p>
            <w:pPr>
              <w:spacing w:after="0"/>
              <w:rPr>
                <w:sz w:val="13"/>
                <w:szCs w:val="13"/>
                <w:color w:val="auto"/>
              </w:rPr>
            </w:pPr>
          </w:p>
        </w:tc>
        <w:tc>
          <w:tcPr>
            <w:tcW w:w="1080" w:type="dxa"/>
            <w:vAlign w:val="bottom"/>
            <w:tcBorders>
              <w:bottom w:val="single" w:sz="8" w:color="808080"/>
            </w:tcBorders>
          </w:tcPr>
          <w:p>
            <w:pPr>
              <w:spacing w:after="0"/>
              <w:rPr>
                <w:sz w:val="13"/>
                <w:szCs w:val="13"/>
                <w:color w:val="auto"/>
              </w:rPr>
            </w:pPr>
          </w:p>
        </w:tc>
        <w:tc>
          <w:tcPr>
            <w:tcW w:w="30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6128385</wp:posOffset>
            </wp:positionH>
            <wp:positionV relativeFrom="paragraph">
              <wp:posOffset>-281940</wp:posOffset>
            </wp:positionV>
            <wp:extent cx="841375" cy="16383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24" w:name="page25"/>
    <w:bookmarkEnd w:id="24"/>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4920" w:type="dxa"/>
            <w:vAlign w:val="bottom"/>
            <w:tcBorders>
              <w:bottom w:val="single" w:sz="8" w:color="3A5575"/>
            </w:tcBorders>
            <w:gridSpan w:val="5"/>
            <w:shd w:val="clear" w:color="auto" w:fill="3A5575"/>
          </w:tcPr>
          <w:p>
            <w:pPr>
              <w:ind w:left="460"/>
              <w:spacing w:after="0"/>
              <w:rPr>
                <w:sz w:val="20"/>
                <w:szCs w:val="20"/>
                <w:color w:val="auto"/>
              </w:rPr>
            </w:pPr>
            <w:r>
              <w:rPr>
                <w:rFonts w:ascii="Arial" w:cs="Arial" w:eastAsia="Arial" w:hAnsi="Arial"/>
                <w:sz w:val="13"/>
                <w:szCs w:val="13"/>
                <w:b w:val="1"/>
                <w:bCs w:val="1"/>
                <w:color w:val="FFFFFE"/>
              </w:rPr>
              <w:t>INFORMATION ABOUT OUR BOARD AND CORPORATE GOVERNANCE</w:t>
            </w:r>
          </w:p>
        </w:tc>
        <w:tc>
          <w:tcPr>
            <w:tcW w:w="394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3"/>
        </w:trPr>
        <w:tc>
          <w:tcPr>
            <w:tcW w:w="1480" w:type="dxa"/>
            <w:vAlign w:val="bottom"/>
          </w:tcPr>
          <w:p>
            <w:pPr>
              <w:spacing w:after="0"/>
              <w:rPr>
                <w:sz w:val="22"/>
                <w:szCs w:val="22"/>
                <w:color w:val="auto"/>
              </w:rPr>
            </w:pPr>
          </w:p>
        </w:tc>
        <w:tc>
          <w:tcPr>
            <w:tcW w:w="17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3940" w:type="dxa"/>
            <w:vAlign w:val="bottom"/>
          </w:tcPr>
          <w:p>
            <w:pPr>
              <w:spacing w:after="0"/>
              <w:rPr>
                <w:sz w:val="22"/>
                <w:szCs w:val="22"/>
                <w:color w:val="auto"/>
              </w:rPr>
            </w:pPr>
          </w:p>
        </w:tc>
        <w:tc>
          <w:tcPr>
            <w:tcW w:w="1180" w:type="dxa"/>
            <w:vAlign w:val="bottom"/>
          </w:tcPr>
          <w:p>
            <w:pPr>
              <w:jc w:val="center"/>
              <w:ind w:left="20"/>
              <w:spacing w:after="0"/>
              <w:rPr>
                <w:sz w:val="20"/>
                <w:szCs w:val="20"/>
                <w:color w:val="auto"/>
              </w:rPr>
            </w:pPr>
            <w:r>
              <w:rPr>
                <w:rFonts w:ascii="Arial" w:cs="Arial" w:eastAsia="Arial" w:hAnsi="Arial"/>
                <w:sz w:val="16"/>
                <w:szCs w:val="16"/>
                <w:b w:val="1"/>
                <w:bCs w:val="1"/>
                <w:color w:val="3A5575"/>
                <w:w w:val="99"/>
              </w:rPr>
              <w:t>NUMBER OF</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3940" w:type="dxa"/>
            <w:vAlign w:val="bottom"/>
          </w:tcPr>
          <w:p>
            <w:pPr>
              <w:spacing w:after="0"/>
              <w:rPr>
                <w:sz w:val="16"/>
                <w:szCs w:val="16"/>
                <w:color w:val="auto"/>
              </w:rPr>
            </w:pPr>
          </w:p>
        </w:tc>
        <w:tc>
          <w:tcPr>
            <w:tcW w:w="1180" w:type="dxa"/>
            <w:vAlign w:val="bottom"/>
          </w:tcPr>
          <w:p>
            <w:pPr>
              <w:jc w:val="center"/>
              <w:ind w:left="20"/>
              <w:spacing w:after="0"/>
              <w:rPr>
                <w:sz w:val="20"/>
                <w:szCs w:val="20"/>
                <w:color w:val="auto"/>
              </w:rPr>
            </w:pPr>
            <w:r>
              <w:rPr>
                <w:rFonts w:ascii="Arial" w:cs="Arial" w:eastAsia="Arial" w:hAnsi="Arial"/>
                <w:sz w:val="16"/>
                <w:szCs w:val="16"/>
                <w:b w:val="1"/>
                <w:bCs w:val="1"/>
                <w:color w:val="3A5575"/>
              </w:rPr>
              <w:t>MEETINGS</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3940" w:type="dxa"/>
            <w:vAlign w:val="bottom"/>
          </w:tcPr>
          <w:p>
            <w:pPr>
              <w:spacing w:after="0"/>
              <w:rPr>
                <w:sz w:val="16"/>
                <w:szCs w:val="16"/>
                <w:color w:val="auto"/>
              </w:rPr>
            </w:pPr>
          </w:p>
        </w:tc>
        <w:tc>
          <w:tcPr>
            <w:tcW w:w="1180" w:type="dxa"/>
            <w:vAlign w:val="bottom"/>
          </w:tcPr>
          <w:p>
            <w:pPr>
              <w:jc w:val="center"/>
              <w:ind w:left="20"/>
              <w:spacing w:after="0"/>
              <w:rPr>
                <w:sz w:val="20"/>
                <w:szCs w:val="20"/>
                <w:color w:val="auto"/>
              </w:rPr>
            </w:pPr>
            <w:r>
              <w:rPr>
                <w:rFonts w:ascii="Arial" w:cs="Arial" w:eastAsia="Arial" w:hAnsi="Arial"/>
                <w:sz w:val="16"/>
                <w:szCs w:val="16"/>
                <w:b w:val="1"/>
                <w:bCs w:val="1"/>
                <w:color w:val="3A5575"/>
              </w:rPr>
              <w:t>DURING</w:t>
            </w:r>
          </w:p>
        </w:tc>
        <w:tc>
          <w:tcPr>
            <w:tcW w:w="0" w:type="dxa"/>
            <w:vAlign w:val="bottom"/>
          </w:tcPr>
          <w:p>
            <w:pPr>
              <w:spacing w:after="0"/>
              <w:rPr>
                <w:sz w:val="1"/>
                <w:szCs w:val="1"/>
                <w:color w:val="auto"/>
              </w:rPr>
            </w:pPr>
          </w:p>
        </w:tc>
      </w:tr>
      <w:tr>
        <w:trPr>
          <w:trHeight w:val="203"/>
        </w:trPr>
        <w:tc>
          <w:tcPr>
            <w:tcW w:w="148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20" w:type="dxa"/>
            <w:vAlign w:val="bottom"/>
            <w:tcBorders>
              <w:bottom w:val="single" w:sz="8" w:color="3A5575"/>
            </w:tcBorders>
            <w:gridSpan w:val="3"/>
          </w:tcPr>
          <w:p>
            <w:pPr>
              <w:spacing w:after="0"/>
              <w:rPr>
                <w:sz w:val="20"/>
                <w:szCs w:val="20"/>
                <w:color w:val="auto"/>
              </w:rPr>
            </w:pPr>
            <w:r>
              <w:rPr>
                <w:rFonts w:ascii="Arial" w:cs="Arial" w:eastAsia="Arial" w:hAnsi="Arial"/>
                <w:sz w:val="16"/>
                <w:szCs w:val="16"/>
                <w:b w:val="1"/>
                <w:bCs w:val="1"/>
                <w:color w:val="3A5575"/>
              </w:rPr>
              <w:t>RESPONSIBILITIES</w:t>
            </w:r>
          </w:p>
        </w:tc>
        <w:tc>
          <w:tcPr>
            <w:tcW w:w="1180" w:type="dxa"/>
            <w:vAlign w:val="bottom"/>
            <w:tcBorders>
              <w:bottom w:val="single" w:sz="8" w:color="3A5575"/>
            </w:tcBorders>
          </w:tcPr>
          <w:p>
            <w:pPr>
              <w:jc w:val="center"/>
              <w:ind w:left="20"/>
              <w:spacing w:after="0"/>
              <w:rPr>
                <w:sz w:val="20"/>
                <w:szCs w:val="20"/>
                <w:color w:val="auto"/>
              </w:rPr>
            </w:pPr>
            <w:r>
              <w:rPr>
                <w:rFonts w:ascii="Arial" w:cs="Arial" w:eastAsia="Arial" w:hAnsi="Arial"/>
                <w:sz w:val="16"/>
                <w:szCs w:val="16"/>
                <w:b w:val="1"/>
                <w:bCs w:val="1"/>
                <w:color w:val="3A5575"/>
                <w:w w:val="98"/>
              </w:rPr>
              <w:t>FISCAL 2015</w:t>
            </w:r>
          </w:p>
        </w:tc>
        <w:tc>
          <w:tcPr>
            <w:tcW w:w="0" w:type="dxa"/>
            <w:vAlign w:val="bottom"/>
          </w:tcPr>
          <w:p>
            <w:pPr>
              <w:spacing w:after="0"/>
              <w:rPr>
                <w:sz w:val="1"/>
                <w:szCs w:val="1"/>
                <w:color w:val="auto"/>
              </w:rPr>
            </w:pPr>
          </w:p>
        </w:tc>
      </w:tr>
      <w:tr>
        <w:trPr>
          <w:trHeight w:val="147"/>
        </w:trPr>
        <w:tc>
          <w:tcPr>
            <w:tcW w:w="1480" w:type="dxa"/>
            <w:vAlign w:val="bottom"/>
          </w:tcPr>
          <w:p>
            <w:pPr>
              <w:spacing w:after="0"/>
              <w:rPr>
                <w:sz w:val="12"/>
                <w:szCs w:val="12"/>
                <w:color w:val="auto"/>
              </w:rPr>
            </w:pPr>
          </w:p>
        </w:tc>
        <w:tc>
          <w:tcPr>
            <w:tcW w:w="1760" w:type="dxa"/>
            <w:vAlign w:val="bottom"/>
            <w:shd w:val="clear" w:color="auto" w:fill="395775"/>
          </w:tcPr>
          <w:p>
            <w:pPr>
              <w:jc w:val="center"/>
              <w:spacing w:after="0" w:line="147" w:lineRule="exact"/>
              <w:rPr>
                <w:sz w:val="20"/>
                <w:szCs w:val="20"/>
                <w:color w:val="auto"/>
              </w:rPr>
            </w:pPr>
            <w:r>
              <w:rPr>
                <w:rFonts w:ascii="Arial" w:cs="Arial" w:eastAsia="Arial" w:hAnsi="Arial"/>
                <w:sz w:val="16"/>
                <w:szCs w:val="16"/>
                <w:b w:val="1"/>
                <w:bCs w:val="1"/>
                <w:color w:val="FFFFFE"/>
                <w:w w:val="97"/>
              </w:rPr>
              <w:t>HUMAN</w:t>
            </w: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400" w:type="dxa"/>
            <w:vAlign w:val="bottom"/>
            <w:gridSpan w:val="2"/>
            <w:shd w:val="clear" w:color="auto" w:fill="E3E5EB"/>
          </w:tcPr>
          <w:p>
            <w:pPr>
              <w:spacing w:after="0" w:line="147" w:lineRule="exact"/>
              <w:rPr>
                <w:sz w:val="20"/>
                <w:szCs w:val="20"/>
                <w:color w:val="auto"/>
              </w:rPr>
            </w:pPr>
            <w:r>
              <w:rPr>
                <w:rFonts w:ascii="Arial" w:cs="Arial" w:eastAsia="Arial" w:hAnsi="Arial"/>
                <w:sz w:val="16"/>
                <w:szCs w:val="16"/>
                <w:color w:val="3A5575"/>
              </w:rPr>
              <w:t>The Human Resources Committee:</w:t>
            </w:r>
          </w:p>
        </w:tc>
        <w:tc>
          <w:tcPr>
            <w:tcW w:w="1180" w:type="dxa"/>
            <w:vAlign w:val="bottom"/>
            <w:shd w:val="clear" w:color="auto" w:fill="E3E5EB"/>
          </w:tcPr>
          <w:p>
            <w:pPr>
              <w:jc w:val="center"/>
              <w:ind w:left="20"/>
              <w:spacing w:after="0" w:line="147" w:lineRule="exact"/>
              <w:rPr>
                <w:sz w:val="20"/>
                <w:szCs w:val="20"/>
                <w:color w:val="auto"/>
              </w:rPr>
            </w:pPr>
            <w:r>
              <w:rPr>
                <w:rFonts w:ascii="Arial" w:cs="Arial" w:eastAsia="Arial" w:hAnsi="Arial"/>
                <w:sz w:val="16"/>
                <w:szCs w:val="16"/>
                <w:color w:val="auto"/>
                <w:w w:val="89"/>
              </w:rPr>
              <w:t>4</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RESOURCES</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management's programs for the attraction, retention, and</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COMMITTEE:</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development of the Company's human resources;</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Roy A. Herberger, Jr.,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Recommends to the Board persons for election as officers;</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Chair</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continue"/>
            <w:shd w:val="clear" w:color="auto" w:fill="E3E5EB"/>
          </w:tcPr>
          <w:p>
            <w:pPr>
              <w:spacing w:after="0"/>
              <w:rPr>
                <w:sz w:val="16"/>
                <w:szCs w:val="16"/>
                <w:color w:val="auto"/>
              </w:rPr>
            </w:pP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8"/>
              </w:rPr>
              <w:t>Denis A. Cortese</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Annually reviews the goals and performance of the officers of the</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760" w:type="dxa"/>
            <w:vAlign w:val="bottom"/>
            <w:shd w:val="clear" w:color="auto" w:fill="395775"/>
          </w:tcPr>
          <w:p>
            <w:pPr>
              <w:jc w:val="center"/>
              <w:spacing w:after="0" w:line="174" w:lineRule="exact"/>
              <w:rPr>
                <w:sz w:val="20"/>
                <w:szCs w:val="20"/>
                <w:color w:val="auto"/>
              </w:rPr>
            </w:pPr>
            <w:r>
              <w:rPr>
                <w:rFonts w:ascii="Arial" w:cs="Arial" w:eastAsia="Arial" w:hAnsi="Arial"/>
                <w:sz w:val="16"/>
                <w:szCs w:val="16"/>
                <w:b w:val="1"/>
                <w:bCs w:val="1"/>
                <w:color w:val="FFFFFE"/>
                <w:w w:val="98"/>
              </w:rPr>
              <w:t>Richard P. Fox</w:t>
            </w:r>
          </w:p>
        </w:tc>
        <w:tc>
          <w:tcPr>
            <w:tcW w:w="2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0" w:type="dxa"/>
            <w:vAlign w:val="bottom"/>
            <w:gridSpan w:val="2"/>
            <w:vMerge w:val="continue"/>
            <w:shd w:val="clear" w:color="auto" w:fill="E3E5EB"/>
          </w:tcPr>
          <w:p>
            <w:pPr>
              <w:spacing w:after="0"/>
              <w:rPr>
                <w:sz w:val="15"/>
                <w:szCs w:val="15"/>
                <w:color w:val="auto"/>
              </w:rPr>
            </w:pPr>
          </w:p>
        </w:tc>
        <w:tc>
          <w:tcPr>
            <w:tcW w:w="1180" w:type="dxa"/>
            <w:vAlign w:val="bottom"/>
            <w:shd w:val="clear" w:color="auto" w:fill="E3E5EB"/>
          </w:tcPr>
          <w:p>
            <w:pPr>
              <w:spacing w:after="0"/>
              <w:rPr>
                <w:sz w:val="15"/>
                <w:szCs w:val="15"/>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rPr>
              <w:t>Humberto S. Lopez</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Company and APS;</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224"/>
        </w:trPr>
        <w:tc>
          <w:tcPr>
            <w:tcW w:w="1480" w:type="dxa"/>
            <w:vAlign w:val="bottom"/>
          </w:tcPr>
          <w:p>
            <w:pPr>
              <w:spacing w:after="0"/>
              <w:rPr>
                <w:sz w:val="19"/>
                <w:szCs w:val="19"/>
                <w:color w:val="auto"/>
              </w:rPr>
            </w:pPr>
          </w:p>
        </w:tc>
        <w:tc>
          <w:tcPr>
            <w:tcW w:w="1760" w:type="dxa"/>
            <w:vAlign w:val="bottom"/>
            <w:shd w:val="clear" w:color="auto" w:fill="395775"/>
          </w:tcPr>
          <w:p>
            <w:pPr>
              <w:jc w:val="center"/>
              <w:spacing w:after="0"/>
              <w:rPr>
                <w:sz w:val="20"/>
                <w:szCs w:val="20"/>
                <w:color w:val="auto"/>
              </w:rPr>
            </w:pPr>
            <w:r>
              <w:rPr>
                <w:rFonts w:ascii="Arial" w:cs="Arial" w:eastAsia="Arial" w:hAnsi="Arial"/>
                <w:sz w:val="16"/>
                <w:szCs w:val="16"/>
                <w:b w:val="1"/>
                <w:bCs w:val="1"/>
                <w:color w:val="FFFFFE"/>
                <w:w w:val="99"/>
              </w:rPr>
              <w:t>Kathryn L. Munro</w:t>
            </w:r>
          </w:p>
        </w:tc>
        <w:tc>
          <w:tcPr>
            <w:tcW w:w="2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0" w:type="dxa"/>
            <w:vAlign w:val="bottom"/>
            <w:gridSpan w:val="2"/>
            <w:vMerge w:val="restart"/>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Approves corporate goals and objectives relevant to the compensation</w:t>
            </w:r>
          </w:p>
        </w:tc>
        <w:tc>
          <w:tcPr>
            <w:tcW w:w="118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33"/>
        </w:trPr>
        <w:tc>
          <w:tcPr>
            <w:tcW w:w="1480" w:type="dxa"/>
            <w:vAlign w:val="bottom"/>
          </w:tcPr>
          <w:p>
            <w:pPr>
              <w:spacing w:after="0"/>
              <w:rPr>
                <w:sz w:val="11"/>
                <w:szCs w:val="11"/>
                <w:color w:val="auto"/>
              </w:rPr>
            </w:pPr>
          </w:p>
        </w:tc>
        <w:tc>
          <w:tcPr>
            <w:tcW w:w="1760" w:type="dxa"/>
            <w:vAlign w:val="bottom"/>
            <w:shd w:val="clear" w:color="auto" w:fill="395775"/>
          </w:tcPr>
          <w:p>
            <w:pPr>
              <w:spacing w:after="0"/>
              <w:rPr>
                <w:sz w:val="11"/>
                <w:szCs w:val="11"/>
                <w:color w:val="auto"/>
              </w:rPr>
            </w:pPr>
          </w:p>
        </w:tc>
        <w:tc>
          <w:tcPr>
            <w:tcW w:w="2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5400" w:type="dxa"/>
            <w:vAlign w:val="bottom"/>
            <w:gridSpan w:val="2"/>
            <w:vMerge w:val="continue"/>
            <w:shd w:val="clear" w:color="auto" w:fill="E3E5EB"/>
          </w:tcPr>
          <w:p>
            <w:pPr>
              <w:spacing w:after="0"/>
              <w:rPr>
                <w:sz w:val="11"/>
                <w:szCs w:val="11"/>
                <w:color w:val="auto"/>
              </w:rPr>
            </w:pPr>
          </w:p>
        </w:tc>
        <w:tc>
          <w:tcPr>
            <w:tcW w:w="1180" w:type="dxa"/>
            <w:vAlign w:val="bottom"/>
            <w:shd w:val="clear" w:color="auto" w:fill="E3E5EB"/>
          </w:tcPr>
          <w:p>
            <w:pPr>
              <w:spacing w:after="0"/>
              <w:rPr>
                <w:sz w:val="11"/>
                <w:szCs w:val="11"/>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of the Company's CEO, assesses the CEO's performance in light of</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these goals and objectives, and sets the CEO's compensation based on</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1480" w:type="dxa"/>
            <w:vAlign w:val="bottom"/>
          </w:tcPr>
          <w:p>
            <w:pPr>
              <w:spacing w:after="0"/>
              <w:rPr>
                <w:sz w:val="18"/>
                <w:szCs w:val="18"/>
                <w:color w:val="auto"/>
              </w:rPr>
            </w:pPr>
          </w:p>
        </w:tc>
        <w:tc>
          <w:tcPr>
            <w:tcW w:w="1760" w:type="dxa"/>
            <w:vAlign w:val="bottom"/>
            <w:shd w:val="clear" w:color="auto" w:fill="395775"/>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this assessment;</w:t>
            </w:r>
          </w:p>
        </w:tc>
        <w:tc>
          <w:tcPr>
            <w:tcW w:w="1180" w:type="dxa"/>
            <w:vAlign w:val="bottom"/>
            <w:shd w:val="clear" w:color="auto" w:fill="E3E5EB"/>
          </w:tcPr>
          <w:p>
            <w:pPr>
              <w:spacing w:after="0"/>
              <w:rPr>
                <w:sz w:val="18"/>
                <w:szCs w:val="18"/>
                <w:color w:val="auto"/>
              </w:rPr>
            </w:pPr>
          </w:p>
        </w:tc>
        <w:tc>
          <w:tcPr>
            <w:tcW w:w="0" w:type="dxa"/>
            <w:vAlign w:val="bottom"/>
          </w:tcPr>
          <w:p>
            <w:pPr>
              <w:spacing w:after="0"/>
              <w:rPr>
                <w:sz w:val="1"/>
                <w:szCs w:val="1"/>
                <w:color w:val="auto"/>
              </w:rPr>
            </w:pPr>
          </w:p>
        </w:tc>
      </w:tr>
      <w:tr>
        <w:trPr>
          <w:trHeight w:val="338"/>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Makes recommendations to the Board with respect to non-CEO</w:t>
            </w:r>
          </w:p>
        </w:tc>
        <w:tc>
          <w:tcPr>
            <w:tcW w:w="1180" w:type="dxa"/>
            <w:vAlign w:val="bottom"/>
            <w:shd w:val="clear" w:color="auto" w:fill="E3E5EB"/>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1480" w:type="dxa"/>
            <w:vAlign w:val="bottom"/>
          </w:tcPr>
          <w:p>
            <w:pPr>
              <w:spacing w:after="0"/>
              <w:rPr>
                <w:sz w:val="18"/>
                <w:szCs w:val="18"/>
                <w:color w:val="auto"/>
              </w:rPr>
            </w:pPr>
          </w:p>
        </w:tc>
        <w:tc>
          <w:tcPr>
            <w:tcW w:w="1760" w:type="dxa"/>
            <w:vAlign w:val="bottom"/>
            <w:shd w:val="clear" w:color="auto" w:fill="395775"/>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0" w:type="dxa"/>
            <w:vAlign w:val="bottom"/>
            <w:gridSpan w:val="2"/>
            <w:shd w:val="clear" w:color="auto" w:fill="E3E5EB"/>
          </w:tcPr>
          <w:p>
            <w:pPr>
              <w:ind w:left="260"/>
              <w:spacing w:after="0"/>
              <w:rPr>
                <w:sz w:val="20"/>
                <w:szCs w:val="20"/>
                <w:color w:val="auto"/>
              </w:rPr>
            </w:pPr>
            <w:r>
              <w:rPr>
                <w:rFonts w:ascii="Arial" w:cs="Arial" w:eastAsia="Arial" w:hAnsi="Arial"/>
                <w:sz w:val="16"/>
                <w:szCs w:val="16"/>
                <w:color w:val="auto"/>
              </w:rPr>
              <w:t>executive compensation and director compensation; and</w:t>
            </w:r>
          </w:p>
        </w:tc>
        <w:tc>
          <w:tcPr>
            <w:tcW w:w="1180" w:type="dxa"/>
            <w:vAlign w:val="bottom"/>
            <w:shd w:val="clear" w:color="auto" w:fill="E3E5EB"/>
          </w:tcPr>
          <w:p>
            <w:pPr>
              <w:spacing w:after="0"/>
              <w:rPr>
                <w:sz w:val="18"/>
                <w:szCs w:val="18"/>
                <w:color w:val="auto"/>
              </w:rPr>
            </w:pPr>
          </w:p>
        </w:tc>
        <w:tc>
          <w:tcPr>
            <w:tcW w:w="0" w:type="dxa"/>
            <w:vAlign w:val="bottom"/>
          </w:tcPr>
          <w:p>
            <w:pPr>
              <w:spacing w:after="0"/>
              <w:rPr>
                <w:sz w:val="1"/>
                <w:szCs w:val="1"/>
                <w:color w:val="auto"/>
              </w:rPr>
            </w:pPr>
          </w:p>
        </w:tc>
      </w:tr>
      <w:tr>
        <w:trPr>
          <w:trHeight w:val="355"/>
        </w:trPr>
        <w:tc>
          <w:tcPr>
            <w:tcW w:w="1480" w:type="dxa"/>
            <w:vAlign w:val="bottom"/>
          </w:tcPr>
          <w:p>
            <w:pPr>
              <w:spacing w:after="0"/>
              <w:rPr>
                <w:sz w:val="24"/>
                <w:szCs w:val="24"/>
                <w:color w:val="auto"/>
              </w:rPr>
            </w:pPr>
          </w:p>
        </w:tc>
        <w:tc>
          <w:tcPr>
            <w:tcW w:w="1760" w:type="dxa"/>
            <w:vAlign w:val="bottom"/>
            <w:shd w:val="clear" w:color="auto" w:fill="395775"/>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Acts as the "committee" under the Company's long-term incentive plans.</w:t>
            </w:r>
          </w:p>
        </w:tc>
        <w:tc>
          <w:tcPr>
            <w:tcW w:w="1180" w:type="dxa"/>
            <w:vAlign w:val="bottom"/>
            <w:shd w:val="clear" w:color="auto" w:fill="E3E5EB"/>
          </w:tcPr>
          <w:p>
            <w:pPr>
              <w:spacing w:after="0"/>
              <w:rPr>
                <w:sz w:val="24"/>
                <w:szCs w:val="24"/>
                <w:color w:val="auto"/>
              </w:rPr>
            </w:pPr>
          </w:p>
        </w:tc>
        <w:tc>
          <w:tcPr>
            <w:tcW w:w="0" w:type="dxa"/>
            <w:vAlign w:val="bottom"/>
          </w:tcPr>
          <w:p>
            <w:pPr>
              <w:spacing w:after="0"/>
              <w:rPr>
                <w:sz w:val="1"/>
                <w:szCs w:val="1"/>
                <w:color w:val="auto"/>
              </w:rPr>
            </w:pPr>
          </w:p>
        </w:tc>
      </w:tr>
      <w:tr>
        <w:trPr>
          <w:trHeight w:val="167"/>
        </w:trPr>
        <w:tc>
          <w:tcPr>
            <w:tcW w:w="1480" w:type="dxa"/>
            <w:vAlign w:val="bottom"/>
          </w:tcPr>
          <w:p>
            <w:pPr>
              <w:spacing w:after="0"/>
              <w:rPr>
                <w:sz w:val="14"/>
                <w:szCs w:val="14"/>
                <w:color w:val="auto"/>
              </w:rPr>
            </w:pPr>
          </w:p>
        </w:tc>
        <w:tc>
          <w:tcPr>
            <w:tcW w:w="1760" w:type="dxa"/>
            <w:vAlign w:val="bottom"/>
            <w:shd w:val="clear" w:color="auto" w:fill="395775"/>
          </w:tcPr>
          <w:p>
            <w:pPr>
              <w:spacing w:after="0"/>
              <w:rPr>
                <w:sz w:val="14"/>
                <w:szCs w:val="14"/>
                <w:color w:val="auto"/>
              </w:rPr>
            </w:pP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400" w:type="dxa"/>
            <w:vAlign w:val="bottom"/>
            <w:gridSpan w:val="2"/>
            <w:shd w:val="clear" w:color="auto" w:fill="E3E5EB"/>
          </w:tcPr>
          <w:p>
            <w:pPr>
              <w:spacing w:after="0" w:line="167" w:lineRule="exact"/>
              <w:rPr>
                <w:sz w:val="20"/>
                <w:szCs w:val="20"/>
                <w:color w:val="auto"/>
              </w:rPr>
            </w:pPr>
            <w:r>
              <w:rPr>
                <w:rFonts w:ascii="Arial" w:cs="Arial" w:eastAsia="Arial" w:hAnsi="Arial"/>
                <w:sz w:val="16"/>
                <w:szCs w:val="16"/>
                <w:color w:val="auto"/>
              </w:rPr>
              <w:t>Under the Human Resources Committee's charter, the Human Resources</w:t>
            </w:r>
          </w:p>
        </w:tc>
        <w:tc>
          <w:tcPr>
            <w:tcW w:w="1180" w:type="dxa"/>
            <w:vAlign w:val="bottom"/>
            <w:shd w:val="clear" w:color="auto" w:fill="E3E5EB"/>
          </w:tcPr>
          <w:p>
            <w:pPr>
              <w:spacing w:after="0"/>
              <w:rPr>
                <w:sz w:val="14"/>
                <w:szCs w:val="14"/>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auto"/>
              </w:rPr>
              <w:t>Committee may delegate authority to subcommittees, but did not do so in</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auto"/>
                <w:w w:val="99"/>
              </w:rPr>
              <w:t>2015. Additional information on the processes and procedures of the Human</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760" w:type="dxa"/>
            <w:vAlign w:val="bottom"/>
            <w:shd w:val="clear" w:color="auto" w:fill="395775"/>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auto"/>
              </w:rPr>
              <w:t>Resources Committee is provided under the heading "Compensation</w:t>
            </w:r>
          </w:p>
        </w:tc>
        <w:tc>
          <w:tcPr>
            <w:tcW w:w="118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201"/>
        </w:trPr>
        <w:tc>
          <w:tcPr>
            <w:tcW w:w="1480" w:type="dxa"/>
            <w:vAlign w:val="bottom"/>
          </w:tcPr>
          <w:p>
            <w:pPr>
              <w:spacing w:after="0"/>
              <w:rPr>
                <w:sz w:val="17"/>
                <w:szCs w:val="17"/>
                <w:color w:val="auto"/>
              </w:rPr>
            </w:pPr>
          </w:p>
        </w:tc>
        <w:tc>
          <w:tcPr>
            <w:tcW w:w="1760" w:type="dxa"/>
            <w:vAlign w:val="bottom"/>
            <w:shd w:val="clear" w:color="auto" w:fill="395775"/>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0" w:type="dxa"/>
            <w:vAlign w:val="bottom"/>
            <w:gridSpan w:val="2"/>
            <w:shd w:val="clear" w:color="auto" w:fill="E3E5EB"/>
          </w:tcPr>
          <w:p>
            <w:pPr>
              <w:spacing w:after="0"/>
              <w:rPr>
                <w:sz w:val="20"/>
                <w:szCs w:val="20"/>
                <w:color w:val="auto"/>
              </w:rPr>
            </w:pPr>
            <w:r>
              <w:rPr>
                <w:rFonts w:ascii="Arial" w:cs="Arial" w:eastAsia="Arial" w:hAnsi="Arial"/>
                <w:sz w:val="16"/>
                <w:szCs w:val="16"/>
                <w:color w:val="auto"/>
              </w:rPr>
              <w:t>Discussion and Analysis ("CD&amp;A")".</w:t>
            </w:r>
          </w:p>
        </w:tc>
        <w:tc>
          <w:tcPr>
            <w:tcW w:w="118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589"/>
        </w:trPr>
        <w:tc>
          <w:tcPr>
            <w:tcW w:w="1480" w:type="dxa"/>
            <w:vAlign w:val="bottom"/>
          </w:tcPr>
          <w:p>
            <w:pPr>
              <w:spacing w:after="0"/>
              <w:rPr>
                <w:sz w:val="24"/>
                <w:szCs w:val="24"/>
                <w:color w:val="auto"/>
              </w:rPr>
            </w:pPr>
          </w:p>
        </w:tc>
        <w:tc>
          <w:tcPr>
            <w:tcW w:w="1960" w:type="dxa"/>
            <w:vAlign w:val="bottom"/>
            <w:gridSpan w:val="2"/>
            <w:vMerge w:val="restart"/>
          </w:tcPr>
          <w:p>
            <w:pPr>
              <w:jc w:val="center"/>
              <w:ind w:right="220"/>
              <w:spacing w:after="0"/>
              <w:rPr>
                <w:sz w:val="20"/>
                <w:szCs w:val="20"/>
                <w:color w:val="auto"/>
              </w:rPr>
            </w:pPr>
            <w:r>
              <w:rPr>
                <w:rFonts w:ascii="Arial" w:cs="Arial" w:eastAsia="Arial" w:hAnsi="Arial"/>
                <w:sz w:val="16"/>
                <w:szCs w:val="16"/>
                <w:b w:val="1"/>
                <w:bCs w:val="1"/>
                <w:color w:val="FFFFFE"/>
              </w:rPr>
              <w:t>NUCLEAR AND</w:t>
            </w:r>
          </w:p>
        </w:tc>
        <w:tc>
          <w:tcPr>
            <w:tcW w:w="20" w:type="dxa"/>
            <w:vAlign w:val="bottom"/>
            <w:vMerge w:val="restart"/>
          </w:tcPr>
          <w:p>
            <w:pPr>
              <w:spacing w:after="0"/>
              <w:rPr>
                <w:sz w:val="24"/>
                <w:szCs w:val="24"/>
                <w:color w:val="auto"/>
              </w:rPr>
            </w:pPr>
          </w:p>
        </w:tc>
        <w:tc>
          <w:tcPr>
            <w:tcW w:w="5400" w:type="dxa"/>
            <w:vAlign w:val="bottom"/>
            <w:tcBorders>
              <w:bottom w:val="single" w:sz="8" w:color="3A5575"/>
            </w:tcBorders>
            <w:gridSpan w:val="2"/>
          </w:tcPr>
          <w:p>
            <w:pPr>
              <w:spacing w:after="0"/>
              <w:rPr>
                <w:sz w:val="24"/>
                <w:szCs w:val="24"/>
                <w:color w:val="auto"/>
              </w:rPr>
            </w:pPr>
          </w:p>
        </w:tc>
        <w:tc>
          <w:tcPr>
            <w:tcW w:w="1180" w:type="dxa"/>
            <w:vAlign w:val="bottom"/>
            <w:tcBorders>
              <w:bottom w:val="single" w:sz="8" w:color="3A5575"/>
            </w:tcBorders>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1480" w:type="dxa"/>
            <w:vAlign w:val="bottom"/>
          </w:tcPr>
          <w:p>
            <w:pPr>
              <w:spacing w:after="0"/>
              <w:rPr>
                <w:sz w:val="12"/>
                <w:szCs w:val="12"/>
                <w:color w:val="auto"/>
              </w:rPr>
            </w:pPr>
          </w:p>
        </w:tc>
        <w:tc>
          <w:tcPr>
            <w:tcW w:w="1960" w:type="dxa"/>
            <w:vAlign w:val="bottom"/>
            <w:gridSpan w:val="2"/>
            <w:vMerge w:val="continue"/>
          </w:tcPr>
          <w:p>
            <w:pPr>
              <w:spacing w:after="0"/>
              <w:rPr>
                <w:sz w:val="12"/>
                <w:szCs w:val="12"/>
                <w:color w:val="auto"/>
              </w:rPr>
            </w:pPr>
          </w:p>
        </w:tc>
        <w:tc>
          <w:tcPr>
            <w:tcW w:w="20" w:type="dxa"/>
            <w:vAlign w:val="bottom"/>
            <w:vMerge w:val="continue"/>
          </w:tcPr>
          <w:p>
            <w:pPr>
              <w:spacing w:after="0"/>
              <w:rPr>
                <w:sz w:val="12"/>
                <w:szCs w:val="12"/>
                <w:color w:val="auto"/>
              </w:rPr>
            </w:pPr>
          </w:p>
        </w:tc>
        <w:tc>
          <w:tcPr>
            <w:tcW w:w="5400" w:type="dxa"/>
            <w:vAlign w:val="bottom"/>
            <w:gridSpan w:val="2"/>
          </w:tcPr>
          <w:p>
            <w:pPr>
              <w:spacing w:after="0" w:line="147" w:lineRule="exact"/>
              <w:rPr>
                <w:sz w:val="20"/>
                <w:szCs w:val="20"/>
                <w:color w:val="auto"/>
              </w:rPr>
            </w:pPr>
            <w:r>
              <w:rPr>
                <w:rFonts w:ascii="Arial" w:cs="Arial" w:eastAsia="Arial" w:hAnsi="Arial"/>
                <w:sz w:val="16"/>
                <w:szCs w:val="16"/>
                <w:color w:val="3A5575"/>
              </w:rPr>
              <w:t>The Nuclear and Operating Committee:</w:t>
            </w:r>
          </w:p>
        </w:tc>
        <w:tc>
          <w:tcPr>
            <w:tcW w:w="1180" w:type="dxa"/>
            <w:vAlign w:val="bottom"/>
          </w:tcPr>
          <w:p>
            <w:pPr>
              <w:jc w:val="center"/>
              <w:ind w:left="20"/>
              <w:spacing w:after="0" w:line="147" w:lineRule="exact"/>
              <w:rPr>
                <w:sz w:val="20"/>
                <w:szCs w:val="20"/>
                <w:color w:val="auto"/>
              </w:rPr>
            </w:pPr>
            <w:r>
              <w:rPr>
                <w:rFonts w:ascii="Arial" w:cs="Arial" w:eastAsia="Arial" w:hAnsi="Arial"/>
                <w:sz w:val="16"/>
                <w:szCs w:val="16"/>
                <w:color w:val="auto"/>
                <w:w w:val="89"/>
              </w:rPr>
              <w:t>4</w:t>
            </w: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w w:val="98"/>
              </w:rPr>
              <w:t>OPERATING</w:t>
            </w:r>
          </w:p>
        </w:tc>
        <w:tc>
          <w:tcPr>
            <w:tcW w:w="5420" w:type="dxa"/>
            <w:vAlign w:val="bottom"/>
            <w:gridSpan w:val="3"/>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Receives regular reports from management and monitors the overall</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rPr>
              <w:t>COMMITTEE:</w:t>
            </w:r>
          </w:p>
        </w:tc>
        <w:tc>
          <w:tcPr>
            <w:tcW w:w="20" w:type="dxa"/>
            <w:vAlign w:val="bottom"/>
          </w:tcPr>
          <w:p>
            <w:pPr>
              <w:spacing w:after="0"/>
              <w:rPr>
                <w:sz w:val="16"/>
                <w:szCs w:val="16"/>
                <w:color w:val="auto"/>
              </w:rPr>
            </w:pPr>
          </w:p>
        </w:tc>
        <w:tc>
          <w:tcPr>
            <w:tcW w:w="5400" w:type="dxa"/>
            <w:vAlign w:val="bottom"/>
            <w:gridSpan w:val="2"/>
          </w:tcPr>
          <w:p>
            <w:pPr>
              <w:ind w:left="260"/>
              <w:spacing w:after="0"/>
              <w:rPr>
                <w:sz w:val="20"/>
                <w:szCs w:val="20"/>
                <w:color w:val="auto"/>
              </w:rPr>
            </w:pPr>
            <w:r>
              <w:rPr>
                <w:rFonts w:ascii="Arial" w:cs="Arial" w:eastAsia="Arial" w:hAnsi="Arial"/>
                <w:sz w:val="16"/>
                <w:szCs w:val="16"/>
                <w:color w:val="auto"/>
              </w:rPr>
              <w:t>performance of Palo Verde;</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w w:val="98"/>
              </w:rPr>
              <w:t>Michael L. Gallagher,</w:t>
            </w:r>
          </w:p>
        </w:tc>
        <w:tc>
          <w:tcPr>
            <w:tcW w:w="5420" w:type="dxa"/>
            <w:vAlign w:val="bottom"/>
            <w:gridSpan w:val="3"/>
            <w:vMerge w:val="restart"/>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the results of major Palo Verde inspections and evaluations by</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960" w:type="dxa"/>
            <w:vAlign w:val="bottom"/>
            <w:gridSpan w:val="2"/>
          </w:tcPr>
          <w:p>
            <w:pPr>
              <w:jc w:val="center"/>
              <w:ind w:right="220"/>
              <w:spacing w:after="0" w:line="174" w:lineRule="exact"/>
              <w:rPr>
                <w:sz w:val="20"/>
                <w:szCs w:val="20"/>
                <w:color w:val="auto"/>
              </w:rPr>
            </w:pPr>
            <w:r>
              <w:rPr>
                <w:rFonts w:ascii="Arial" w:cs="Arial" w:eastAsia="Arial" w:hAnsi="Arial"/>
                <w:sz w:val="16"/>
                <w:szCs w:val="16"/>
                <w:b w:val="1"/>
                <w:bCs w:val="1"/>
                <w:color w:val="FFFFFE"/>
              </w:rPr>
              <w:t>Chair</w:t>
            </w:r>
          </w:p>
        </w:tc>
        <w:tc>
          <w:tcPr>
            <w:tcW w:w="5420" w:type="dxa"/>
            <w:vAlign w:val="bottom"/>
            <w:gridSpan w:val="3"/>
            <w:vMerge w:val="continue"/>
          </w:tcPr>
          <w:p>
            <w:pPr>
              <w:spacing w:after="0"/>
              <w:rPr>
                <w:sz w:val="15"/>
                <w:szCs w:val="15"/>
                <w:color w:val="auto"/>
              </w:rPr>
            </w:pPr>
          </w:p>
        </w:tc>
        <w:tc>
          <w:tcPr>
            <w:tcW w:w="1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w w:val="98"/>
              </w:rPr>
              <w:t>Denis A. Cortese</w:t>
            </w:r>
          </w:p>
        </w:tc>
        <w:tc>
          <w:tcPr>
            <w:tcW w:w="20" w:type="dxa"/>
            <w:vAlign w:val="bottom"/>
          </w:tcPr>
          <w:p>
            <w:pPr>
              <w:spacing w:after="0"/>
              <w:rPr>
                <w:sz w:val="16"/>
                <w:szCs w:val="16"/>
                <w:color w:val="auto"/>
              </w:rPr>
            </w:pPr>
          </w:p>
        </w:tc>
        <w:tc>
          <w:tcPr>
            <w:tcW w:w="5400" w:type="dxa"/>
            <w:vAlign w:val="bottom"/>
            <w:gridSpan w:val="2"/>
          </w:tcPr>
          <w:p>
            <w:pPr>
              <w:ind w:left="260"/>
              <w:spacing w:after="0"/>
              <w:rPr>
                <w:sz w:val="20"/>
                <w:szCs w:val="20"/>
                <w:color w:val="auto"/>
              </w:rPr>
            </w:pPr>
            <w:r>
              <w:rPr>
                <w:rFonts w:ascii="Arial" w:cs="Arial" w:eastAsia="Arial" w:hAnsi="Arial"/>
                <w:sz w:val="16"/>
                <w:szCs w:val="16"/>
                <w:color w:val="auto"/>
              </w:rPr>
              <w:t>external oversight groups, such as the Institute of Nuclear Power</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rPr>
              <w:t>Dale E. Klein</w:t>
            </w:r>
          </w:p>
        </w:tc>
        <w:tc>
          <w:tcPr>
            <w:tcW w:w="20" w:type="dxa"/>
            <w:vAlign w:val="bottom"/>
          </w:tcPr>
          <w:p>
            <w:pPr>
              <w:spacing w:after="0"/>
              <w:rPr>
                <w:sz w:val="16"/>
                <w:szCs w:val="16"/>
                <w:color w:val="auto"/>
              </w:rPr>
            </w:pPr>
          </w:p>
        </w:tc>
        <w:tc>
          <w:tcPr>
            <w:tcW w:w="5400" w:type="dxa"/>
            <w:vAlign w:val="bottom"/>
            <w:gridSpan w:val="2"/>
          </w:tcPr>
          <w:p>
            <w:pPr>
              <w:ind w:left="260"/>
              <w:spacing w:after="0"/>
              <w:rPr>
                <w:sz w:val="20"/>
                <w:szCs w:val="20"/>
                <w:color w:val="auto"/>
              </w:rPr>
            </w:pPr>
            <w:r>
              <w:rPr>
                <w:rFonts w:ascii="Arial" w:cs="Arial" w:eastAsia="Arial" w:hAnsi="Arial"/>
                <w:sz w:val="16"/>
                <w:szCs w:val="16"/>
                <w:color w:val="auto"/>
              </w:rPr>
              <w:t>Operations ("INPO") and the Nuclear Regulatory Commission ("NRC");</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1480" w:type="dxa"/>
            <w:vAlign w:val="bottom"/>
          </w:tcPr>
          <w:p>
            <w:pPr>
              <w:spacing w:after="0"/>
              <w:rPr>
                <w:sz w:val="16"/>
                <w:szCs w:val="16"/>
                <w:color w:val="auto"/>
              </w:rPr>
            </w:pPr>
          </w:p>
        </w:tc>
        <w:tc>
          <w:tcPr>
            <w:tcW w:w="1960" w:type="dxa"/>
            <w:vAlign w:val="bottom"/>
            <w:gridSpan w:val="2"/>
          </w:tcPr>
          <w:p>
            <w:pPr>
              <w:jc w:val="center"/>
              <w:ind w:right="220"/>
              <w:spacing w:after="0"/>
              <w:rPr>
                <w:sz w:val="20"/>
                <w:szCs w:val="20"/>
                <w:color w:val="auto"/>
              </w:rPr>
            </w:pPr>
            <w:r>
              <w:rPr>
                <w:rFonts w:ascii="Arial" w:cs="Arial" w:eastAsia="Arial" w:hAnsi="Arial"/>
                <w:sz w:val="16"/>
                <w:szCs w:val="16"/>
                <w:b w:val="1"/>
                <w:bCs w:val="1"/>
                <w:color w:val="FFFFFE"/>
              </w:rPr>
              <w:t>Bruce J. Nordstrom</w:t>
            </w:r>
          </w:p>
        </w:tc>
        <w:tc>
          <w:tcPr>
            <w:tcW w:w="5420" w:type="dxa"/>
            <w:vAlign w:val="bottom"/>
            <w:gridSpan w:val="3"/>
            <w:vMerge w:val="restart"/>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Reviews and monitors the power plant operations, energy transmission</w:t>
            </w:r>
          </w:p>
        </w:tc>
        <w:tc>
          <w:tcPr>
            <w:tcW w:w="1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4"/>
        </w:trPr>
        <w:tc>
          <w:tcPr>
            <w:tcW w:w="1480" w:type="dxa"/>
            <w:vAlign w:val="bottom"/>
          </w:tcPr>
          <w:p>
            <w:pPr>
              <w:spacing w:after="0"/>
              <w:rPr>
                <w:sz w:val="15"/>
                <w:szCs w:val="15"/>
                <w:color w:val="auto"/>
              </w:rPr>
            </w:pPr>
          </w:p>
        </w:tc>
        <w:tc>
          <w:tcPr>
            <w:tcW w:w="1960" w:type="dxa"/>
            <w:vAlign w:val="bottom"/>
            <w:gridSpan w:val="2"/>
          </w:tcPr>
          <w:p>
            <w:pPr>
              <w:jc w:val="center"/>
              <w:ind w:right="200"/>
              <w:spacing w:after="0" w:line="174" w:lineRule="exact"/>
              <w:rPr>
                <w:sz w:val="20"/>
                <w:szCs w:val="20"/>
                <w:color w:val="auto"/>
              </w:rPr>
            </w:pPr>
            <w:r>
              <w:rPr>
                <w:rFonts w:ascii="Arial" w:cs="Arial" w:eastAsia="Arial" w:hAnsi="Arial"/>
                <w:sz w:val="16"/>
                <w:szCs w:val="16"/>
                <w:b w:val="1"/>
                <w:bCs w:val="1"/>
                <w:color w:val="FFFFFE"/>
                <w:w w:val="97"/>
              </w:rPr>
              <w:t>David P. Wagener</w:t>
            </w:r>
          </w:p>
        </w:tc>
        <w:tc>
          <w:tcPr>
            <w:tcW w:w="5420" w:type="dxa"/>
            <w:vAlign w:val="bottom"/>
            <w:gridSpan w:val="3"/>
            <w:vMerge w:val="continue"/>
          </w:tcPr>
          <w:p>
            <w:pPr>
              <w:spacing w:after="0"/>
              <w:rPr>
                <w:sz w:val="15"/>
                <w:szCs w:val="15"/>
                <w:color w:val="auto"/>
              </w:rPr>
            </w:pPr>
          </w:p>
        </w:tc>
        <w:tc>
          <w:tcPr>
            <w:tcW w:w="1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4"/>
        </w:trPr>
        <w:tc>
          <w:tcPr>
            <w:tcW w:w="1480" w:type="dxa"/>
            <w:vAlign w:val="bottom"/>
          </w:tcPr>
          <w:p>
            <w:pPr>
              <w:spacing w:after="0"/>
              <w:rPr>
                <w:sz w:val="18"/>
                <w:szCs w:val="18"/>
                <w:color w:val="auto"/>
              </w:rPr>
            </w:pPr>
          </w:p>
        </w:tc>
        <w:tc>
          <w:tcPr>
            <w:tcW w:w="17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0" w:type="dxa"/>
            <w:vAlign w:val="bottom"/>
            <w:gridSpan w:val="2"/>
          </w:tcPr>
          <w:p>
            <w:pPr>
              <w:ind w:left="260"/>
              <w:spacing w:after="0"/>
              <w:rPr>
                <w:sz w:val="20"/>
                <w:szCs w:val="20"/>
                <w:color w:val="auto"/>
              </w:rPr>
            </w:pPr>
            <w:r>
              <w:rPr>
                <w:rFonts w:ascii="Arial" w:cs="Arial" w:eastAsia="Arial" w:hAnsi="Arial"/>
                <w:sz w:val="16"/>
                <w:szCs w:val="16"/>
                <w:color w:val="auto"/>
              </w:rPr>
              <w:t>and delivery, and customer service functions of the Company; and</w:t>
            </w:r>
          </w:p>
        </w:tc>
        <w:tc>
          <w:tcPr>
            <w:tcW w:w="11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933450</wp:posOffset>
            </wp:positionH>
            <wp:positionV relativeFrom="paragraph">
              <wp:posOffset>-1168400</wp:posOffset>
            </wp:positionV>
            <wp:extent cx="5444490" cy="25622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5444490" cy="2562225"/>
                    </a:xfrm>
                    <a:prstGeom prst="rect">
                      <a:avLst/>
                    </a:prstGeom>
                    <a:noFill/>
                  </pic:spPr>
                </pic:pic>
              </a:graphicData>
            </a:graphic>
          </wp:anchor>
        </w:drawing>
      </w:r>
    </w:p>
    <w:p>
      <w:pPr>
        <w:spacing w:after="0" w:line="134" w:lineRule="exact"/>
        <w:rPr>
          <w:sz w:val="20"/>
          <w:szCs w:val="20"/>
          <w:color w:val="auto"/>
        </w:rPr>
      </w:pPr>
    </w:p>
    <w:p>
      <w:pPr>
        <w:ind w:left="3440"/>
        <w:spacing w:after="0"/>
        <w:tabs>
          <w:tab w:leader="none" w:pos="3700" w:val="left"/>
        </w:tabs>
        <w:rPr>
          <w:sz w:val="20"/>
          <w:szCs w:val="20"/>
          <w:color w:val="auto"/>
        </w:rPr>
      </w:pPr>
      <w:r>
        <w:rPr>
          <w:rFonts w:ascii="Arial" w:cs="Arial" w:eastAsia="Arial" w:hAnsi="Arial"/>
          <w:sz w:val="16"/>
          <w:szCs w:val="16"/>
          <w:color w:val="3A5575"/>
        </w:rPr>
        <w:t>•</w:t>
      </w:r>
      <w:r>
        <w:rPr>
          <w:rFonts w:ascii="Arial" w:cs="Arial" w:eastAsia="Arial" w:hAnsi="Arial"/>
          <w:sz w:val="16"/>
          <w:szCs w:val="16"/>
          <w:color w:val="auto"/>
        </w:rPr>
        <w:tab/>
        <w:t>Reviews and monitors the Company's compliance with environmental,</w:t>
      </w:r>
    </w:p>
    <w:p>
      <w:pPr>
        <w:spacing w:after="0" w:line="20" w:lineRule="exact"/>
        <w:rPr>
          <w:sz w:val="20"/>
          <w:szCs w:val="20"/>
          <w:color w:val="auto"/>
        </w:rPr>
      </w:pPr>
    </w:p>
    <w:p>
      <w:pPr>
        <w:ind w:left="3720"/>
        <w:spacing w:after="0"/>
        <w:rPr>
          <w:sz w:val="20"/>
          <w:szCs w:val="20"/>
          <w:color w:val="auto"/>
        </w:rPr>
      </w:pPr>
      <w:r>
        <w:rPr>
          <w:rFonts w:ascii="Arial" w:cs="Arial" w:eastAsia="Arial" w:hAnsi="Arial"/>
          <w:sz w:val="16"/>
          <w:szCs w:val="16"/>
          <w:color w:val="auto"/>
        </w:rPr>
        <w:t>health and safety policies.</w:t>
      </w:r>
    </w:p>
    <w:p>
      <w:pPr>
        <w:ind w:left="3440"/>
        <w:spacing w:after="0"/>
        <w:rPr>
          <w:sz w:val="20"/>
          <w:szCs w:val="20"/>
          <w:color w:val="auto"/>
        </w:rPr>
      </w:pPr>
      <w:r>
        <w:rPr>
          <w:rFonts w:ascii="Arial" w:cs="Arial" w:eastAsia="Arial" w:hAnsi="Arial"/>
          <w:sz w:val="16"/>
          <w:szCs w:val="16"/>
          <w:color w:val="auto"/>
        </w:rPr>
        <w:t>In addition, the Nuclear and Operating Committee receives regular reports</w:t>
      </w:r>
    </w:p>
    <w:p>
      <w:pPr>
        <w:ind w:left="3440"/>
        <w:spacing w:after="0"/>
        <w:rPr>
          <w:sz w:val="20"/>
          <w:szCs w:val="20"/>
          <w:color w:val="auto"/>
        </w:rPr>
      </w:pPr>
      <w:r>
        <w:rPr>
          <w:rFonts w:ascii="Arial" w:cs="Arial" w:eastAsia="Arial" w:hAnsi="Arial"/>
          <w:sz w:val="16"/>
          <w:szCs w:val="16"/>
          <w:color w:val="auto"/>
        </w:rPr>
        <w:t>from the Offsite Safety Review Committee (the "OSRC"). The OSRC</w:t>
      </w:r>
    </w:p>
    <w:p>
      <w:pPr>
        <w:ind w:left="3440"/>
        <w:spacing w:after="0"/>
        <w:rPr>
          <w:sz w:val="20"/>
          <w:szCs w:val="20"/>
          <w:color w:val="auto"/>
        </w:rPr>
      </w:pPr>
      <w:r>
        <w:rPr>
          <w:rFonts w:ascii="Arial" w:cs="Arial" w:eastAsia="Arial" w:hAnsi="Arial"/>
          <w:sz w:val="16"/>
          <w:szCs w:val="16"/>
          <w:color w:val="auto"/>
        </w:rPr>
        <w:t>provides independent assessments of the safe and reliable operations of</w:t>
      </w:r>
    </w:p>
    <w:p>
      <w:pPr>
        <w:ind w:left="3440"/>
        <w:spacing w:after="0"/>
        <w:rPr>
          <w:sz w:val="20"/>
          <w:szCs w:val="20"/>
          <w:color w:val="auto"/>
        </w:rPr>
      </w:pPr>
      <w:r>
        <w:rPr>
          <w:rFonts w:ascii="Arial" w:cs="Arial" w:eastAsia="Arial" w:hAnsi="Arial"/>
          <w:sz w:val="16"/>
          <w:szCs w:val="16"/>
          <w:color w:val="auto"/>
        </w:rPr>
        <w:t>Palo Verde. Pursuant to Palo Verde's operating licenses, the OSRC focuses</w:t>
      </w:r>
    </w:p>
    <w:p>
      <w:pPr>
        <w:ind w:left="3440"/>
        <w:spacing w:after="0"/>
        <w:rPr>
          <w:sz w:val="20"/>
          <w:szCs w:val="20"/>
          <w:color w:val="auto"/>
        </w:rPr>
      </w:pPr>
      <w:r>
        <w:rPr>
          <w:rFonts w:ascii="Arial" w:cs="Arial" w:eastAsia="Arial" w:hAnsi="Arial"/>
          <w:sz w:val="16"/>
          <w:szCs w:val="16"/>
          <w:color w:val="auto"/>
        </w:rPr>
        <w:t>its assessment on operations, engineering, maintenance, safety, security</w:t>
      </w:r>
    </w:p>
    <w:p>
      <w:pPr>
        <w:ind w:left="3440"/>
        <w:spacing w:after="0"/>
        <w:rPr>
          <w:sz w:val="20"/>
          <w:szCs w:val="20"/>
          <w:color w:val="auto"/>
        </w:rPr>
      </w:pPr>
      <w:r>
        <w:rPr>
          <w:rFonts w:ascii="Arial" w:cs="Arial" w:eastAsia="Arial" w:hAnsi="Arial"/>
          <w:sz w:val="16"/>
          <w:szCs w:val="16"/>
          <w:color w:val="auto"/>
        </w:rPr>
        <w:t>and other support functions. The OSRC is comprised of non-employee</w:t>
      </w:r>
    </w:p>
    <w:p>
      <w:pPr>
        <w:ind w:left="3440"/>
        <w:spacing w:after="0"/>
        <w:rPr>
          <w:sz w:val="20"/>
          <w:szCs w:val="20"/>
          <w:color w:val="auto"/>
        </w:rPr>
      </w:pPr>
      <w:r>
        <w:rPr>
          <w:rFonts w:ascii="Arial" w:cs="Arial" w:eastAsia="Arial" w:hAnsi="Arial"/>
          <w:sz w:val="16"/>
          <w:szCs w:val="16"/>
          <w:color w:val="auto"/>
        </w:rPr>
        <w:t>individuals with senior management experience in the nuclear industry and</w:t>
      </w:r>
    </w:p>
    <w:p>
      <w:pPr>
        <w:ind w:left="3440"/>
        <w:spacing w:after="0"/>
        <w:rPr>
          <w:sz w:val="20"/>
          <w:szCs w:val="20"/>
          <w:color w:val="auto"/>
        </w:rPr>
      </w:pPr>
      <w:r>
        <w:rPr>
          <w:rFonts w:ascii="Arial" w:cs="Arial" w:eastAsia="Arial" w:hAnsi="Arial"/>
          <w:sz w:val="16"/>
          <w:szCs w:val="16"/>
          <w:color w:val="auto"/>
        </w:rPr>
        <w:t>the Palo Verde Director of Nuclear Assurance. The OSRC meets periodically</w:t>
      </w:r>
    </w:p>
    <w:p>
      <w:pPr>
        <w:ind w:left="3440"/>
        <w:spacing w:after="0"/>
        <w:rPr>
          <w:sz w:val="20"/>
          <w:szCs w:val="20"/>
          <w:color w:val="auto"/>
        </w:rPr>
      </w:pPr>
      <w:r>
        <w:rPr>
          <w:rFonts w:ascii="Arial" w:cs="Arial" w:eastAsia="Arial" w:hAnsi="Arial"/>
          <w:sz w:val="16"/>
          <w:szCs w:val="16"/>
          <w:color w:val="auto"/>
        </w:rPr>
        <w:t>throughout the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247650</wp:posOffset>
            </wp:positionV>
            <wp:extent cx="841375" cy="16383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37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16</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25" w:name="page26"/>
    <w:bookmarkEnd w:id="25"/>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4135755</wp:posOffset>
            </wp:positionH>
            <wp:positionV relativeFrom="paragraph">
              <wp:posOffset>137795</wp:posOffset>
            </wp:positionV>
            <wp:extent cx="3123565" cy="1555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232" w:lineRule="exact"/>
        <w:rPr>
          <w:sz w:val="20"/>
          <w:szCs w:val="20"/>
          <w:color w:val="auto"/>
        </w:rPr>
      </w:pPr>
    </w:p>
    <w:p>
      <w:pPr>
        <w:ind w:left="6562"/>
        <w:spacing w:after="0"/>
        <w:rPr>
          <w:sz w:val="20"/>
          <w:szCs w:val="20"/>
          <w:color w:val="auto"/>
        </w:rPr>
      </w:pPr>
      <w:r>
        <w:rPr>
          <w:rFonts w:ascii="Arial" w:cs="Arial" w:eastAsia="Arial" w:hAnsi="Arial"/>
          <w:sz w:val="13"/>
          <w:szCs w:val="13"/>
          <w:b w:val="1"/>
          <w:bCs w:val="1"/>
          <w:color w:val="FFFFFE"/>
        </w:rPr>
        <w:t>INFORMATION ABOUT OUR BOARD AND CORPORATE GOVERNANCE</w:t>
      </w:r>
    </w:p>
    <w:p>
      <w:pPr>
        <w:spacing w:after="0" w:line="35"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The Board's Leadership Structure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19050</wp:posOffset>
            </wp:positionV>
            <wp:extent cx="7259320" cy="762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left="2" w:right="140"/>
        <w:spacing w:after="0" w:line="265" w:lineRule="auto"/>
        <w:rPr>
          <w:sz w:val="20"/>
          <w:szCs w:val="20"/>
          <w:color w:val="auto"/>
        </w:rPr>
      </w:pPr>
      <w:r>
        <w:rPr>
          <w:rFonts w:ascii="Arial" w:cs="Arial" w:eastAsia="Arial" w:hAnsi="Arial"/>
          <w:sz w:val="20"/>
          <w:szCs w:val="20"/>
          <w:b w:val="1"/>
          <w:bCs w:val="1"/>
          <w:i w:val="1"/>
          <w:iCs w:val="1"/>
          <w:color w:val="auto"/>
        </w:rPr>
        <w:t xml:space="preserve">Lead Director. </w:t>
      </w:r>
      <w:r>
        <w:rPr>
          <w:rFonts w:ascii="Arial" w:cs="Arial" w:eastAsia="Arial" w:hAnsi="Arial"/>
          <w:sz w:val="20"/>
          <w:szCs w:val="20"/>
          <w:color w:val="auto"/>
        </w:rPr>
        <w:t>Kathryn L. Munro serves as the Company's Lead Director and chairs the Corporate Governance Committee. The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Lead Director performs the following functions:</w:t>
      </w:r>
    </w:p>
    <w:p>
      <w:pPr>
        <w:spacing w:after="0" w:line="118" w:lineRule="exact"/>
        <w:rPr>
          <w:sz w:val="20"/>
          <w:szCs w:val="20"/>
          <w:color w:val="auto"/>
        </w:rPr>
      </w:pPr>
    </w:p>
    <w:p>
      <w:pPr>
        <w:ind w:left="482" w:hanging="482"/>
        <w:spacing w:after="0"/>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Serves as a liaison between the Chairman of the Board (the "Chairman") and the independent directors;</w:t>
      </w:r>
    </w:p>
    <w:p>
      <w:pPr>
        <w:spacing w:after="0" w:line="211" w:lineRule="exact"/>
        <w:rPr>
          <w:rFonts w:ascii="Arial" w:cs="Arial" w:eastAsia="Arial" w:hAnsi="Arial"/>
          <w:sz w:val="20"/>
          <w:szCs w:val="20"/>
          <w:color w:val="3A5575"/>
        </w:rPr>
      </w:pPr>
    </w:p>
    <w:p>
      <w:pPr>
        <w:ind w:left="482" w:right="40" w:hanging="482"/>
        <w:spacing w:after="0" w:line="247" w:lineRule="auto"/>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Advises the Chairman as to an appropriate schedule of Board meetings, reviews and provides the Chairman with input regarding agendas for the Board meetings and, as appropriate or as requested, reviews and provides the Chairman with input regarding information sent to the Board;</w:t>
      </w:r>
    </w:p>
    <w:p>
      <w:pPr>
        <w:spacing w:after="0" w:line="160" w:lineRule="exact"/>
        <w:rPr>
          <w:rFonts w:ascii="Arial" w:cs="Arial" w:eastAsia="Arial" w:hAnsi="Arial"/>
          <w:sz w:val="20"/>
          <w:szCs w:val="20"/>
          <w:color w:val="3A5575"/>
        </w:rPr>
      </w:pPr>
    </w:p>
    <w:p>
      <w:pPr>
        <w:ind w:left="482" w:right="560" w:hanging="482"/>
        <w:spacing w:after="0" w:line="247" w:lineRule="auto"/>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Presides at all meetings at which the Chairman is not present, including executive sessions of the independent directors (which are regularly scheduled as part of each Board meeting) and calls meetings of the independent directors when necessary and appropriate;</w:t>
      </w:r>
    </w:p>
    <w:p>
      <w:pPr>
        <w:spacing w:after="0" w:line="160" w:lineRule="exact"/>
        <w:rPr>
          <w:rFonts w:ascii="Arial" w:cs="Arial" w:eastAsia="Arial" w:hAnsi="Arial"/>
          <w:sz w:val="20"/>
          <w:szCs w:val="20"/>
          <w:color w:val="3A5575"/>
        </w:rPr>
      </w:pPr>
    </w:p>
    <w:p>
      <w:pPr>
        <w:ind w:left="482" w:hanging="482"/>
        <w:spacing w:after="0"/>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Oversees the Board and Board committee self-assessment process;</w:t>
      </w:r>
    </w:p>
    <w:p>
      <w:pPr>
        <w:spacing w:after="0" w:line="211" w:lineRule="exact"/>
        <w:rPr>
          <w:rFonts w:ascii="Arial" w:cs="Arial" w:eastAsia="Arial" w:hAnsi="Arial"/>
          <w:sz w:val="20"/>
          <w:szCs w:val="20"/>
          <w:color w:val="3A5575"/>
        </w:rPr>
      </w:pPr>
    </w:p>
    <w:p>
      <w:pPr>
        <w:ind w:left="482" w:right="500" w:hanging="482"/>
        <w:spacing w:after="0" w:line="265" w:lineRule="auto"/>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Is available for appropriate consultation and direct communication with the Company's shareholders and other interested parties;</w:t>
      </w:r>
    </w:p>
    <w:p>
      <w:pPr>
        <w:spacing w:after="0" w:line="142" w:lineRule="exact"/>
        <w:rPr>
          <w:rFonts w:ascii="Arial" w:cs="Arial" w:eastAsia="Arial" w:hAnsi="Arial"/>
          <w:sz w:val="20"/>
          <w:szCs w:val="20"/>
          <w:color w:val="3A5575"/>
        </w:rPr>
      </w:pPr>
    </w:p>
    <w:p>
      <w:pPr>
        <w:ind w:left="482" w:hanging="482"/>
        <w:spacing w:after="0"/>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Performs such other duties as the Board may from time to time delegate; and</w:t>
      </w:r>
    </w:p>
    <w:p>
      <w:pPr>
        <w:spacing w:after="0" w:line="199" w:lineRule="exact"/>
        <w:rPr>
          <w:rFonts w:ascii="Arial" w:cs="Arial" w:eastAsia="Arial" w:hAnsi="Arial"/>
          <w:sz w:val="20"/>
          <w:szCs w:val="20"/>
          <w:color w:val="3A5575"/>
        </w:rPr>
      </w:pPr>
    </w:p>
    <w:p>
      <w:pPr>
        <w:ind w:left="482" w:hanging="482"/>
        <w:spacing w:after="0"/>
        <w:tabs>
          <w:tab w:leader="none" w:pos="482" w:val="left"/>
        </w:tabs>
        <w:numPr>
          <w:ilvl w:val="0"/>
          <w:numId w:val="31"/>
        </w:numPr>
        <w:rPr>
          <w:rFonts w:ascii="Arial" w:cs="Arial" w:eastAsia="Arial" w:hAnsi="Arial"/>
          <w:sz w:val="20"/>
          <w:szCs w:val="20"/>
          <w:color w:val="3A5575"/>
        </w:rPr>
      </w:pPr>
      <w:r>
        <w:rPr>
          <w:rFonts w:ascii="Arial" w:cs="Arial" w:eastAsia="Arial" w:hAnsi="Arial"/>
          <w:sz w:val="20"/>
          <w:szCs w:val="20"/>
          <w:color w:val="auto"/>
        </w:rPr>
        <w:t>Reviews the results of the Annual Meeting shareholder votes.</w:t>
      </w:r>
    </w:p>
    <w:p>
      <w:pPr>
        <w:spacing w:after="0" w:line="187" w:lineRule="exact"/>
        <w:rPr>
          <w:sz w:val="20"/>
          <w:szCs w:val="20"/>
          <w:color w:val="auto"/>
        </w:rPr>
      </w:pPr>
    </w:p>
    <w:p>
      <w:pPr>
        <w:ind w:left="2" w:right="80"/>
        <w:spacing w:after="0" w:line="237" w:lineRule="auto"/>
        <w:rPr>
          <w:sz w:val="20"/>
          <w:szCs w:val="20"/>
          <w:color w:val="auto"/>
        </w:rPr>
      </w:pPr>
      <w:r>
        <w:rPr>
          <w:rFonts w:ascii="Arial" w:cs="Arial" w:eastAsia="Arial" w:hAnsi="Arial"/>
          <w:sz w:val="20"/>
          <w:szCs w:val="20"/>
          <w:b w:val="1"/>
          <w:bCs w:val="1"/>
          <w:i w:val="1"/>
          <w:iCs w:val="1"/>
          <w:color w:val="auto"/>
        </w:rPr>
        <w:t xml:space="preserve">Chairman and CEO Positions. </w:t>
      </w:r>
      <w:r>
        <w:rPr>
          <w:rFonts w:ascii="Arial" w:cs="Arial" w:eastAsia="Arial" w:hAnsi="Arial"/>
          <w:sz w:val="20"/>
          <w:szCs w:val="20"/>
          <w:color w:val="auto"/>
        </w:rPr>
        <w:t>The Chairman is Donald E. Brandt, the Company's President and CEO. The independent</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directors believe that Mr. Brandt, as an experienced leader with extensive knowledge of the Company and our industry, serves as a highly effective conduit between the Board and management and that Mr. Brandt provides the vision and leadership to execute on the Company's strategy and create shareholder value. The Board believes that separating the roles of the CEO and Chairman and appointing an independent Board Chairman at this time would simply create an additional level of unneeded hierarchy that would only duplicate the activities already being vigorously carried out by our Lead Director.</w:t>
      </w:r>
    </w:p>
    <w:p>
      <w:pPr>
        <w:spacing w:after="0" w:line="9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26" w:name="page27"/>
    <w:bookmarkEnd w:id="26"/>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3123565" cy="1555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2"/>
          <w:szCs w:val="12"/>
          <w:b w:val="1"/>
          <w:bCs w:val="1"/>
          <w:color w:val="FFFFFE"/>
        </w:rPr>
        <w:t>INFORMATION ABOUT OUR BOARD AND CORPORATE GOVERNANCE</w:t>
      </w:r>
    </w:p>
    <w:p>
      <w:pPr>
        <w:spacing w:after="0" w:line="46"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The Board's Role in Risk Oversight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p>
      <w:pPr>
        <w:spacing w:after="0" w:line="200" w:lineRule="exact"/>
        <w:rPr>
          <w:sz w:val="20"/>
          <w:szCs w:val="20"/>
          <w:color w:val="auto"/>
        </w:rPr>
      </w:pPr>
    </w:p>
    <w:p>
      <w:pPr>
        <w:spacing w:after="0" w:line="220" w:lineRule="exact"/>
        <w:rPr>
          <w:sz w:val="20"/>
          <w:szCs w:val="20"/>
          <w:color w:val="auto"/>
        </w:rPr>
      </w:pPr>
    </w:p>
    <w:p>
      <w:pPr>
        <w:spacing w:after="0" w:line="245" w:lineRule="auto"/>
        <w:rPr>
          <w:sz w:val="20"/>
          <w:szCs w:val="20"/>
          <w:color w:val="auto"/>
        </w:rPr>
      </w:pPr>
      <w:r>
        <w:rPr>
          <w:rFonts w:ascii="Arial" w:cs="Arial" w:eastAsia="Arial" w:hAnsi="Arial"/>
          <w:sz w:val="16"/>
          <w:szCs w:val="16"/>
          <w:i w:val="1"/>
          <w:iCs w:val="1"/>
          <w:color w:val="3A5575"/>
        </w:rPr>
        <w:t>Top risks discussed by the Board and its committees in 2015 included cyber security, data privacy and utility regulation. The Board believes it is important to look at the list fresh each year as part of a diligent risk review.</w:t>
      </w:r>
    </w:p>
    <w:p>
      <w:pPr>
        <w:spacing w:after="0" w:line="20" w:lineRule="exact"/>
        <w:rPr>
          <w:sz w:val="20"/>
          <w:szCs w:val="20"/>
          <w:color w:val="auto"/>
        </w:rPr>
      </w:pPr>
      <w:r>
        <w:rPr>
          <w:sz w:val="20"/>
          <w:szCs w:val="20"/>
          <w:color w:val="auto"/>
        </w:rPr>
        <w:br w:type="column"/>
      </w:r>
    </w:p>
    <w:p>
      <w:pPr>
        <w:spacing w:after="0" w:line="385" w:lineRule="exact"/>
        <w:rPr>
          <w:sz w:val="20"/>
          <w:szCs w:val="20"/>
          <w:color w:val="auto"/>
        </w:rPr>
      </w:pPr>
    </w:p>
    <w:p>
      <w:pPr>
        <w:ind w:right="40"/>
        <w:spacing w:after="0" w:line="235" w:lineRule="auto"/>
        <w:rPr>
          <w:sz w:val="20"/>
          <w:szCs w:val="20"/>
          <w:color w:val="auto"/>
        </w:rPr>
      </w:pPr>
      <w:r>
        <w:rPr>
          <w:rFonts w:ascii="Arial" w:cs="Arial" w:eastAsia="Arial" w:hAnsi="Arial"/>
          <w:sz w:val="20"/>
          <w:szCs w:val="20"/>
          <w:color w:val="auto"/>
        </w:rPr>
        <w:t>The ultimate responsibility for the management of the Company's risks rests with the Company's senior management team. The Board's oversight of the Company's risk management function is designed to provide assurance that the Company's risk management processes are well adapted to and consistent with the Company's business and strategy, and are functioning as intended. The Board focuses on fostering a culture of risk awareness and risk-adjusted decision-making and ensuring that an appropriate "tone at the top" is established. The Board regularly discusses and updates a listing of areas of risk and a suggested allocation of responsibilities for such risks among the Board and the Board committees. The charter for each of our committees requires each committee to periodically review risks in their respective areas. Each committee:</w:t>
      </w:r>
    </w:p>
    <w:p>
      <w:pPr>
        <w:spacing w:after="0" w:line="181" w:lineRule="exact"/>
        <w:rPr>
          <w:sz w:val="20"/>
          <w:szCs w:val="20"/>
          <w:color w:val="auto"/>
        </w:rPr>
      </w:pPr>
    </w:p>
    <w:p>
      <w:pPr>
        <w:sectPr>
          <w:pgSz w:w="11900" w:h="16838" w:orient="portrait"/>
          <w:cols w:equalWidth="0" w:num="2">
            <w:col w:w="2160" w:space="280"/>
            <w:col w:w="8980"/>
          </w:cols>
          <w:pgMar w:left="240" w:top="110" w:right="239" w:bottom="1440" w:gutter="0" w:footer="0" w:header="0"/>
          <w:type w:val="continuous"/>
        </w:sectPr>
      </w:pPr>
    </w:p>
    <w:p>
      <w:pPr>
        <w:ind w:left="2740" w:hanging="301"/>
        <w:spacing w:after="0"/>
        <w:tabs>
          <w:tab w:leader="none" w:pos="2740" w:val="left"/>
        </w:tabs>
        <w:numPr>
          <w:ilvl w:val="0"/>
          <w:numId w:val="32"/>
        </w:numPr>
        <w:rPr>
          <w:rFonts w:ascii="Arial" w:cs="Arial" w:eastAsia="Arial" w:hAnsi="Arial"/>
          <w:sz w:val="20"/>
          <w:szCs w:val="20"/>
          <w:color w:val="3A5575"/>
        </w:rPr>
      </w:pPr>
      <w:r>
        <w:rPr>
          <w:rFonts w:ascii="Arial" w:cs="Arial" w:eastAsia="Arial" w:hAnsi="Arial"/>
          <w:sz w:val="20"/>
          <w:szCs w:val="20"/>
          <w:color w:val="auto"/>
        </w:rPr>
        <w:t>Receives periodic presentations from management about its assigned risk areas;</w:t>
      </w:r>
    </w:p>
    <w:p>
      <w:pPr>
        <w:spacing w:after="0" w:line="211" w:lineRule="exact"/>
        <w:rPr>
          <w:rFonts w:ascii="Arial" w:cs="Arial" w:eastAsia="Arial" w:hAnsi="Arial"/>
          <w:sz w:val="20"/>
          <w:szCs w:val="20"/>
          <w:color w:val="3A5575"/>
        </w:rPr>
      </w:pPr>
    </w:p>
    <w:p>
      <w:pPr>
        <w:ind w:left="2740" w:hanging="301"/>
        <w:spacing w:after="0"/>
        <w:tabs>
          <w:tab w:leader="none" w:pos="2740" w:val="left"/>
        </w:tabs>
        <w:numPr>
          <w:ilvl w:val="0"/>
          <w:numId w:val="32"/>
        </w:numPr>
        <w:rPr>
          <w:rFonts w:ascii="Arial" w:cs="Arial" w:eastAsia="Arial" w:hAnsi="Arial"/>
          <w:sz w:val="19"/>
          <w:szCs w:val="19"/>
          <w:color w:val="3A5575"/>
        </w:rPr>
      </w:pPr>
      <w:r>
        <w:rPr>
          <w:rFonts w:ascii="Arial" w:cs="Arial" w:eastAsia="Arial" w:hAnsi="Arial"/>
          <w:sz w:val="19"/>
          <w:szCs w:val="19"/>
          <w:color w:val="auto"/>
        </w:rPr>
        <w:t>Considers the effectiveness of the risk identification and mitigation measures being employed; and</w:t>
      </w:r>
    </w:p>
    <w:p>
      <w:pPr>
        <w:spacing w:after="0" w:line="223" w:lineRule="exact"/>
        <w:rPr>
          <w:rFonts w:ascii="Arial" w:cs="Arial" w:eastAsia="Arial" w:hAnsi="Arial"/>
          <w:sz w:val="19"/>
          <w:szCs w:val="19"/>
          <w:color w:val="3A5575"/>
        </w:rPr>
      </w:pPr>
    </w:p>
    <w:p>
      <w:pPr>
        <w:ind w:left="2740" w:hanging="301"/>
        <w:spacing w:after="0"/>
        <w:tabs>
          <w:tab w:leader="none" w:pos="2740" w:val="left"/>
        </w:tabs>
        <w:numPr>
          <w:ilvl w:val="0"/>
          <w:numId w:val="32"/>
        </w:numPr>
        <w:rPr>
          <w:rFonts w:ascii="Arial" w:cs="Arial" w:eastAsia="Arial" w:hAnsi="Arial"/>
          <w:sz w:val="20"/>
          <w:szCs w:val="20"/>
          <w:color w:val="3A5575"/>
        </w:rPr>
      </w:pPr>
      <w:r>
        <w:rPr>
          <w:rFonts w:ascii="Arial" w:cs="Arial" w:eastAsia="Arial" w:hAnsi="Arial"/>
          <w:sz w:val="20"/>
          <w:szCs w:val="20"/>
          <w:color w:val="auto"/>
        </w:rPr>
        <w:t>Discusses their risk reviews with the Board at least annually.</w:t>
      </w:r>
    </w:p>
    <w:p>
      <w:pPr>
        <w:spacing w:after="0" w:line="187" w:lineRule="exact"/>
        <w:rPr>
          <w:sz w:val="20"/>
          <w:szCs w:val="20"/>
          <w:color w:val="auto"/>
        </w:rPr>
      </w:pPr>
    </w:p>
    <w:p>
      <w:pPr>
        <w:ind w:right="140"/>
        <w:spacing w:after="0" w:line="236" w:lineRule="auto"/>
        <w:rPr>
          <w:sz w:val="20"/>
          <w:szCs w:val="20"/>
          <w:color w:val="auto"/>
        </w:rPr>
      </w:pPr>
      <w:r>
        <w:rPr>
          <w:rFonts w:ascii="Arial" w:cs="Arial" w:eastAsia="Arial" w:hAnsi="Arial"/>
          <w:sz w:val="20"/>
          <w:szCs w:val="20"/>
          <w:color w:val="auto"/>
        </w:rPr>
        <w:t>Consistent with the requirements of the NYSE's corporate governance standards, the Audit Committee periodically reviews the Company's major financial risk exposures and the steps management has taken to monitor and control such exposures. The Audit Committee also reviews the comprehensiveness of the Board's risk oversight and the Company's risk assessment process, and plays a coordinating role designed to ensure that no gaps exist in the coverage by the Board committees of risk areas. In recommending the composition of the Board's committees and the selection of committee Chairs, the Corporate Governance Committee takes into account the effective functioning of the risk oversight role of each Board committee and the risk areas assigned to it.</w:t>
      </w:r>
    </w:p>
    <w:p>
      <w:pPr>
        <w:spacing w:after="0" w:line="159" w:lineRule="exact"/>
        <w:rPr>
          <w:sz w:val="20"/>
          <w:szCs w:val="20"/>
          <w:color w:val="auto"/>
        </w:rPr>
      </w:pPr>
    </w:p>
    <w:p>
      <w:pPr>
        <w:ind w:right="40"/>
        <w:spacing w:after="0" w:line="235" w:lineRule="auto"/>
        <w:rPr>
          <w:sz w:val="20"/>
          <w:szCs w:val="20"/>
          <w:color w:val="auto"/>
        </w:rPr>
      </w:pPr>
      <w:r>
        <w:rPr>
          <w:rFonts w:ascii="Arial" w:cs="Arial" w:eastAsia="Arial" w:hAnsi="Arial"/>
          <w:sz w:val="20"/>
          <w:szCs w:val="20"/>
          <w:color w:val="auto"/>
        </w:rPr>
        <w:t>The Executive Risk Committee is comprised of senior level officers of the Company and is chaired by the Chief Financial Officer. Among other responsibilities, this Committee is responsible for ensuring that the Board receives timely information concerning the Company's material risks and risk management processes. The Executive Risk Committee provides the Board with a list of the Company's top risks on an annual basis. The internal enterprise risk management group reports to the Vice President, Controller and Chief Accounting Officer, who reports to the Executive Vice President and Chief Financial Officer. The internal risk management group is responsible for (1) implementing a consistent risk management framework and reporting process across APS, and (2) ensuring that the Executive Risk Committee is informed of those processes and regularly apprised of existing material risks and the emergence of additional material risks.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175895</wp:posOffset>
            </wp:positionV>
            <wp:extent cx="841375" cy="16383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2"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18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type w:val="continuous"/>
        </w:sectPr>
      </w:pPr>
    </w:p>
    <w:bookmarkStart w:id="27" w:name="page28"/>
    <w:bookmarkEnd w:id="27"/>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4134485</wp:posOffset>
            </wp:positionH>
            <wp:positionV relativeFrom="paragraph">
              <wp:posOffset>137795</wp:posOffset>
            </wp:positionV>
            <wp:extent cx="3123565" cy="1555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232" w:lineRule="exact"/>
        <w:rPr>
          <w:sz w:val="20"/>
          <w:szCs w:val="20"/>
          <w:color w:val="auto"/>
        </w:rPr>
      </w:pPr>
    </w:p>
    <w:p>
      <w:pPr>
        <w:ind w:left="6560"/>
        <w:spacing w:after="0"/>
        <w:rPr>
          <w:sz w:val="20"/>
          <w:szCs w:val="20"/>
          <w:color w:val="auto"/>
        </w:rPr>
      </w:pPr>
      <w:r>
        <w:rPr>
          <w:rFonts w:ascii="Arial" w:cs="Arial" w:eastAsia="Arial" w:hAnsi="Arial"/>
          <w:sz w:val="13"/>
          <w:szCs w:val="13"/>
          <w:b w:val="1"/>
          <w:bCs w:val="1"/>
          <w:color w:val="FFFFFE"/>
        </w:rPr>
        <w:t>INFORMATION ABOUT OUR BOARD AND CORPORATE GOVERNANCE</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Director Resignation Due to a Substantial Change in their Primary Business 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180"/>
        <w:spacing w:after="0" w:line="259" w:lineRule="auto"/>
        <w:rPr>
          <w:sz w:val="20"/>
          <w:szCs w:val="20"/>
          <w:color w:val="auto"/>
        </w:rPr>
      </w:pPr>
      <w:r>
        <w:rPr>
          <w:rFonts w:ascii="Arial" w:cs="Arial" w:eastAsia="Arial" w:hAnsi="Arial"/>
          <w:sz w:val="19"/>
          <w:szCs w:val="19"/>
          <w:color w:val="auto"/>
        </w:rPr>
        <w:t>Under the Company's Corporate Governance Guidelines, upon a substantial change in a director's primary business position from the position the director held when originally elected to the Board, a director is required to apprise the Corporate Governance Committee and to offer his or her resignation for consideration to the Corporate Governance Committee. The Corporate Governance Committee will recommend to the Board the action, if any, to be taken with respect to the tendered resignation.</w:t>
      </w:r>
    </w:p>
    <w:p>
      <w:pPr>
        <w:spacing w:after="0" w:line="133"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Director Retirement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280"/>
        <w:spacing w:after="0" w:line="242" w:lineRule="auto"/>
        <w:rPr>
          <w:sz w:val="20"/>
          <w:szCs w:val="20"/>
          <w:color w:val="auto"/>
        </w:rPr>
      </w:pPr>
      <w:r>
        <w:rPr>
          <w:rFonts w:ascii="Arial" w:cs="Arial" w:eastAsia="Arial" w:hAnsi="Arial"/>
          <w:sz w:val="20"/>
          <w:szCs w:val="20"/>
          <w:color w:val="auto"/>
        </w:rPr>
        <w:t>Under the Company's Corporate Governance Guidelines, an individual shall not be eligible to be nominated for election or re-election as a member of the Board of the Company or APS if, at the time of the nomination, the individual has attained the age of 75 years. This policy shall apply regardless of the source of the nomination or whether the nomination was made at a meeting of the Board of Directors, at an Annual Meeting or otherwise.</w:t>
      </w:r>
    </w:p>
    <w:p>
      <w:pPr>
        <w:spacing w:after="0" w:line="84"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28" w:name="page29"/>
    <w:bookmarkEnd w:id="28"/>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3123565" cy="1555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INFORMATION ABOUT OUR BOARD AND CORPORATE GOVERNANCE</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Shareholder Engagement and Communications with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jc w:val="both"/>
        <w:ind w:right="80"/>
        <w:spacing w:after="0" w:line="239" w:lineRule="auto"/>
        <w:rPr>
          <w:sz w:val="20"/>
          <w:szCs w:val="20"/>
          <w:color w:val="auto"/>
        </w:rPr>
      </w:pPr>
      <w:r>
        <w:rPr>
          <w:rFonts w:ascii="Arial" w:cs="Arial" w:eastAsia="Arial" w:hAnsi="Arial"/>
          <w:sz w:val="20"/>
          <w:szCs w:val="20"/>
          <w:color w:val="auto"/>
        </w:rPr>
        <w:t>What our shareholders think is important to us. We have a long-standing investor outreach program conducted throughout the year to maintain a dialogue with current and potential shareholders. For the last several years, we have also had an increasingly active proxy engagement program in support of the Annual Meeting, in order to understand the governance priorities of our shareholders. Discussion topics include governance best practices, Board makeup, compensation policies and sustainability. The diagram below provides an overview of our outreach program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582930</wp:posOffset>
            </wp:positionH>
            <wp:positionV relativeFrom="paragraph">
              <wp:posOffset>117475</wp:posOffset>
            </wp:positionV>
            <wp:extent cx="6098540" cy="394906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6098540" cy="3949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right="140"/>
        <w:spacing w:after="0" w:line="237" w:lineRule="auto"/>
        <w:rPr>
          <w:sz w:val="20"/>
          <w:szCs w:val="20"/>
          <w:color w:val="auto"/>
        </w:rPr>
      </w:pPr>
      <w:r>
        <w:rPr>
          <w:rFonts w:ascii="Arial" w:cs="Arial" w:eastAsia="Arial" w:hAnsi="Arial"/>
          <w:sz w:val="20"/>
          <w:szCs w:val="20"/>
          <w:color w:val="auto"/>
        </w:rPr>
        <w:t>Shareholders and other parties interested in communicating with the Board may do so by writing to the Corporate Secretary, Pinnacle West Capital Corporation, 400 North Fifth Street, Mail Station 8602, Phoenix, Arizona 85004, indicating who should receive the communication. The Corporate Secretary will transmit communications not otherwise specifically addressed and that raise substantial issues to the Lead Director and to the Chair of the Board Committee most closely associated with the matter. The Corporate Secretary has discretion to exclude communications that are commercial advertisements or other forms of solicitations, service or billing complaints and complaints related to individual employment-related actions.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173990</wp:posOffset>
            </wp:positionV>
            <wp:extent cx="841375" cy="16383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0"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20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29" w:name="page30"/>
    <w:bookmarkEnd w:id="29"/>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4134485</wp:posOffset>
            </wp:positionH>
            <wp:positionV relativeFrom="paragraph">
              <wp:posOffset>137795</wp:posOffset>
            </wp:positionV>
            <wp:extent cx="3123565" cy="1555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232" w:lineRule="exact"/>
        <w:rPr>
          <w:sz w:val="20"/>
          <w:szCs w:val="20"/>
          <w:color w:val="auto"/>
        </w:rPr>
      </w:pPr>
    </w:p>
    <w:p>
      <w:pPr>
        <w:ind w:left="6560"/>
        <w:spacing w:after="0"/>
        <w:rPr>
          <w:sz w:val="20"/>
          <w:szCs w:val="20"/>
          <w:color w:val="auto"/>
        </w:rPr>
      </w:pPr>
      <w:r>
        <w:rPr>
          <w:rFonts w:ascii="Arial" w:cs="Arial" w:eastAsia="Arial" w:hAnsi="Arial"/>
          <w:sz w:val="13"/>
          <w:szCs w:val="13"/>
          <w:b w:val="1"/>
          <w:bCs w:val="1"/>
          <w:color w:val="FFFFFE"/>
        </w:rPr>
        <w:t>INFORMATION ABOUT OUR BOARD AND CORPORATE GOVERNANCE</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Codes of Ethics and APS Core Strategic Framework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40"/>
        <w:spacing w:after="0" w:line="292" w:lineRule="auto"/>
        <w:rPr>
          <w:sz w:val="20"/>
          <w:szCs w:val="20"/>
          <w:color w:val="auto"/>
        </w:rPr>
      </w:pPr>
      <w:r>
        <w:rPr>
          <w:rFonts w:ascii="Arial" w:cs="Arial" w:eastAsia="Arial" w:hAnsi="Arial"/>
          <w:sz w:val="19"/>
          <w:szCs w:val="19"/>
          <w:color w:val="auto"/>
        </w:rPr>
        <w:t>To ensure the highest levels of business ethics, the Board has adopted the Code of Ethics and Business Practices, which applies to all employees, officers and directors, and the Code of Ethics for Financial Executives, both of which are described below:</w:t>
      </w:r>
    </w:p>
    <w:p>
      <w:pPr>
        <w:spacing w:after="0" w:line="106" w:lineRule="exact"/>
        <w:rPr>
          <w:sz w:val="20"/>
          <w:szCs w:val="20"/>
          <w:color w:val="auto"/>
        </w:rPr>
      </w:pPr>
    </w:p>
    <w:p>
      <w:pPr>
        <w:ind w:right="20"/>
        <w:spacing w:after="0" w:line="235" w:lineRule="auto"/>
        <w:rPr>
          <w:sz w:val="20"/>
          <w:szCs w:val="20"/>
          <w:color w:val="auto"/>
        </w:rPr>
      </w:pPr>
      <w:r>
        <w:rPr>
          <w:rFonts w:ascii="Arial" w:cs="Arial" w:eastAsia="Arial" w:hAnsi="Arial"/>
          <w:sz w:val="20"/>
          <w:szCs w:val="20"/>
          <w:b w:val="1"/>
          <w:bCs w:val="1"/>
          <w:i w:val="1"/>
          <w:iCs w:val="1"/>
          <w:color w:val="auto"/>
        </w:rPr>
        <w:t xml:space="preserve">Code of Ethics and Business Practices ("Code of Ethics"). </w:t>
      </w:r>
      <w:r>
        <w:rPr>
          <w:rFonts w:ascii="Arial" w:cs="Arial" w:eastAsia="Arial" w:hAnsi="Arial"/>
          <w:sz w:val="20"/>
          <w:szCs w:val="20"/>
          <w:color w:val="auto"/>
        </w:rPr>
        <w:t>Employees, directors and officers receive the Code of Ethics when</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they join the Company or APS, as well as any subsequent updates. The Code of Ethics helps ensure that employees, directors and officers of the Company and APS act with integrity and avoid any real or perceived violation of the Company's policies and applicable laws and regulations. The Company provides periodic online training and examination covering the principles in the Code of Ethics. This training includes extensive discussion of the Company's values, an explanation of Company ethical standards, application of ethical standards in typical workplace scenarios, information on reporting concerns, assessment questions to measure understanding, and an agreement to abide by the Code of Ethics. All employees of the Company and APS and all of our directors complete the training.</w:t>
      </w:r>
    </w:p>
    <w:p>
      <w:pPr>
        <w:spacing w:after="0" w:line="161" w:lineRule="exact"/>
        <w:rPr>
          <w:sz w:val="20"/>
          <w:szCs w:val="20"/>
          <w:color w:val="auto"/>
        </w:rPr>
      </w:pPr>
    </w:p>
    <w:p>
      <w:pPr>
        <w:ind w:right="40"/>
        <w:spacing w:after="0" w:line="237" w:lineRule="auto"/>
        <w:rPr>
          <w:sz w:val="20"/>
          <w:szCs w:val="20"/>
          <w:color w:val="auto"/>
        </w:rPr>
      </w:pPr>
      <w:r>
        <w:rPr>
          <w:rFonts w:ascii="Arial" w:cs="Arial" w:eastAsia="Arial" w:hAnsi="Arial"/>
          <w:sz w:val="20"/>
          <w:szCs w:val="20"/>
          <w:b w:val="1"/>
          <w:bCs w:val="1"/>
          <w:i w:val="1"/>
          <w:iCs w:val="1"/>
          <w:color w:val="auto"/>
        </w:rPr>
        <w:t xml:space="preserve">Code of Ethics for Financial Executives. </w:t>
      </w:r>
      <w:r>
        <w:rPr>
          <w:rFonts w:ascii="Arial" w:cs="Arial" w:eastAsia="Arial" w:hAnsi="Arial"/>
          <w:sz w:val="20"/>
          <w:szCs w:val="20"/>
          <w:color w:val="auto"/>
        </w:rPr>
        <w:t>The Company has adopted a Code of Ethics for Financial Executives, which is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designed to promote honest and ethical conduct and compliance with applicable laws and regulations, particularly as related to the maintenance of financial records, the preparation of financial statements, and proper public disclosure. "Financial Executive" means the Company's CEO, Chief Financial Officer, Chief Accounting Officer, Controller, Treasurer, General Counsel, President and Chief Operating Officer of APS, and other persons designated from time to time as a Financial Executive subject to this policy by the Chair of the Audit Committee.</w:t>
      </w:r>
    </w:p>
    <w:p>
      <w:pPr>
        <w:spacing w:after="0" w:line="158" w:lineRule="exact"/>
        <w:rPr>
          <w:sz w:val="20"/>
          <w:szCs w:val="20"/>
          <w:color w:val="auto"/>
        </w:rPr>
      </w:pPr>
    </w:p>
    <w:p>
      <w:pPr>
        <w:spacing w:after="0"/>
        <w:rPr>
          <w:sz w:val="20"/>
          <w:szCs w:val="20"/>
          <w:color w:val="auto"/>
        </w:rPr>
      </w:pPr>
      <w:r>
        <w:rPr>
          <w:rFonts w:ascii="Arial" w:cs="Arial" w:eastAsia="Arial" w:hAnsi="Arial"/>
          <w:sz w:val="20"/>
          <w:szCs w:val="20"/>
          <w:color w:val="auto"/>
        </w:rPr>
        <w:t>Both codes are available on the Company's website (</w:t>
      </w:r>
      <w:r>
        <w:rPr>
          <w:rFonts w:ascii="Arial" w:cs="Arial" w:eastAsia="Arial" w:hAnsi="Arial"/>
          <w:sz w:val="20"/>
          <w:szCs w:val="20"/>
          <w:b w:val="1"/>
          <w:bCs w:val="1"/>
          <w:i w:val="1"/>
          <w:iCs w:val="1"/>
          <w:color w:val="3A5575"/>
        </w:rPr>
        <w:t>www.pinnaclewest.com</w:t>
      </w:r>
      <w:r>
        <w:rPr>
          <w:rFonts w:ascii="Arial" w:cs="Arial" w:eastAsia="Arial" w:hAnsi="Arial"/>
          <w:sz w:val="20"/>
          <w:szCs w:val="20"/>
          <w:color w:val="auto"/>
        </w:rPr>
        <w:t>).</w:t>
      </w:r>
    </w:p>
    <w:p>
      <w:pPr>
        <w:spacing w:after="0" w:line="119"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30" w:name="page31"/>
    <w:bookmarkEnd w:id="30"/>
    <w:p>
      <w:pPr>
        <w:spacing w:after="0" w:line="205" w:lineRule="auto"/>
        <w:framePr w:w="4480" w:h="118" w:wrap="auto" w:vAnchor="page" w:hAnchor="page" w:x="660" w:y="610"/>
        <w:rPr>
          <w:rFonts w:ascii="Arial" w:cs="Arial" w:eastAsia="Arial" w:hAnsi="Arial"/>
          <w:sz w:val="12"/>
          <w:szCs w:val="12"/>
          <w:b w:val="1"/>
          <w:bCs w:val="1"/>
          <w:color w:val="FFFFFE"/>
        </w:rPr>
      </w:pPr>
      <w:r>
        <w:rPr>
          <w:rFonts w:ascii="Arial" w:cs="Arial" w:eastAsia="Arial" w:hAnsi="Arial"/>
          <w:sz w:val="12"/>
          <w:szCs w:val="12"/>
          <w:b w:val="1"/>
          <w:bCs w:val="1"/>
          <w:color w:val="FFFFFE"/>
        </w:rPr>
        <w:t>INFORMATION ABOUT OUR BOARD AND CORPORATE GOVERNANCE</w:t>
      </w:r>
    </w:p>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2"/>
          <w:szCs w:val="12"/>
          <w:b w:val="1"/>
          <w:bCs w:val="1"/>
          <w:color w:val="FFFFFE"/>
        </w:rPr>
      </w:pPr>
    </w:p>
    <w:p>
      <w:pPr>
        <w:ind w:left="4922" w:right="120"/>
        <w:spacing w:after="0" w:line="255" w:lineRule="auto"/>
        <w:rPr>
          <w:sz w:val="20"/>
          <w:szCs w:val="20"/>
          <w:color w:val="auto"/>
        </w:rPr>
      </w:pPr>
      <w:r>
        <w:rPr>
          <w:rFonts w:ascii="Arial" w:cs="Arial" w:eastAsia="Arial" w:hAnsi="Arial"/>
          <w:sz w:val="19"/>
          <w:szCs w:val="19"/>
          <w:b w:val="1"/>
          <w:bCs w:val="1"/>
          <w:i w:val="1"/>
          <w:iCs w:val="1"/>
          <w:color w:val="auto"/>
        </w:rPr>
        <w:t xml:space="preserve">Core. </w:t>
      </w:r>
      <w:r>
        <w:rPr>
          <w:rFonts w:ascii="Arial" w:cs="Arial" w:eastAsia="Arial" w:hAnsi="Arial"/>
          <w:sz w:val="19"/>
          <w:szCs w:val="19"/>
          <w:color w:val="auto"/>
        </w:rPr>
        <w:t>The Company and APS have adopted Core, which is a strategic</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framework that sets forth the foundation from which we operate. It defines</w:t>
      </w:r>
    </w:p>
    <w:p>
      <w:pPr>
        <w:spacing w:after="0" w:line="20" w:lineRule="exact"/>
        <w:rPr>
          <w:rFonts w:ascii="Arial" w:cs="Arial" w:eastAsia="Arial" w:hAnsi="Arial"/>
          <w:sz w:val="12"/>
          <w:szCs w:val="12"/>
          <w:b w:val="1"/>
          <w:bCs w:val="1"/>
          <w:color w:val="FFFFFE"/>
        </w:rPr>
      </w:pPr>
      <w:r>
        <w:rPr>
          <w:rFonts w:ascii="Arial" w:cs="Arial" w:eastAsia="Arial" w:hAnsi="Arial"/>
          <w:sz w:val="12"/>
          <w:szCs w:val="12"/>
          <w:b w:val="1"/>
          <w:bCs w:val="1"/>
          <w:color w:val="FFFFFE"/>
        </w:rPr>
        <w:drawing>
          <wp:anchor simplePos="0" relativeHeight="251657728" behindDoc="1" locked="0" layoutInCell="0" allowOverlap="1">
            <wp:simplePos x="0" y="0"/>
            <wp:positionH relativeFrom="column">
              <wp:posOffset>0</wp:posOffset>
            </wp:positionH>
            <wp:positionV relativeFrom="paragraph">
              <wp:posOffset>-274955</wp:posOffset>
            </wp:positionV>
            <wp:extent cx="3123565" cy="15557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ind w:left="2" w:right="220"/>
        <w:spacing w:after="0" w:line="250" w:lineRule="auto"/>
        <w:rPr>
          <w:sz w:val="20"/>
          <w:szCs w:val="20"/>
          <w:color w:val="auto"/>
        </w:rPr>
      </w:pPr>
      <w:r>
        <w:rPr>
          <w:rFonts w:ascii="Arial" w:cs="Arial" w:eastAsia="Arial" w:hAnsi="Arial"/>
          <w:sz w:val="19"/>
          <w:szCs w:val="19"/>
          <w:color w:val="auto"/>
        </w:rPr>
        <w:t>our vision, mission, critical areas of focus, and values. APS's vision is to create a sustainable energy future for Arizona. APS's mission is to safely and efficiently deliver reliable energy to meet the changing needs of our customers. The critical areas of focus are employees, operational excellence, environment, customer value, community, and shareholder value. The framework affirms our corporate values of safety, integrity and trust, respect and inclusion, and accountability. Here is our Core:</w:t>
      </w:r>
    </w:p>
    <w:p>
      <w:pPr>
        <w:spacing w:after="0" w:line="20" w:lineRule="exact"/>
        <w:rPr>
          <w:rFonts w:ascii="Arial" w:cs="Arial" w:eastAsia="Arial" w:hAnsi="Arial"/>
          <w:sz w:val="12"/>
          <w:szCs w:val="12"/>
          <w:b w:val="1"/>
          <w:bCs w:val="1"/>
          <w:color w:val="FFFFFE"/>
        </w:rPr>
      </w:pPr>
      <w:r>
        <w:rPr>
          <w:rFonts w:ascii="Arial" w:cs="Arial" w:eastAsia="Arial" w:hAnsi="Arial"/>
          <w:sz w:val="12"/>
          <w:szCs w:val="12"/>
          <w:b w:val="1"/>
          <w:bCs w:val="1"/>
          <w:color w:val="FFFFFE"/>
        </w:rPr>
        <w:drawing>
          <wp:anchor simplePos="0" relativeHeight="251657728" behindDoc="1" locked="0" layoutInCell="0" allowOverlap="1">
            <wp:simplePos x="0" y="0"/>
            <wp:positionH relativeFrom="column">
              <wp:posOffset>1433195</wp:posOffset>
            </wp:positionH>
            <wp:positionV relativeFrom="paragraph">
              <wp:posOffset>111125</wp:posOffset>
            </wp:positionV>
            <wp:extent cx="4392930" cy="439293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392930" cy="4392930"/>
                    </a:xfrm>
                    <a:prstGeom prst="rect">
                      <a:avLst/>
                    </a:prstGeom>
                    <a:noFill/>
                  </pic:spPr>
                </pic:pic>
              </a:graphicData>
            </a:graphic>
          </wp:anchor>
        </w:drawing>
      </w: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00" w:lineRule="exact"/>
        <w:rPr>
          <w:rFonts w:ascii="Arial" w:cs="Arial" w:eastAsia="Arial" w:hAnsi="Arial"/>
          <w:sz w:val="12"/>
          <w:szCs w:val="12"/>
          <w:b w:val="1"/>
          <w:bCs w:val="1"/>
          <w:color w:val="FFFFFE"/>
        </w:rPr>
      </w:pPr>
    </w:p>
    <w:p>
      <w:pPr>
        <w:spacing w:after="0" w:line="236" w:lineRule="exact"/>
        <w:rPr>
          <w:rFonts w:ascii="Arial" w:cs="Arial" w:eastAsia="Arial" w:hAnsi="Arial"/>
          <w:sz w:val="12"/>
          <w:szCs w:val="12"/>
          <w:b w:val="1"/>
          <w:bCs w:val="1"/>
          <w:color w:val="FFFFFE"/>
        </w:rPr>
      </w:pPr>
    </w:p>
    <w:p>
      <w:pPr>
        <w:ind w:left="2"/>
        <w:spacing w:after="0"/>
        <w:rPr>
          <w:sz w:val="20"/>
          <w:szCs w:val="20"/>
          <w:color w:val="auto"/>
        </w:rPr>
      </w:pPr>
      <w:r>
        <w:rPr>
          <w:rFonts w:ascii="Arial" w:cs="Arial" w:eastAsia="Arial" w:hAnsi="Arial"/>
          <w:sz w:val="22"/>
          <w:szCs w:val="22"/>
          <w:b w:val="1"/>
          <w:bCs w:val="1"/>
          <w:color w:val="3A5575"/>
        </w:rPr>
        <w:t>Director Qualifications and Selection of Nominees for the Board</w:t>
      </w:r>
    </w:p>
    <w:p>
      <w:pPr>
        <w:spacing w:after="0" w:line="20" w:lineRule="exact"/>
        <w:rPr>
          <w:rFonts w:ascii="Arial" w:cs="Arial" w:eastAsia="Arial" w:hAnsi="Arial"/>
          <w:sz w:val="12"/>
          <w:szCs w:val="12"/>
          <w:b w:val="1"/>
          <w:bCs w:val="1"/>
          <w:color w:val="FFFFFE"/>
        </w:rPr>
      </w:pPr>
      <w:r>
        <w:rPr>
          <w:rFonts w:ascii="Arial" w:cs="Arial" w:eastAsia="Arial" w:hAnsi="Arial"/>
          <w:sz w:val="12"/>
          <w:szCs w:val="12"/>
          <w:b w:val="1"/>
          <w:bCs w:val="1"/>
          <w:color w:val="FFFFFE"/>
        </w:rPr>
        <w:drawing>
          <wp:anchor simplePos="0" relativeHeight="251657728" behindDoc="1" locked="0" layoutInCell="0" allowOverlap="1">
            <wp:simplePos x="0" y="0"/>
            <wp:positionH relativeFrom="column">
              <wp:posOffset>0</wp:posOffset>
            </wp:positionH>
            <wp:positionV relativeFrom="paragraph">
              <wp:posOffset>24130</wp:posOffset>
            </wp:positionV>
            <wp:extent cx="7259320" cy="762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rFonts w:ascii="Arial" w:cs="Arial" w:eastAsia="Arial" w:hAnsi="Arial"/>
          <w:sz w:val="12"/>
          <w:szCs w:val="12"/>
          <w:b w:val="1"/>
          <w:bCs w:val="1"/>
          <w:color w:val="FFFFFE"/>
        </w:rPr>
      </w:pPr>
    </w:p>
    <w:p>
      <w:pPr>
        <w:ind w:left="2" w:right="120"/>
        <w:spacing w:after="0" w:line="242" w:lineRule="auto"/>
        <w:rPr>
          <w:sz w:val="20"/>
          <w:szCs w:val="20"/>
          <w:color w:val="auto"/>
        </w:rPr>
      </w:pPr>
      <w:r>
        <w:rPr>
          <w:rFonts w:ascii="Arial" w:cs="Arial" w:eastAsia="Arial" w:hAnsi="Arial"/>
          <w:sz w:val="20"/>
          <w:szCs w:val="20"/>
          <w:b w:val="1"/>
          <w:bCs w:val="1"/>
          <w:i w:val="1"/>
          <w:iCs w:val="1"/>
          <w:color w:val="auto"/>
        </w:rPr>
        <w:t xml:space="preserve">Director Qualifications. </w:t>
      </w:r>
      <w:r>
        <w:rPr>
          <w:rFonts w:ascii="Arial" w:cs="Arial" w:eastAsia="Arial" w:hAnsi="Arial"/>
          <w:sz w:val="20"/>
          <w:szCs w:val="20"/>
          <w:color w:val="auto"/>
        </w:rPr>
        <w:t>The Bylaws and the Corporate Governance Guidelines contain Board membership criteria that apply to</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nominees recommended for a position on the Board. Under the Bylaws, a director must be a shareholder of the Company. In determining whether an individual should be considered for Board membership, the Corporate Governance Committee considers the following core characteristics:</w:t>
      </w:r>
    </w:p>
    <w:p>
      <w:pPr>
        <w:spacing w:after="0" w:line="140" w:lineRule="exact"/>
        <w:rPr>
          <w:rFonts w:ascii="Arial" w:cs="Arial" w:eastAsia="Arial" w:hAnsi="Arial"/>
          <w:sz w:val="12"/>
          <w:szCs w:val="12"/>
          <w:b w:val="1"/>
          <w:bCs w:val="1"/>
          <w:color w:val="FFFFFE"/>
        </w:rPr>
      </w:pPr>
    </w:p>
    <w:p>
      <w:pPr>
        <w:ind w:left="482" w:right="920" w:hanging="482"/>
        <w:spacing w:after="0" w:line="265" w:lineRule="auto"/>
        <w:tabs>
          <w:tab w:leader="none" w:pos="482" w:val="left"/>
        </w:tabs>
        <w:numPr>
          <w:ilvl w:val="0"/>
          <w:numId w:val="33"/>
        </w:numPr>
        <w:rPr>
          <w:rFonts w:ascii="Arial" w:cs="Arial" w:eastAsia="Arial" w:hAnsi="Arial"/>
          <w:sz w:val="20"/>
          <w:szCs w:val="20"/>
          <w:color w:val="3A5575"/>
        </w:rPr>
      </w:pPr>
      <w:r>
        <w:rPr>
          <w:rFonts w:ascii="Arial" w:cs="Arial" w:eastAsia="Arial" w:hAnsi="Arial"/>
          <w:sz w:val="20"/>
          <w:szCs w:val="20"/>
          <w:b w:val="1"/>
          <w:bCs w:val="1"/>
          <w:i w:val="1"/>
          <w:iCs w:val="1"/>
          <w:color w:val="auto"/>
        </w:rPr>
        <w:t xml:space="preserve">High Standards: </w:t>
      </w:r>
      <w:r>
        <w:rPr>
          <w:rFonts w:ascii="Arial" w:cs="Arial" w:eastAsia="Arial" w:hAnsi="Arial"/>
          <w:sz w:val="20"/>
          <w:szCs w:val="20"/>
          <w:color w:val="auto"/>
        </w:rPr>
        <w:t>We look for directors that set high standards and expectations for themselves and others and the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accomplishment of those standards and expectations.</w:t>
      </w:r>
    </w:p>
    <w:p>
      <w:pPr>
        <w:spacing w:after="0" w:line="154" w:lineRule="exact"/>
        <w:rPr>
          <w:rFonts w:ascii="Arial" w:cs="Arial" w:eastAsia="Arial" w:hAnsi="Arial"/>
          <w:sz w:val="20"/>
          <w:szCs w:val="20"/>
          <w:color w:val="3A5575"/>
        </w:rPr>
      </w:pPr>
    </w:p>
    <w:p>
      <w:pPr>
        <w:ind w:left="482" w:right="1040" w:hanging="482"/>
        <w:spacing w:after="0" w:line="265" w:lineRule="auto"/>
        <w:tabs>
          <w:tab w:leader="none" w:pos="482" w:val="left"/>
        </w:tabs>
        <w:numPr>
          <w:ilvl w:val="0"/>
          <w:numId w:val="33"/>
        </w:numPr>
        <w:rPr>
          <w:rFonts w:ascii="Arial" w:cs="Arial" w:eastAsia="Arial" w:hAnsi="Arial"/>
          <w:sz w:val="20"/>
          <w:szCs w:val="20"/>
          <w:color w:val="053582"/>
        </w:rPr>
      </w:pPr>
      <w:r>
        <w:rPr>
          <w:rFonts w:ascii="Arial" w:cs="Arial" w:eastAsia="Arial" w:hAnsi="Arial"/>
          <w:sz w:val="20"/>
          <w:szCs w:val="20"/>
          <w:b w:val="1"/>
          <w:bCs w:val="1"/>
          <w:i w:val="1"/>
          <w:iCs w:val="1"/>
          <w:color w:val="auto"/>
        </w:rPr>
        <w:t xml:space="preserve">Informed Judgment: </w:t>
      </w:r>
      <w:r>
        <w:rPr>
          <w:rFonts w:ascii="Arial" w:cs="Arial" w:eastAsia="Arial" w:hAnsi="Arial"/>
          <w:sz w:val="20"/>
          <w:szCs w:val="20"/>
          <w:color w:val="auto"/>
        </w:rPr>
        <w:t>Directors should be thoughtful in their deliberations. We look for directors who demonstrate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intelligence, wisdom and thoughtfulness in decision-making.</w:t>
      </w:r>
    </w:p>
    <w:p>
      <w:pPr>
        <w:spacing w:after="0" w:line="20" w:lineRule="exact"/>
        <w:rPr>
          <w:rFonts w:ascii="Arial" w:cs="Arial" w:eastAsia="Arial" w:hAnsi="Arial"/>
          <w:sz w:val="12"/>
          <w:szCs w:val="12"/>
          <w:b w:val="1"/>
          <w:bCs w:val="1"/>
          <w:color w:val="FFFFFE"/>
        </w:rPr>
      </w:pPr>
      <w:r>
        <w:rPr>
          <w:rFonts w:ascii="Arial" w:cs="Arial" w:eastAsia="Arial" w:hAnsi="Arial"/>
          <w:sz w:val="12"/>
          <w:szCs w:val="12"/>
          <w:b w:val="1"/>
          <w:bCs w:val="1"/>
          <w:color w:val="FFFFFE"/>
        </w:rPr>
        <w:drawing>
          <wp:anchor simplePos="0" relativeHeight="251657728" behindDoc="1" locked="0" layoutInCell="0" allowOverlap="1">
            <wp:simplePos x="0" y="0"/>
            <wp:positionH relativeFrom="column">
              <wp:posOffset>319405</wp:posOffset>
            </wp:positionH>
            <wp:positionV relativeFrom="paragraph">
              <wp:posOffset>147955</wp:posOffset>
            </wp:positionV>
            <wp:extent cx="841375" cy="16383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rFonts w:ascii="Arial" w:cs="Arial" w:eastAsia="Arial" w:hAnsi="Arial"/>
          <w:sz w:val="12"/>
          <w:szCs w:val="12"/>
          <w:b w:val="1"/>
          <w:bCs w:val="1"/>
          <w:color w:val="FFFFFE"/>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22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2"/>
          <w:szCs w:val="12"/>
          <w:b w:val="1"/>
          <w:bCs w:val="1"/>
          <w:color w:val="FFFFFE"/>
        </w:rPr>
      </w:pPr>
      <w:r>
        <w:rPr>
          <w:rFonts w:ascii="Arial" w:cs="Arial" w:eastAsia="Arial" w:hAnsi="Arial"/>
          <w:sz w:val="12"/>
          <w:szCs w:val="12"/>
          <w:b w:val="1"/>
          <w:bCs w:val="1"/>
          <w:color w:val="FFFFFE"/>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31" w:name="page32"/>
    <w:bookmarkEnd w:id="31"/>
    <w:tbl>
      <w:tblPr>
        <w:tblLayout w:type="fixed"/>
        <w:tblInd w:w="2" w:type="dxa"/>
        <w:tblCellMar>
          <w:top w:w="0" w:type="dxa"/>
          <w:left w:w="0" w:type="dxa"/>
          <w:bottom w:w="0" w:type="dxa"/>
          <w:right w:w="0" w:type="dxa"/>
        </w:tblCellMar>
      </w:tblPr>
      <w:tr>
        <w:trPr>
          <w:trHeight w:val="230"/>
        </w:trPr>
        <w:tc>
          <w:tcPr>
            <w:tcW w:w="6520" w:type="dxa"/>
            <w:vAlign w:val="bottom"/>
            <w:gridSpan w:val="2"/>
          </w:tcPr>
          <w:p>
            <w:pPr>
              <w:spacing w:after="0"/>
              <w:rPr>
                <w:rFonts w:ascii="Arial" w:cs="Arial" w:eastAsia="Arial" w:hAnsi="Arial"/>
                <w:sz w:val="20"/>
                <w:szCs w:val="20"/>
                <w:color w:val="0000EE"/>
              </w:rPr>
            </w:pPr>
            <w:hyperlink w:anchor="page7">
              <w:r>
                <w:rPr>
                  <w:rFonts w:ascii="Arial" w:cs="Arial" w:eastAsia="Arial" w:hAnsi="Arial"/>
                  <w:sz w:val="20"/>
                  <w:szCs w:val="20"/>
                  <w:color w:val="0000EE"/>
                </w:rPr>
                <w:t>Table of Contents</w:t>
              </w:r>
            </w:hyperlink>
          </w:p>
        </w:tc>
        <w:tc>
          <w:tcPr>
            <w:tcW w:w="49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520" w:type="dxa"/>
            <w:vAlign w:val="bottom"/>
            <w:shd w:val="clear" w:color="auto" w:fill="0000EE"/>
          </w:tcPr>
          <w:p>
            <w:pPr>
              <w:spacing w:after="0" w:line="20" w:lineRule="exact"/>
              <w:rPr>
                <w:sz w:val="1"/>
                <w:szCs w:val="1"/>
                <w:color w:val="auto"/>
              </w:rPr>
            </w:pPr>
          </w:p>
        </w:tc>
        <w:tc>
          <w:tcPr>
            <w:tcW w:w="5000" w:type="dxa"/>
            <w:vAlign w:val="bottom"/>
          </w:tcPr>
          <w:p>
            <w:pPr>
              <w:spacing w:after="0" w:line="20" w:lineRule="exact"/>
              <w:rPr>
                <w:sz w:val="1"/>
                <w:szCs w:val="1"/>
                <w:color w:val="auto"/>
              </w:rPr>
            </w:pPr>
          </w:p>
        </w:tc>
        <w:tc>
          <w:tcPr>
            <w:tcW w:w="49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6520" w:type="dxa"/>
            <w:vAlign w:val="bottom"/>
            <w:gridSpan w:val="2"/>
            <w:vMerge w:val="restart"/>
          </w:tcPr>
          <w:p>
            <w:pPr>
              <w:ind w:left="480"/>
              <w:spacing w:after="0"/>
              <w:rPr>
                <w:sz w:val="20"/>
                <w:szCs w:val="20"/>
                <w:color w:val="auto"/>
              </w:rPr>
            </w:pPr>
            <w:r>
              <w:rPr>
                <w:rFonts w:ascii="Arial" w:cs="Arial" w:eastAsia="Arial" w:hAnsi="Arial"/>
                <w:sz w:val="20"/>
                <w:szCs w:val="20"/>
                <w:color w:val="auto"/>
              </w:rPr>
              <w:t>Their decision-making process should include a willingness to</w:t>
            </w:r>
          </w:p>
        </w:tc>
        <w:tc>
          <w:tcPr>
            <w:tcW w:w="4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6520" w:type="dxa"/>
            <w:vAlign w:val="bottom"/>
            <w:gridSpan w:val="2"/>
            <w:vMerge w:val="continue"/>
          </w:tcPr>
          <w:p>
            <w:pPr>
              <w:spacing w:after="0"/>
              <w:rPr>
                <w:sz w:val="19"/>
                <w:szCs w:val="19"/>
                <w:color w:val="auto"/>
              </w:rPr>
            </w:pPr>
          </w:p>
        </w:tc>
        <w:tc>
          <w:tcPr>
            <w:tcW w:w="4900" w:type="dxa"/>
            <w:vAlign w:val="bottom"/>
            <w:tcBorders>
              <w:bottom w:val="single" w:sz="8" w:color="3A5575"/>
            </w:tcBorders>
            <w:shd w:val="clear" w:color="auto" w:fill="3A5575"/>
          </w:tcPr>
          <w:p>
            <w:pPr>
              <w:ind w:left="40"/>
              <w:spacing w:after="0"/>
              <w:rPr>
                <w:sz w:val="20"/>
                <w:szCs w:val="20"/>
                <w:color w:val="auto"/>
              </w:rPr>
            </w:pPr>
            <w:r>
              <w:rPr>
                <w:rFonts w:ascii="Arial" w:cs="Arial" w:eastAsia="Arial" w:hAnsi="Arial"/>
                <w:sz w:val="13"/>
                <w:szCs w:val="13"/>
                <w:b w:val="1"/>
                <w:bCs w:val="1"/>
                <w:color w:val="FFFFFE"/>
              </w:rPr>
              <w:t>INFORMATION ABOUT OUR BOARD AND CORPORATE GOVERNANCE</w:t>
            </w:r>
          </w:p>
        </w:tc>
        <w:tc>
          <w:tcPr>
            <w:tcW w:w="0" w:type="dxa"/>
            <w:vAlign w:val="bottom"/>
          </w:tcPr>
          <w:p>
            <w:pPr>
              <w:spacing w:after="0"/>
              <w:rPr>
                <w:sz w:val="1"/>
                <w:szCs w:val="1"/>
                <w:color w:val="auto"/>
              </w:rPr>
            </w:pPr>
          </w:p>
        </w:tc>
      </w:tr>
      <w:tr>
        <w:trPr>
          <w:trHeight w:val="166"/>
        </w:trPr>
        <w:tc>
          <w:tcPr>
            <w:tcW w:w="6520" w:type="dxa"/>
            <w:vAlign w:val="bottom"/>
            <w:gridSpan w:val="2"/>
          </w:tcPr>
          <w:p>
            <w:pPr>
              <w:ind w:left="480"/>
              <w:spacing w:after="0" w:line="166" w:lineRule="exact"/>
              <w:rPr>
                <w:sz w:val="20"/>
                <w:szCs w:val="20"/>
                <w:color w:val="auto"/>
              </w:rPr>
            </w:pPr>
            <w:r>
              <w:rPr>
                <w:rFonts w:ascii="Arial" w:cs="Arial" w:eastAsia="Arial" w:hAnsi="Arial"/>
                <w:sz w:val="19"/>
                <w:szCs w:val="19"/>
                <w:color w:val="auto"/>
              </w:rPr>
              <w:t>thoroughly discuss issues, ask questions, express reservations and</w:t>
            </w:r>
          </w:p>
        </w:tc>
        <w:tc>
          <w:tcPr>
            <w:tcW w:w="49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64"/>
        </w:trPr>
        <w:tc>
          <w:tcPr>
            <w:tcW w:w="6520" w:type="dxa"/>
            <w:vAlign w:val="bottom"/>
            <w:gridSpan w:val="2"/>
          </w:tcPr>
          <w:p>
            <w:pPr>
              <w:ind w:left="480"/>
              <w:spacing w:after="0"/>
              <w:rPr>
                <w:sz w:val="20"/>
                <w:szCs w:val="20"/>
                <w:color w:val="auto"/>
              </w:rPr>
            </w:pPr>
            <w:r>
              <w:rPr>
                <w:rFonts w:ascii="Arial" w:cs="Arial" w:eastAsia="Arial" w:hAnsi="Arial"/>
                <w:sz w:val="20"/>
                <w:szCs w:val="20"/>
                <w:color w:val="auto"/>
              </w:rPr>
              <w:t>voice dissent.</w:t>
            </w:r>
          </w:p>
        </w:tc>
        <w:tc>
          <w:tcPr>
            <w:tcW w:w="49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141" w:lineRule="exact"/>
        <w:rPr>
          <w:sz w:val="20"/>
          <w:szCs w:val="20"/>
          <w:color w:val="auto"/>
        </w:rPr>
      </w:pPr>
    </w:p>
    <w:p>
      <w:pPr>
        <w:ind w:left="482" w:right="280" w:hanging="482"/>
        <w:spacing w:after="0" w:line="247" w:lineRule="auto"/>
        <w:tabs>
          <w:tab w:leader="none" w:pos="482" w:val="left"/>
        </w:tabs>
        <w:numPr>
          <w:ilvl w:val="0"/>
          <w:numId w:val="34"/>
        </w:numPr>
        <w:rPr>
          <w:rFonts w:ascii="Arial" w:cs="Arial" w:eastAsia="Arial" w:hAnsi="Arial"/>
          <w:sz w:val="20"/>
          <w:szCs w:val="20"/>
          <w:color w:val="3A5575"/>
        </w:rPr>
      </w:pPr>
      <w:r>
        <w:rPr>
          <w:rFonts w:ascii="Arial" w:cs="Arial" w:eastAsia="Arial" w:hAnsi="Arial"/>
          <w:sz w:val="20"/>
          <w:szCs w:val="20"/>
          <w:b w:val="1"/>
          <w:bCs w:val="1"/>
          <w:i w:val="1"/>
          <w:iCs w:val="1"/>
          <w:color w:val="auto"/>
        </w:rPr>
        <w:t xml:space="preserve">Integrity and Accountability: </w:t>
      </w:r>
      <w:r>
        <w:rPr>
          <w:rFonts w:ascii="Arial" w:cs="Arial" w:eastAsia="Arial" w:hAnsi="Arial"/>
          <w:sz w:val="20"/>
          <w:szCs w:val="20"/>
          <w:color w:val="auto"/>
        </w:rPr>
        <w:t>Directors should act with integrity. We look for directors who have integrity and strength of</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character in their personal and professional dealings. Our directors should be prepared to be, and are held, accountable for their decisions.</w:t>
      </w:r>
    </w:p>
    <w:p>
      <w:pPr>
        <w:spacing w:after="0" w:line="173" w:lineRule="exact"/>
        <w:rPr>
          <w:rFonts w:ascii="Arial" w:cs="Arial" w:eastAsia="Arial" w:hAnsi="Arial"/>
          <w:sz w:val="20"/>
          <w:szCs w:val="20"/>
          <w:color w:val="3A5575"/>
        </w:rPr>
      </w:pPr>
    </w:p>
    <w:p>
      <w:pPr>
        <w:ind w:left="482" w:right="20" w:hanging="482"/>
        <w:spacing w:after="0" w:line="259" w:lineRule="auto"/>
        <w:tabs>
          <w:tab w:leader="none" w:pos="482" w:val="left"/>
        </w:tabs>
        <w:numPr>
          <w:ilvl w:val="0"/>
          <w:numId w:val="34"/>
        </w:numPr>
        <w:rPr>
          <w:rFonts w:ascii="Arial" w:cs="Arial" w:eastAsia="Arial" w:hAnsi="Arial"/>
          <w:sz w:val="19"/>
          <w:szCs w:val="19"/>
          <w:color w:val="053582"/>
        </w:rPr>
      </w:pPr>
      <w:r>
        <w:rPr>
          <w:rFonts w:ascii="Arial" w:cs="Arial" w:eastAsia="Arial" w:hAnsi="Arial"/>
          <w:sz w:val="19"/>
          <w:szCs w:val="19"/>
          <w:b w:val="1"/>
          <w:bCs w:val="1"/>
          <w:i w:val="1"/>
          <w:iCs w:val="1"/>
          <w:color w:val="auto"/>
        </w:rPr>
        <w:t xml:space="preserve">Time and Effort: </w:t>
      </w:r>
      <w:r>
        <w:rPr>
          <w:rFonts w:ascii="Arial" w:cs="Arial" w:eastAsia="Arial" w:hAnsi="Arial"/>
          <w:sz w:val="19"/>
          <w:szCs w:val="19"/>
          <w:color w:val="auto"/>
        </w:rPr>
        <w:t>Directors should spend the necessary time to properly discharge their responsibilities as directors, including</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reviewing written materials provided to the Board or committee in advance of Board or committee meetings. Directors are expected to be present at all Board meetings, the Annual Meeting of Shareholders, and meetings of committees on which they serve. We also expect our directors to make themselves accessible to management upon request.</w:t>
      </w:r>
    </w:p>
    <w:p>
      <w:pPr>
        <w:spacing w:after="0" w:line="148" w:lineRule="exact"/>
        <w:rPr>
          <w:rFonts w:ascii="Arial" w:cs="Arial" w:eastAsia="Arial" w:hAnsi="Arial"/>
          <w:sz w:val="19"/>
          <w:szCs w:val="19"/>
          <w:color w:val="053582"/>
        </w:rPr>
      </w:pPr>
    </w:p>
    <w:p>
      <w:pPr>
        <w:ind w:left="482" w:right="180" w:hanging="482"/>
        <w:spacing w:after="0" w:line="237" w:lineRule="auto"/>
        <w:tabs>
          <w:tab w:leader="none" w:pos="482" w:val="left"/>
        </w:tabs>
        <w:numPr>
          <w:ilvl w:val="0"/>
          <w:numId w:val="34"/>
        </w:numPr>
        <w:rPr>
          <w:rFonts w:ascii="Arial" w:cs="Arial" w:eastAsia="Arial" w:hAnsi="Arial"/>
          <w:sz w:val="20"/>
          <w:szCs w:val="20"/>
          <w:color w:val="053582"/>
        </w:rPr>
      </w:pPr>
      <w:r>
        <w:rPr>
          <w:rFonts w:ascii="Arial" w:cs="Arial" w:eastAsia="Arial" w:hAnsi="Arial"/>
          <w:sz w:val="20"/>
          <w:szCs w:val="20"/>
          <w:b w:val="1"/>
          <w:bCs w:val="1"/>
          <w:i w:val="1"/>
          <w:iCs w:val="1"/>
          <w:color w:val="auto"/>
        </w:rPr>
        <w:t xml:space="preserve">Other Commitments: </w:t>
      </w:r>
      <w:r>
        <w:rPr>
          <w:rFonts w:ascii="Arial" w:cs="Arial" w:eastAsia="Arial" w:hAnsi="Arial"/>
          <w:sz w:val="20"/>
          <w:szCs w:val="20"/>
          <w:color w:val="auto"/>
        </w:rPr>
        <w:t>We expect our directors to monitor their other commitments to assure that these other commitments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do not impact their service to our Company. Directors may not serve on more than three other boards of public companies in addition to the Pinnacle West Board without the prior approval of the Corporate Governance Committee. A director may not serve as a member of the Audit Committee if they serve on the audit committees of more than three public companies (including the Company) unless the Board determines that such simultaneous service would not impair the ability of such member to effectively serve on the Company's Audit Committee.</w:t>
      </w:r>
    </w:p>
    <w:p>
      <w:pPr>
        <w:spacing w:after="0" w:line="170" w:lineRule="exact"/>
        <w:rPr>
          <w:rFonts w:ascii="Arial" w:cs="Arial" w:eastAsia="Arial" w:hAnsi="Arial"/>
          <w:sz w:val="20"/>
          <w:szCs w:val="20"/>
          <w:color w:val="053582"/>
        </w:rPr>
      </w:pPr>
    </w:p>
    <w:p>
      <w:pPr>
        <w:ind w:left="482" w:right="300" w:hanging="482"/>
        <w:spacing w:after="0" w:line="265" w:lineRule="auto"/>
        <w:tabs>
          <w:tab w:leader="none" w:pos="482" w:val="left"/>
        </w:tabs>
        <w:numPr>
          <w:ilvl w:val="0"/>
          <w:numId w:val="34"/>
        </w:numPr>
        <w:rPr>
          <w:rFonts w:ascii="Arial" w:cs="Arial" w:eastAsia="Arial" w:hAnsi="Arial"/>
          <w:sz w:val="20"/>
          <w:szCs w:val="20"/>
          <w:color w:val="053582"/>
        </w:rPr>
      </w:pPr>
      <w:r>
        <w:rPr>
          <w:rFonts w:ascii="Arial" w:cs="Arial" w:eastAsia="Arial" w:hAnsi="Arial"/>
          <w:sz w:val="20"/>
          <w:szCs w:val="20"/>
          <w:b w:val="1"/>
          <w:bCs w:val="1"/>
          <w:i w:val="1"/>
          <w:iCs w:val="1"/>
          <w:color w:val="auto"/>
        </w:rPr>
        <w:t xml:space="preserve">Stock Ownership: </w:t>
      </w:r>
      <w:r>
        <w:rPr>
          <w:rFonts w:ascii="Arial" w:cs="Arial" w:eastAsia="Arial" w:hAnsi="Arial"/>
          <w:sz w:val="20"/>
          <w:szCs w:val="20"/>
          <w:color w:val="auto"/>
        </w:rPr>
        <w:t>We expect our directors to have investments in the Company's stock that aligns with our shareholders.</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Our directors are expected to comply with our Director Stock Ownership Policy.</w:t>
      </w:r>
    </w:p>
    <w:p>
      <w:pPr>
        <w:spacing w:after="0" w:line="130" w:lineRule="exact"/>
        <w:rPr>
          <w:sz w:val="20"/>
          <w:szCs w:val="20"/>
          <w:color w:val="auto"/>
        </w:rPr>
      </w:pPr>
    </w:p>
    <w:p>
      <w:pPr>
        <w:ind w:left="2" w:right="40"/>
        <w:spacing w:after="0" w:line="252" w:lineRule="auto"/>
        <w:rPr>
          <w:sz w:val="20"/>
          <w:szCs w:val="20"/>
          <w:color w:val="auto"/>
        </w:rPr>
      </w:pPr>
      <w:r>
        <w:rPr>
          <w:rFonts w:ascii="Arial" w:cs="Arial" w:eastAsia="Arial" w:hAnsi="Arial"/>
          <w:sz w:val="19"/>
          <w:szCs w:val="19"/>
          <w:color w:val="auto"/>
        </w:rPr>
        <w:t>In addition, the Corporate Governance Committee considers the following qualities, among others: knowledge, including regulatory and political knowledge, and nuclear expertise at the strategic level; understanding of the Company's business environment; and the potential contribution of each candidate to the diversity of backgrounds, experience and competencies which the Board desires to have represented, including large organizational leadership, public company experience and risk oversight skills. The Corporate Governance Committee considers diversity in its selection of nominees utilizing a broad meaning to include not only factors such as race and gender, but also background, experience, skills, accomplishments, financial expertise, and professional interests.</w:t>
      </w:r>
    </w:p>
    <w:p>
      <w:pPr>
        <w:spacing w:after="0" w:line="144" w:lineRule="exact"/>
        <w:rPr>
          <w:sz w:val="20"/>
          <w:szCs w:val="20"/>
          <w:color w:val="auto"/>
        </w:rPr>
      </w:pPr>
    </w:p>
    <w:p>
      <w:pPr>
        <w:ind w:left="2" w:right="20"/>
        <w:spacing w:after="0" w:line="249" w:lineRule="auto"/>
        <w:rPr>
          <w:sz w:val="20"/>
          <w:szCs w:val="20"/>
          <w:color w:val="auto"/>
        </w:rPr>
      </w:pPr>
      <w:r>
        <w:rPr>
          <w:rFonts w:ascii="Arial" w:cs="Arial" w:eastAsia="Arial" w:hAnsi="Arial"/>
          <w:sz w:val="19"/>
          <w:szCs w:val="19"/>
          <w:b w:val="1"/>
          <w:bCs w:val="1"/>
          <w:i w:val="1"/>
          <w:iCs w:val="1"/>
          <w:color w:val="auto"/>
        </w:rPr>
        <w:t xml:space="preserve">Selection of Nominees for the Board. </w:t>
      </w:r>
      <w:r>
        <w:rPr>
          <w:rFonts w:ascii="Arial" w:cs="Arial" w:eastAsia="Arial" w:hAnsi="Arial"/>
          <w:sz w:val="19"/>
          <w:szCs w:val="19"/>
          <w:color w:val="auto"/>
        </w:rPr>
        <w:t>The Corporate Governance Committee uses a variety of methods to identify and evaluate</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nominees for a director position. The Corporate Governance Committee regularly assesses the appropriate size of the Board, whether any vacancies on the Board are expected due to retirement or otherwise, and whether the Board reflects the appropriate balance of knowledge, skills, expertise, and diversity required for the Board as a whole. In the event that vacancies are anticipated, or otherwise arise, the Corporate Governance Committee may consider various potential candidates. Candidates may be considered at any point during the year and come to the attention of the Corporate Governance Committee through current Board members, professional search firms or shareholders. The Corporate Governance Committee evaluates all nominees from these sources against the same criteria. Any shareholder nominations proposed for consideration by the Corporate Governance</w:t>
      </w:r>
    </w:p>
    <w:p>
      <w:pPr>
        <w:spacing w:after="0" w:line="8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93" w:right="219" w:bottom="1440" w:gutter="0" w:footer="0" w:header="0"/>
        </w:sectPr>
      </w:pPr>
    </w:p>
    <w:bookmarkStart w:id="32" w:name="page33"/>
    <w:bookmarkEnd w:id="32"/>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4920" w:hanging="4460"/>
        <w:spacing w:after="0" w:line="292" w:lineRule="auto"/>
        <w:rPr>
          <w:sz w:val="20"/>
          <w:szCs w:val="20"/>
          <w:color w:val="auto"/>
        </w:rPr>
      </w:pPr>
      <w:r>
        <w:rPr>
          <w:rFonts w:ascii="Arial" w:cs="Arial" w:eastAsia="Arial" w:hAnsi="Arial"/>
          <w:sz w:val="13"/>
          <w:szCs w:val="13"/>
          <w:b w:val="1"/>
          <w:bCs w:val="1"/>
          <w:color w:val="FFFFFE"/>
        </w:rPr>
        <w:t xml:space="preserve">INFORMATION ABOUT OUR BOARD AND CORPORATE GOVERNANCE </w:t>
      </w:r>
      <w:r>
        <w:rPr>
          <w:rFonts w:ascii="Arial" w:cs="Arial" w:eastAsia="Arial" w:hAnsi="Arial"/>
          <w:sz w:val="19"/>
          <w:szCs w:val="19"/>
          <w:color w:val="000000"/>
        </w:rPr>
        <w:t>Committee should include the nominee's name and qualifications for Board</w:t>
      </w:r>
      <w:r>
        <w:rPr>
          <w:rFonts w:ascii="Arial" w:cs="Arial" w:eastAsia="Arial" w:hAnsi="Arial"/>
          <w:sz w:val="13"/>
          <w:szCs w:val="13"/>
          <w:b w:val="1"/>
          <w:bCs w:val="1"/>
          <w:color w:val="FFFFFE"/>
        </w:rPr>
        <w:t xml:space="preserve"> </w:t>
      </w:r>
      <w:r>
        <w:rPr>
          <w:rFonts w:ascii="Arial" w:cs="Arial" w:eastAsia="Arial" w:hAnsi="Arial"/>
          <w:sz w:val="19"/>
          <w:szCs w:val="19"/>
          <w:color w:val="000000"/>
        </w:rPr>
        <w:t>membership and should be addressed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-318135</wp:posOffset>
            </wp:positionV>
            <wp:extent cx="3123565" cy="15557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3123565" cy="155575"/>
                    </a:xfrm>
                    <a:prstGeom prst="rect">
                      <a:avLst/>
                    </a:prstGeom>
                    <a:noFill/>
                  </pic:spPr>
                </pic:pic>
              </a:graphicData>
            </a:graphic>
          </wp:anchor>
        </w:drawing>
      </w:r>
    </w:p>
    <w:p>
      <w:pPr>
        <w:spacing w:after="0" w:line="8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Corporate Secretary</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0"/>
          <w:szCs w:val="20"/>
          <w:color w:val="auto"/>
        </w:rPr>
        <w:t>Pinnacle West Capital Corporation</w:t>
      </w:r>
    </w:p>
    <w:p>
      <w:pPr>
        <w:jc w:val="center"/>
        <w:spacing w:after="0" w:line="230" w:lineRule="auto"/>
        <w:rPr>
          <w:sz w:val="20"/>
          <w:szCs w:val="20"/>
          <w:color w:val="auto"/>
        </w:rPr>
      </w:pPr>
      <w:r>
        <w:rPr>
          <w:rFonts w:ascii="Arial" w:cs="Arial" w:eastAsia="Arial" w:hAnsi="Arial"/>
          <w:sz w:val="20"/>
          <w:szCs w:val="20"/>
          <w:color w:val="auto"/>
        </w:rPr>
        <w:t>400 North Fifth Street, Mail Station 8602</w:t>
      </w:r>
    </w:p>
    <w:p>
      <w:pPr>
        <w:jc w:val="center"/>
        <w:spacing w:after="0"/>
        <w:rPr>
          <w:sz w:val="20"/>
          <w:szCs w:val="20"/>
          <w:color w:val="auto"/>
        </w:rPr>
      </w:pPr>
      <w:r>
        <w:rPr>
          <w:rFonts w:ascii="Arial" w:cs="Arial" w:eastAsia="Arial" w:hAnsi="Arial"/>
          <w:sz w:val="20"/>
          <w:szCs w:val="20"/>
          <w:color w:val="auto"/>
        </w:rPr>
        <w:t>Phoenix, Arizona 85004</w:t>
      </w:r>
    </w:p>
    <w:p>
      <w:pPr>
        <w:spacing w:after="0" w:line="163" w:lineRule="exact"/>
        <w:rPr>
          <w:sz w:val="20"/>
          <w:szCs w:val="20"/>
          <w:color w:val="auto"/>
        </w:rPr>
      </w:pPr>
    </w:p>
    <w:p>
      <w:pPr>
        <w:ind w:right="620"/>
        <w:spacing w:after="0" w:line="265" w:lineRule="auto"/>
        <w:rPr>
          <w:sz w:val="20"/>
          <w:szCs w:val="20"/>
          <w:color w:val="auto"/>
        </w:rPr>
      </w:pPr>
      <w:r>
        <w:rPr>
          <w:rFonts w:ascii="Arial" w:cs="Arial" w:eastAsia="Arial" w:hAnsi="Arial"/>
          <w:sz w:val="20"/>
          <w:szCs w:val="20"/>
          <w:color w:val="auto"/>
        </w:rPr>
        <w:t>Any shareholder who wishes to submit a nomination for a director to the Board must deliver that nomination to our Corporate Secretary by November 19, 2016 and comply with the information requirements in the Company's Bylaws.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156210</wp:posOffset>
            </wp:positionV>
            <wp:extent cx="841375" cy="16383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24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33" w:name="page34"/>
    <w:bookmarkEnd w:id="3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20"/>
        <w:spacing w:after="0"/>
        <w:rPr>
          <w:sz w:val="20"/>
          <w:szCs w:val="20"/>
          <w:color w:val="auto"/>
        </w:rPr>
      </w:pPr>
      <w:r>
        <w:rPr>
          <w:rFonts w:ascii="Arial" w:cs="Arial" w:eastAsia="Arial" w:hAnsi="Arial"/>
          <w:sz w:val="39"/>
          <w:szCs w:val="39"/>
          <w:b w:val="1"/>
          <w:bCs w:val="1"/>
          <w:color w:val="3A5575"/>
        </w:rPr>
        <w:t>Proposal 1 — Election of Directors</w:t>
      </w:r>
    </w:p>
    <w:p>
      <w:pPr>
        <w:spacing w:after="0" w:line="200" w:lineRule="exact"/>
        <w:rPr>
          <w:sz w:val="20"/>
          <w:szCs w:val="20"/>
          <w:color w:val="auto"/>
        </w:rPr>
      </w:pPr>
    </w:p>
    <w:p>
      <w:pPr>
        <w:spacing w:after="0" w:line="260" w:lineRule="exact"/>
        <w:rPr>
          <w:sz w:val="20"/>
          <w:szCs w:val="20"/>
          <w:color w:val="auto"/>
        </w:rPr>
      </w:pPr>
    </w:p>
    <w:p>
      <w:pPr>
        <w:ind w:right="40"/>
        <w:spacing w:after="0" w:line="247" w:lineRule="auto"/>
        <w:rPr>
          <w:sz w:val="20"/>
          <w:szCs w:val="20"/>
          <w:color w:val="auto"/>
        </w:rPr>
      </w:pPr>
      <w:r>
        <w:rPr>
          <w:rFonts w:ascii="Arial" w:cs="Arial" w:eastAsia="Arial" w:hAnsi="Arial"/>
          <w:sz w:val="20"/>
          <w:szCs w:val="20"/>
          <w:color w:val="auto"/>
        </w:rPr>
        <w:t>The ten nominees for election as directors are set forth below. All nominees will be elected for a one-year term that will expire at the 2017 Annual Meeting. The directors' ages are as of February 20, 2016. All of our directors also serve as directors of APS for no additional compensation.</w:t>
      </w:r>
    </w:p>
    <w:p>
      <w:pPr>
        <w:sectPr>
          <w:pgSz w:w="11900" w:h="16838" w:orient="portrait"/>
          <w:cols w:equalWidth="0" w:num="1">
            <w:col w:w="11440"/>
          </w:cols>
          <w:pgMar w:left="240" w:top="110" w:right="219" w:bottom="1440" w:gutter="0" w:footer="0" w:header="0"/>
        </w:sectPr>
      </w:pPr>
    </w:p>
    <w:p>
      <w:pPr>
        <w:spacing w:after="0" w:line="200" w:lineRule="exact"/>
        <w:rPr>
          <w:sz w:val="20"/>
          <w:szCs w:val="20"/>
          <w:color w:val="auto"/>
        </w:rPr>
      </w:pPr>
    </w:p>
    <w:p>
      <w:pPr>
        <w:spacing w:after="0" w:line="300" w:lineRule="exact"/>
        <w:rPr>
          <w:sz w:val="20"/>
          <w:szCs w:val="20"/>
          <w:color w:val="auto"/>
        </w:rPr>
      </w:pPr>
    </w:p>
    <w:p>
      <w:pPr>
        <w:jc w:val="center"/>
        <w:ind w:left="200"/>
        <w:spacing w:after="0"/>
        <w:rPr>
          <w:sz w:val="20"/>
          <w:szCs w:val="20"/>
          <w:color w:val="auto"/>
        </w:rPr>
      </w:pPr>
      <w:r>
        <w:rPr>
          <w:rFonts w:ascii="Arial" w:cs="Arial" w:eastAsia="Arial" w:hAnsi="Arial"/>
          <w:sz w:val="20"/>
          <w:szCs w:val="20"/>
          <w:b w:val="1"/>
          <w:bCs w:val="1"/>
          <w:color w:val="FFFFFE"/>
        </w:rPr>
        <w:t>Donald E. Brandt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-123825</wp:posOffset>
            </wp:positionV>
            <wp:extent cx="1791335" cy="33464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791335" cy="334645"/>
                    </a:xfrm>
                    <a:prstGeom prst="rect">
                      <a:avLst/>
                    </a:prstGeom>
                    <a:noFill/>
                  </pic:spPr>
                </pic:pic>
              </a:graphicData>
            </a:graphic>
          </wp:anchor>
        </w:drawing>
      </w:r>
    </w:p>
    <w:p>
      <w:pPr>
        <w:spacing w:after="0" w:line="200" w:lineRule="exact"/>
        <w:rPr>
          <w:sz w:val="20"/>
          <w:szCs w:val="20"/>
          <w:color w:val="auto"/>
        </w:rPr>
      </w:pPr>
    </w:p>
    <w:p>
      <w:pPr>
        <w:spacing w:after="0" w:line="290" w:lineRule="exact"/>
        <w:rPr>
          <w:sz w:val="20"/>
          <w:szCs w:val="20"/>
          <w:color w:val="auto"/>
        </w:rPr>
      </w:pPr>
    </w:p>
    <w:p>
      <w:pPr>
        <w:ind w:left="100"/>
        <w:spacing w:after="0"/>
        <w:rPr>
          <w:sz w:val="20"/>
          <w:szCs w:val="20"/>
          <w:color w:val="auto"/>
        </w:rPr>
      </w:pPr>
      <w:r>
        <w:rPr>
          <w:rFonts w:ascii="Arial" w:cs="Arial" w:eastAsia="Arial" w:hAnsi="Arial"/>
          <w:sz w:val="20"/>
          <w:szCs w:val="20"/>
          <w:color w:val="auto"/>
        </w:rPr>
        <w:t>Age 61</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20"/>
          <w:szCs w:val="20"/>
          <w:color w:val="auto"/>
        </w:rPr>
        <w:t>Director since 2009</w:t>
      </w:r>
    </w:p>
    <w:p>
      <w:pPr>
        <w:spacing w:after="0" w:line="199" w:lineRule="exact"/>
        <w:rPr>
          <w:sz w:val="20"/>
          <w:szCs w:val="20"/>
          <w:color w:val="auto"/>
        </w:rPr>
      </w:pPr>
    </w:p>
    <w:p>
      <w:pPr>
        <w:ind w:left="100"/>
        <w:spacing w:after="0"/>
        <w:rPr>
          <w:sz w:val="20"/>
          <w:szCs w:val="20"/>
          <w:color w:val="auto"/>
        </w:rPr>
      </w:pPr>
      <w:r>
        <w:rPr>
          <w:rFonts w:ascii="Arial" w:cs="Arial" w:eastAsia="Arial" w:hAnsi="Arial"/>
          <w:sz w:val="20"/>
          <w:szCs w:val="20"/>
          <w:color w:val="auto"/>
        </w:rPr>
        <w:t>Chairman of the Board,</w:t>
      </w:r>
    </w:p>
    <w:p>
      <w:pPr>
        <w:spacing w:after="0" w:line="6" w:lineRule="exact"/>
        <w:rPr>
          <w:sz w:val="20"/>
          <w:szCs w:val="20"/>
          <w:color w:val="auto"/>
        </w:rPr>
      </w:pPr>
    </w:p>
    <w:p>
      <w:pPr>
        <w:ind w:left="100"/>
        <w:spacing w:after="0"/>
        <w:rPr>
          <w:sz w:val="20"/>
          <w:szCs w:val="20"/>
          <w:color w:val="auto"/>
        </w:rPr>
      </w:pPr>
      <w:r>
        <w:rPr>
          <w:rFonts w:ascii="Arial" w:cs="Arial" w:eastAsia="Arial" w:hAnsi="Arial"/>
          <w:sz w:val="20"/>
          <w:szCs w:val="20"/>
          <w:color w:val="auto"/>
        </w:rPr>
        <w:t>President and CEO</w:t>
      </w:r>
    </w:p>
    <w:p>
      <w:pPr>
        <w:ind w:left="100"/>
        <w:spacing w:after="0"/>
        <w:rPr>
          <w:sz w:val="20"/>
          <w:szCs w:val="20"/>
          <w:color w:val="auto"/>
        </w:rPr>
      </w:pPr>
      <w:r>
        <w:rPr>
          <w:rFonts w:ascii="Arial" w:cs="Arial" w:eastAsia="Arial" w:hAnsi="Arial"/>
          <w:sz w:val="20"/>
          <w:szCs w:val="20"/>
          <w:color w:val="auto"/>
        </w:rPr>
        <w:t>of the Company and APS</w:t>
      </w:r>
    </w:p>
    <w:p>
      <w:pPr>
        <w:spacing w:after="0" w:line="190" w:lineRule="exact"/>
        <w:rPr>
          <w:sz w:val="20"/>
          <w:szCs w:val="20"/>
          <w:color w:val="auto"/>
        </w:rPr>
      </w:pPr>
    </w:p>
    <w:p>
      <w:pPr>
        <w:ind w:left="100"/>
        <w:spacing w:after="0" w:line="243" w:lineRule="auto"/>
        <w:rPr>
          <w:sz w:val="20"/>
          <w:szCs w:val="20"/>
          <w:color w:val="auto"/>
        </w:rPr>
      </w:pPr>
      <w:r>
        <w:rPr>
          <w:rFonts w:ascii="Arial" w:cs="Arial" w:eastAsia="Arial" w:hAnsi="Arial"/>
          <w:sz w:val="16"/>
          <w:szCs w:val="16"/>
          <w:i w:val="1"/>
          <w:iCs w:val="1"/>
          <w:color w:val="3A5575"/>
        </w:rPr>
        <w:t>Mr. Brandt not only serves as our Chairman of the Board, President and CEO, he has been recognized as a leader in the industry, currently serving as Chairman of Nuclear Energy Institute ("NEI") and Nuclear Energy Insurance Limited ("NEIL"), Vice Chairman of the Institute of Nuclear Power Operations ("INPO"), and a Board Member of Edison Electric Institute ("EEI"). Mr. Brandt brings the following key attributes to the Company:</w:t>
      </w:r>
    </w:p>
    <w:p>
      <w:pPr>
        <w:spacing w:after="0" w:line="154" w:lineRule="exact"/>
        <w:rPr>
          <w:sz w:val="20"/>
          <w:szCs w:val="20"/>
          <w:color w:val="auto"/>
        </w:rPr>
      </w:pPr>
    </w:p>
    <w:p>
      <w:pPr>
        <w:ind w:left="300" w:right="620" w:hanging="204"/>
        <w:spacing w:after="0" w:line="311" w:lineRule="auto"/>
        <w:tabs>
          <w:tab w:leader="none" w:pos="300" w:val="left"/>
        </w:tabs>
        <w:numPr>
          <w:ilvl w:val="0"/>
          <w:numId w:val="35"/>
        </w:numPr>
        <w:rPr>
          <w:rFonts w:ascii="Arial" w:cs="Arial" w:eastAsia="Arial" w:hAnsi="Arial"/>
          <w:sz w:val="15"/>
          <w:szCs w:val="15"/>
          <w:i w:val="1"/>
          <w:iCs w:val="1"/>
          <w:color w:val="3A5575"/>
        </w:rPr>
      </w:pPr>
      <w:r>
        <w:rPr>
          <w:rFonts w:ascii="Arial" w:cs="Arial" w:eastAsia="Arial" w:hAnsi="Arial"/>
          <w:sz w:val="15"/>
          <w:szCs w:val="15"/>
          <w:i w:val="1"/>
          <w:iCs w:val="1"/>
          <w:color w:val="3A5575"/>
        </w:rPr>
        <w:t>Utility specific financial and operational experience</w:t>
      </w:r>
    </w:p>
    <w:p>
      <w:pPr>
        <w:spacing w:after="0" w:line="104" w:lineRule="exact"/>
        <w:rPr>
          <w:rFonts w:ascii="Arial" w:cs="Arial" w:eastAsia="Arial" w:hAnsi="Arial"/>
          <w:sz w:val="15"/>
          <w:szCs w:val="15"/>
          <w:i w:val="1"/>
          <w:iCs w:val="1"/>
          <w:color w:val="3A5575"/>
        </w:rPr>
      </w:pPr>
    </w:p>
    <w:p>
      <w:pPr>
        <w:ind w:left="300" w:right="20" w:hanging="204"/>
        <w:spacing w:after="0" w:line="276" w:lineRule="auto"/>
        <w:tabs>
          <w:tab w:leader="none" w:pos="300" w:val="left"/>
        </w:tabs>
        <w:numPr>
          <w:ilvl w:val="0"/>
          <w:numId w:val="35"/>
        </w:numPr>
        <w:rPr>
          <w:rFonts w:ascii="Arial" w:cs="Arial" w:eastAsia="Arial" w:hAnsi="Arial"/>
          <w:sz w:val="16"/>
          <w:szCs w:val="16"/>
          <w:i w:val="1"/>
          <w:iCs w:val="1"/>
          <w:color w:val="3A5575"/>
        </w:rPr>
      </w:pPr>
      <w:r>
        <w:rPr>
          <w:rFonts w:ascii="Arial" w:cs="Arial" w:eastAsia="Arial" w:hAnsi="Arial"/>
          <w:sz w:val="16"/>
          <w:szCs w:val="16"/>
          <w:i w:val="1"/>
          <w:iCs w:val="1"/>
          <w:color w:val="3A5575"/>
        </w:rPr>
        <w:t>Extensive knowledge of the nuclear industry</w:t>
      </w:r>
    </w:p>
    <w:p>
      <w:pPr>
        <w:spacing w:after="0" w:line="128" w:lineRule="exact"/>
        <w:rPr>
          <w:rFonts w:ascii="Arial" w:cs="Arial" w:eastAsia="Arial" w:hAnsi="Arial"/>
          <w:sz w:val="16"/>
          <w:szCs w:val="16"/>
          <w:i w:val="1"/>
          <w:iCs w:val="1"/>
          <w:color w:val="3A5575"/>
        </w:rPr>
      </w:pPr>
    </w:p>
    <w:p>
      <w:pPr>
        <w:ind w:left="300" w:hanging="204"/>
        <w:spacing w:after="0"/>
        <w:tabs>
          <w:tab w:leader="none" w:pos="300" w:val="left"/>
        </w:tabs>
        <w:numPr>
          <w:ilvl w:val="0"/>
          <w:numId w:val="35"/>
        </w:numPr>
        <w:rPr>
          <w:rFonts w:ascii="Arial" w:cs="Arial" w:eastAsia="Arial" w:hAnsi="Arial"/>
          <w:sz w:val="16"/>
          <w:szCs w:val="16"/>
          <w:i w:val="1"/>
          <w:iCs w:val="1"/>
          <w:color w:val="3A5575"/>
        </w:rPr>
      </w:pPr>
      <w:r>
        <w:rPr>
          <w:rFonts w:ascii="Arial" w:cs="Arial" w:eastAsia="Arial" w:hAnsi="Arial"/>
          <w:sz w:val="16"/>
          <w:szCs w:val="16"/>
          <w:i w:val="1"/>
          <w:iCs w:val="1"/>
          <w:color w:val="3A5575"/>
        </w:rPr>
        <w:t>CEO experience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-131445</wp:posOffset>
            </wp:positionV>
            <wp:extent cx="7254240" cy="762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5424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spacing w:after="0" w:line="235" w:lineRule="auto"/>
        <w:rPr>
          <w:sz w:val="20"/>
          <w:szCs w:val="20"/>
          <w:color w:val="auto"/>
        </w:rPr>
      </w:pPr>
      <w:r>
        <w:rPr>
          <w:rFonts w:ascii="Arial" w:cs="Arial" w:eastAsia="Arial" w:hAnsi="Arial"/>
          <w:sz w:val="20"/>
          <w:szCs w:val="20"/>
          <w:color w:val="auto"/>
        </w:rPr>
        <w:t>Mr. Brandt has been Chairman of the Board and CEO of the Company since April 2009 and President of the Company since March 2008. He has been President of APS since May 2013, Chairman of the Board of APS since April 2009, and CEO of APS since March 2008. Mr. Brandt also served as President of APS from December 2006 to January 2009. Mr. Brandt has served as an officer of the Company in the following additional capacities: March 2008 to April 2009 as Chief Operating Officer; September 2003 to March 2008 as Executive Vice President; December 2002 to September 2003 as Senior Vice President; and December 2002 to March 2008 as Chief Financial Officer.</w:t>
      </w:r>
    </w:p>
    <w:p>
      <w:pPr>
        <w:spacing w:after="0" w:line="169"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20"/>
        <w:spacing w:after="0" w:line="254" w:lineRule="auto"/>
        <w:rPr>
          <w:sz w:val="20"/>
          <w:szCs w:val="20"/>
          <w:color w:val="auto"/>
        </w:rPr>
      </w:pPr>
      <w:r>
        <w:rPr>
          <w:rFonts w:ascii="Arial" w:cs="Arial" w:eastAsia="Arial" w:hAnsi="Arial"/>
          <w:sz w:val="19"/>
          <w:szCs w:val="19"/>
          <w:color w:val="auto"/>
        </w:rPr>
        <w:t>As Chairman of the Board, President and CEO of the Company and APS, and with nearly three decades of experience in the utility industry, Mr. Brandt has a broad understanding of the factors affecting the Company's business. Mr. Brandt currently serves as Chairman of NEI and NEIL, Vice Chairman of INPO, and as a board member of EEI, all major industry organizations that provide insight into operational, financial and policy matters of great importance to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1387475</wp:posOffset>
            </wp:positionV>
            <wp:extent cx="7254240" cy="76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370" w:lineRule="exact"/>
        <w:rPr>
          <w:sz w:val="20"/>
          <w:szCs w:val="20"/>
          <w:color w:val="auto"/>
        </w:rPr>
      </w:pPr>
    </w:p>
    <w:p>
      <w:pPr>
        <w:sectPr>
          <w:pgSz w:w="11900" w:h="16838" w:orient="portrait"/>
          <w:cols w:equalWidth="0" w:num="2">
            <w:col w:w="2820" w:space="240"/>
            <w:col w:w="8380"/>
          </w:cols>
          <w:pgMar w:left="240" w:top="110" w:right="219" w:bottom="1440" w:gutter="0" w:footer="0" w:header="0"/>
          <w:type w:val="continuous"/>
        </w:sectPr>
      </w:pPr>
    </w:p>
    <w:p>
      <w:pPr>
        <w:spacing w:after="0" w:line="36" w:lineRule="exact"/>
        <w:rPr>
          <w:sz w:val="20"/>
          <w:szCs w:val="20"/>
          <w:color w:val="auto"/>
        </w:rPr>
      </w:pPr>
    </w:p>
    <w:p>
      <w:pPr>
        <w:ind w:left="7480"/>
        <w:spacing w:after="0"/>
        <w:tabs>
          <w:tab w:leader="none" w:pos="932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type w:val="continuous"/>
        </w:sectPr>
      </w:pPr>
    </w:p>
    <w:bookmarkStart w:id="34" w:name="page35"/>
    <w:bookmarkEnd w:id="34"/>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2056130" cy="15557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2056130" cy="155575"/>
                    </a:xfrm>
                    <a:prstGeom prst="rect">
                      <a:avLst/>
                    </a:prstGeom>
                    <a:noFill/>
                  </pic:spPr>
                </pic:pic>
              </a:graphicData>
            </a:graphic>
          </wp:anchor>
        </w:drawing>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PROPOSAL 1 — ELECTION OF DIRECTORS</w:t>
      </w:r>
    </w:p>
    <w:p>
      <w:pPr>
        <w:spacing w:after="0" w:line="137" w:lineRule="exact"/>
        <w:rPr>
          <w:sz w:val="20"/>
          <w:szCs w:val="20"/>
          <w:color w:val="auto"/>
        </w:rPr>
      </w:pPr>
    </w:p>
    <w:p>
      <w:pPr>
        <w:jc w:val="right"/>
        <w:ind w:right="7020"/>
        <w:spacing w:after="0"/>
        <w:tabs>
          <w:tab w:leader="none" w:pos="1420" w:val="left"/>
        </w:tabs>
        <w:rPr>
          <w:sz w:val="20"/>
          <w:szCs w:val="20"/>
          <w:color w:val="auto"/>
        </w:rPr>
      </w:pPr>
      <w:r>
        <w:rPr>
          <w:rFonts w:ascii="Arial" w:cs="Arial" w:eastAsia="Arial" w:hAnsi="Arial"/>
          <w:sz w:val="20"/>
          <w:szCs w:val="20"/>
          <w:b w:val="1"/>
          <w:bCs w:val="1"/>
          <w:color w:val="FFFFFE"/>
        </w:rPr>
        <w:t>Denis A. Cortese, M.D.</w:t>
      </w:r>
      <w:r>
        <w:rPr>
          <w:sz w:val="20"/>
          <w:szCs w:val="20"/>
          <w:color w:val="auto"/>
        </w:rPr>
        <w:tab/>
      </w:r>
      <w:r>
        <w:rPr>
          <w:rFonts w:ascii="Arial" w:cs="Arial" w:eastAsia="Arial" w:hAnsi="Arial"/>
          <w:sz w:val="19"/>
          <w:szCs w:val="19"/>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-131445</wp:posOffset>
            </wp:positionV>
            <wp:extent cx="7254240" cy="3429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4240" cy="34290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p>
      <w:pPr>
        <w:spacing w:after="0" w:line="200" w:lineRule="exact"/>
        <w:rPr>
          <w:sz w:val="20"/>
          <w:szCs w:val="20"/>
          <w:color w:val="auto"/>
        </w:rPr>
      </w:pPr>
    </w:p>
    <w:p>
      <w:pPr>
        <w:spacing w:after="0" w:line="310" w:lineRule="exact"/>
        <w:rPr>
          <w:sz w:val="20"/>
          <w:szCs w:val="20"/>
          <w:color w:val="auto"/>
        </w:rPr>
      </w:pPr>
    </w:p>
    <w:p>
      <w:pPr>
        <w:ind w:left="100"/>
        <w:spacing w:after="0"/>
        <w:rPr>
          <w:sz w:val="20"/>
          <w:szCs w:val="20"/>
          <w:color w:val="auto"/>
        </w:rPr>
      </w:pPr>
      <w:r>
        <w:rPr>
          <w:rFonts w:ascii="Arial" w:cs="Arial" w:eastAsia="Arial" w:hAnsi="Arial"/>
          <w:sz w:val="20"/>
          <w:szCs w:val="20"/>
          <w:color w:val="auto"/>
        </w:rPr>
        <w:t>Age 71</w:t>
      </w:r>
    </w:p>
    <w:p>
      <w:pPr>
        <w:spacing w:after="0" w:line="212" w:lineRule="exact"/>
        <w:rPr>
          <w:sz w:val="20"/>
          <w:szCs w:val="20"/>
          <w:color w:val="auto"/>
        </w:rPr>
      </w:pPr>
    </w:p>
    <w:p>
      <w:pPr>
        <w:ind w:left="100"/>
        <w:spacing w:after="0"/>
        <w:rPr>
          <w:sz w:val="20"/>
          <w:szCs w:val="20"/>
          <w:color w:val="auto"/>
        </w:rPr>
      </w:pPr>
      <w:r>
        <w:rPr>
          <w:rFonts w:ascii="Arial" w:cs="Arial" w:eastAsia="Arial" w:hAnsi="Arial"/>
          <w:sz w:val="20"/>
          <w:szCs w:val="20"/>
          <w:color w:val="auto"/>
        </w:rPr>
        <w:t>Director since 2010</w:t>
      </w:r>
    </w:p>
    <w:p>
      <w:pPr>
        <w:spacing w:after="0" w:line="195"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Committees</w:t>
      </w:r>
    </w:p>
    <w:p>
      <w:pPr>
        <w:spacing w:after="0" w:line="179" w:lineRule="exact"/>
        <w:rPr>
          <w:sz w:val="20"/>
          <w:szCs w:val="20"/>
          <w:color w:val="auto"/>
        </w:rPr>
      </w:pPr>
    </w:p>
    <w:p>
      <w:pPr>
        <w:ind w:left="300" w:hanging="204"/>
        <w:spacing w:after="0"/>
        <w:tabs>
          <w:tab w:leader="none" w:pos="300" w:val="left"/>
        </w:tabs>
        <w:numPr>
          <w:ilvl w:val="0"/>
          <w:numId w:val="36"/>
        </w:numPr>
        <w:rPr>
          <w:rFonts w:ascii="Arial" w:cs="Arial" w:eastAsia="Arial" w:hAnsi="Arial"/>
          <w:sz w:val="20"/>
          <w:szCs w:val="20"/>
          <w:color w:val="3A5575"/>
        </w:rPr>
      </w:pPr>
      <w:r>
        <w:rPr>
          <w:rFonts w:ascii="Arial" w:cs="Arial" w:eastAsia="Arial" w:hAnsi="Arial"/>
          <w:sz w:val="20"/>
          <w:szCs w:val="20"/>
          <w:color w:val="auto"/>
        </w:rPr>
        <w:t>Audit</w:t>
      </w:r>
    </w:p>
    <w:p>
      <w:pPr>
        <w:spacing w:after="0" w:line="187" w:lineRule="exact"/>
        <w:rPr>
          <w:rFonts w:ascii="Arial" w:cs="Arial" w:eastAsia="Arial" w:hAnsi="Arial"/>
          <w:sz w:val="20"/>
          <w:szCs w:val="20"/>
          <w:color w:val="3A5575"/>
        </w:rPr>
      </w:pPr>
    </w:p>
    <w:p>
      <w:pPr>
        <w:ind w:left="300" w:hanging="204"/>
        <w:spacing w:after="0"/>
        <w:tabs>
          <w:tab w:leader="none" w:pos="300" w:val="left"/>
        </w:tabs>
        <w:numPr>
          <w:ilvl w:val="0"/>
          <w:numId w:val="36"/>
        </w:numPr>
        <w:rPr>
          <w:rFonts w:ascii="Arial" w:cs="Arial" w:eastAsia="Arial" w:hAnsi="Arial"/>
          <w:sz w:val="20"/>
          <w:szCs w:val="20"/>
          <w:color w:val="3A5575"/>
        </w:rPr>
      </w:pPr>
      <w:r>
        <w:rPr>
          <w:rFonts w:ascii="Arial" w:cs="Arial" w:eastAsia="Arial" w:hAnsi="Arial"/>
          <w:sz w:val="20"/>
          <w:szCs w:val="20"/>
          <w:color w:val="auto"/>
        </w:rPr>
        <w:t>Human Resources</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36"/>
        </w:numPr>
        <w:rPr>
          <w:rFonts w:ascii="Arial" w:cs="Arial" w:eastAsia="Arial" w:hAnsi="Arial"/>
          <w:sz w:val="20"/>
          <w:szCs w:val="20"/>
          <w:color w:val="3A5575"/>
        </w:rPr>
      </w:pPr>
      <w:r>
        <w:rPr>
          <w:rFonts w:ascii="Arial" w:cs="Arial" w:eastAsia="Arial" w:hAnsi="Arial"/>
          <w:sz w:val="20"/>
          <w:szCs w:val="20"/>
          <w:color w:val="auto"/>
        </w:rPr>
        <w:t>Nuclear and Operating</w:t>
      </w:r>
    </w:p>
    <w:p>
      <w:pPr>
        <w:spacing w:after="0" w:line="195"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INDEPENDENT DIRECTOR</w:t>
      </w:r>
    </w:p>
    <w:p>
      <w:pPr>
        <w:spacing w:after="0" w:line="230" w:lineRule="exact"/>
        <w:rPr>
          <w:sz w:val="20"/>
          <w:szCs w:val="20"/>
          <w:color w:val="auto"/>
        </w:rPr>
      </w:pPr>
    </w:p>
    <w:p>
      <w:pPr>
        <w:ind w:left="100"/>
        <w:spacing w:after="0" w:line="247" w:lineRule="auto"/>
        <w:rPr>
          <w:sz w:val="20"/>
          <w:szCs w:val="20"/>
          <w:color w:val="auto"/>
        </w:rPr>
      </w:pPr>
      <w:r>
        <w:rPr>
          <w:rFonts w:ascii="Arial" w:cs="Arial" w:eastAsia="Arial" w:hAnsi="Arial"/>
          <w:sz w:val="16"/>
          <w:szCs w:val="16"/>
          <w:i w:val="1"/>
          <w:iCs w:val="1"/>
          <w:color w:val="3A5575"/>
        </w:rPr>
        <w:t>Dr. Cortese, former President and CEO of Mayo Clinic, a worldwide leader in medical care with operations located throughout the United States, brings the following key attributes to the Company:</w:t>
      </w:r>
    </w:p>
    <w:p>
      <w:pPr>
        <w:spacing w:after="0" w:line="152" w:lineRule="exact"/>
        <w:rPr>
          <w:sz w:val="20"/>
          <w:szCs w:val="20"/>
          <w:color w:val="auto"/>
        </w:rPr>
      </w:pPr>
    </w:p>
    <w:p>
      <w:pPr>
        <w:ind w:left="300" w:hanging="204"/>
        <w:spacing w:after="0"/>
        <w:tabs>
          <w:tab w:leader="none" w:pos="300" w:val="left"/>
        </w:tabs>
        <w:numPr>
          <w:ilvl w:val="0"/>
          <w:numId w:val="37"/>
        </w:numPr>
        <w:rPr>
          <w:rFonts w:ascii="Arial" w:cs="Arial" w:eastAsia="Arial" w:hAnsi="Arial"/>
          <w:sz w:val="16"/>
          <w:szCs w:val="16"/>
          <w:i w:val="1"/>
          <w:iCs w:val="1"/>
          <w:color w:val="3A5575"/>
        </w:rPr>
      </w:pPr>
      <w:r>
        <w:rPr>
          <w:rFonts w:ascii="Arial" w:cs="Arial" w:eastAsia="Arial" w:hAnsi="Arial"/>
          <w:sz w:val="16"/>
          <w:szCs w:val="16"/>
          <w:i w:val="1"/>
          <w:iCs w:val="1"/>
          <w:color w:val="3A5575"/>
        </w:rPr>
        <w:t>Complex operations experience</w:t>
      </w:r>
    </w:p>
    <w:p>
      <w:pPr>
        <w:spacing w:after="0" w:line="183" w:lineRule="exact"/>
        <w:rPr>
          <w:rFonts w:ascii="Arial" w:cs="Arial" w:eastAsia="Arial" w:hAnsi="Arial"/>
          <w:sz w:val="16"/>
          <w:szCs w:val="16"/>
          <w:i w:val="1"/>
          <w:iCs w:val="1"/>
          <w:color w:val="3A5575"/>
        </w:rPr>
      </w:pPr>
    </w:p>
    <w:p>
      <w:pPr>
        <w:ind w:left="300" w:right="340" w:hanging="204"/>
        <w:spacing w:after="0" w:line="276" w:lineRule="auto"/>
        <w:tabs>
          <w:tab w:leader="none" w:pos="300" w:val="left"/>
        </w:tabs>
        <w:numPr>
          <w:ilvl w:val="0"/>
          <w:numId w:val="37"/>
        </w:numPr>
        <w:rPr>
          <w:rFonts w:ascii="Arial" w:cs="Arial" w:eastAsia="Arial" w:hAnsi="Arial"/>
          <w:sz w:val="16"/>
          <w:szCs w:val="16"/>
          <w:i w:val="1"/>
          <w:iCs w:val="1"/>
          <w:color w:val="3A5575"/>
        </w:rPr>
      </w:pPr>
      <w:r>
        <w:rPr>
          <w:rFonts w:ascii="Arial" w:cs="Arial" w:eastAsia="Arial" w:hAnsi="Arial"/>
          <w:sz w:val="16"/>
          <w:szCs w:val="16"/>
          <w:i w:val="1"/>
          <w:iCs w:val="1"/>
          <w:color w:val="3A5575"/>
        </w:rPr>
        <w:t>Risk oversight and management experience</w:t>
      </w:r>
    </w:p>
    <w:p>
      <w:pPr>
        <w:spacing w:after="0" w:line="128" w:lineRule="exact"/>
        <w:rPr>
          <w:rFonts w:ascii="Arial" w:cs="Arial" w:eastAsia="Arial" w:hAnsi="Arial"/>
          <w:sz w:val="16"/>
          <w:szCs w:val="16"/>
          <w:i w:val="1"/>
          <w:iCs w:val="1"/>
          <w:color w:val="3A5575"/>
        </w:rPr>
      </w:pPr>
    </w:p>
    <w:p>
      <w:pPr>
        <w:ind w:left="300" w:hanging="204"/>
        <w:spacing w:after="0"/>
        <w:tabs>
          <w:tab w:leader="none" w:pos="300" w:val="left"/>
        </w:tabs>
        <w:numPr>
          <w:ilvl w:val="0"/>
          <w:numId w:val="37"/>
        </w:numPr>
        <w:rPr>
          <w:rFonts w:ascii="Arial" w:cs="Arial" w:eastAsia="Arial" w:hAnsi="Arial"/>
          <w:sz w:val="16"/>
          <w:szCs w:val="16"/>
          <w:i w:val="1"/>
          <w:iCs w:val="1"/>
          <w:color w:val="3A5575"/>
        </w:rPr>
      </w:pPr>
      <w:r>
        <w:rPr>
          <w:rFonts w:ascii="Arial" w:cs="Arial" w:eastAsia="Arial" w:hAnsi="Arial"/>
          <w:sz w:val="16"/>
          <w:szCs w:val="16"/>
          <w:i w:val="1"/>
          <w:iCs w:val="1"/>
          <w:color w:val="3A5575"/>
        </w:rPr>
        <w:t>CEO experience</w:t>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spacing w:after="0" w:line="250" w:lineRule="auto"/>
        <w:rPr>
          <w:sz w:val="20"/>
          <w:szCs w:val="20"/>
          <w:color w:val="auto"/>
        </w:rPr>
      </w:pPr>
      <w:r>
        <w:rPr>
          <w:rFonts w:ascii="Arial" w:cs="Arial" w:eastAsia="Arial" w:hAnsi="Arial"/>
          <w:sz w:val="19"/>
          <w:szCs w:val="19"/>
          <w:color w:val="auto"/>
        </w:rPr>
        <w:t>Dr. Cortese is the Director of the ASU Health Care Delivery and Policy Program and a Foundation Professor in the Department of Biomedical Informatics, Ira A. Fulton School of Engineering and in the School of Health Management and Policy, W.P. Carey School of Business. He has held these positions since February 2010. Dr. Cortese has been Emeritus President and Chief Executive Officer of the Mayo Clinic (medical clinic and hospital services) since November 2009, and was President and Chief Executive Officer of the Mayo Clinic from March 2003 until his retirement in November 2009. Dr. Cortese is also a director of Cerner Corporation.</w:t>
      </w:r>
    </w:p>
    <w:p>
      <w:pPr>
        <w:spacing w:after="0" w:line="157"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180"/>
        <w:spacing w:after="0" w:line="239" w:lineRule="auto"/>
        <w:rPr>
          <w:sz w:val="20"/>
          <w:szCs w:val="20"/>
          <w:color w:val="auto"/>
        </w:rPr>
      </w:pPr>
      <w:r>
        <w:rPr>
          <w:rFonts w:ascii="Arial" w:cs="Arial" w:eastAsia="Arial" w:hAnsi="Arial"/>
          <w:sz w:val="20"/>
          <w:szCs w:val="20"/>
          <w:color w:val="auto"/>
        </w:rPr>
        <w:t>As former President and Chief Executive Officer of the Mayo Clinic, Dr. Cortese has extensive experience in leading complex organizations with multiple constituencies and has led an organization that delivers strong and efficient customer service, which parallels the Company's strategies. Further, his background in public policy development, science and technology brings valuable perspective to issues that face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1379220</wp:posOffset>
            </wp:positionV>
            <wp:extent cx="7254240" cy="762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356" w:lineRule="exact"/>
        <w:rPr>
          <w:sz w:val="20"/>
          <w:szCs w:val="20"/>
          <w:color w:val="auto"/>
        </w:rPr>
      </w:pPr>
    </w:p>
    <w:p>
      <w:pPr>
        <w:sectPr>
          <w:pgSz w:w="11900" w:h="16838" w:orient="portrait"/>
          <w:cols w:equalWidth="0" w:num="2">
            <w:col w:w="2920" w:space="140"/>
            <w:col w:w="8460"/>
          </w:cols>
          <w:pgMar w:left="240" w:top="110" w:right="139" w:bottom="1440" w:gutter="0" w:footer="0" w:header="0"/>
          <w:type w:val="continuous"/>
        </w:sectPr>
      </w:pPr>
    </w:p>
    <w:p>
      <w:pPr>
        <w:spacing w:after="0" w:line="200" w:lineRule="exact"/>
        <w:rPr>
          <w:sz w:val="20"/>
          <w:szCs w:val="20"/>
          <w:color w:val="auto"/>
        </w:rPr>
      </w:pPr>
    </w:p>
    <w:p>
      <w:pPr>
        <w:spacing w:after="0" w:line="256" w:lineRule="exact"/>
        <w:rPr>
          <w:sz w:val="20"/>
          <w:szCs w:val="20"/>
          <w:color w:val="auto"/>
        </w:rPr>
      </w:pPr>
    </w:p>
    <w:p>
      <w:pPr>
        <w:ind w:left="840"/>
        <w:spacing w:after="0"/>
        <w:tabs>
          <w:tab w:leader="none" w:pos="3040" w:val="left"/>
        </w:tabs>
        <w:rPr>
          <w:sz w:val="20"/>
          <w:szCs w:val="20"/>
          <w:color w:val="auto"/>
        </w:rPr>
      </w:pPr>
      <w:r>
        <w:rPr>
          <w:rFonts w:ascii="Arial" w:cs="Arial" w:eastAsia="Arial" w:hAnsi="Arial"/>
          <w:sz w:val="20"/>
          <w:szCs w:val="20"/>
          <w:b w:val="1"/>
          <w:bCs w:val="1"/>
          <w:color w:val="FFFFFE"/>
        </w:rPr>
        <w:t>Richard P. Fox</w:t>
      </w:r>
      <w:r>
        <w:rPr>
          <w:sz w:val="20"/>
          <w:szCs w:val="20"/>
          <w:color w:val="auto"/>
        </w:rPr>
        <w:tab/>
      </w:r>
      <w:r>
        <w:rPr>
          <w:rFonts w:ascii="Arial" w:cs="Arial" w:eastAsia="Arial" w:hAnsi="Arial"/>
          <w:sz w:val="19"/>
          <w:szCs w:val="19"/>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-131445</wp:posOffset>
            </wp:positionV>
            <wp:extent cx="7254240" cy="3429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4240" cy="34290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type w:val="continuous"/>
        </w:sectPr>
      </w:pPr>
    </w:p>
    <w:p>
      <w:pPr>
        <w:spacing w:after="0" w:line="200" w:lineRule="exact"/>
        <w:rPr>
          <w:sz w:val="20"/>
          <w:szCs w:val="20"/>
          <w:color w:val="auto"/>
        </w:rPr>
      </w:pPr>
    </w:p>
    <w:p>
      <w:pPr>
        <w:spacing w:after="0" w:line="322" w:lineRule="exact"/>
        <w:rPr>
          <w:sz w:val="20"/>
          <w:szCs w:val="20"/>
          <w:color w:val="auto"/>
        </w:rPr>
      </w:pPr>
    </w:p>
    <w:p>
      <w:pPr>
        <w:ind w:left="100"/>
        <w:spacing w:after="0"/>
        <w:rPr>
          <w:sz w:val="20"/>
          <w:szCs w:val="20"/>
          <w:color w:val="auto"/>
        </w:rPr>
      </w:pPr>
      <w:r>
        <w:rPr>
          <w:rFonts w:ascii="Arial" w:cs="Arial" w:eastAsia="Arial" w:hAnsi="Arial"/>
          <w:sz w:val="20"/>
          <w:szCs w:val="20"/>
          <w:color w:val="auto"/>
        </w:rPr>
        <w:t>Age 68</w:t>
      </w:r>
    </w:p>
    <w:p>
      <w:pPr>
        <w:spacing w:after="0" w:line="199" w:lineRule="exact"/>
        <w:rPr>
          <w:sz w:val="20"/>
          <w:szCs w:val="20"/>
          <w:color w:val="auto"/>
        </w:rPr>
      </w:pPr>
    </w:p>
    <w:p>
      <w:pPr>
        <w:ind w:left="100"/>
        <w:spacing w:after="0"/>
        <w:rPr>
          <w:sz w:val="20"/>
          <w:szCs w:val="20"/>
          <w:color w:val="auto"/>
        </w:rPr>
      </w:pPr>
      <w:r>
        <w:rPr>
          <w:rFonts w:ascii="Arial" w:cs="Arial" w:eastAsia="Arial" w:hAnsi="Arial"/>
          <w:sz w:val="20"/>
          <w:szCs w:val="20"/>
          <w:color w:val="auto"/>
        </w:rPr>
        <w:t>Director since 2014</w:t>
      </w:r>
    </w:p>
    <w:p>
      <w:pPr>
        <w:spacing w:after="0" w:line="195"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Committees</w:t>
      </w:r>
    </w:p>
    <w:p>
      <w:pPr>
        <w:spacing w:after="0" w:line="191" w:lineRule="exact"/>
        <w:rPr>
          <w:sz w:val="20"/>
          <w:szCs w:val="20"/>
          <w:color w:val="auto"/>
        </w:rPr>
      </w:pPr>
    </w:p>
    <w:p>
      <w:pPr>
        <w:ind w:left="300" w:hanging="204"/>
        <w:spacing w:after="0"/>
        <w:tabs>
          <w:tab w:leader="none" w:pos="300" w:val="left"/>
        </w:tabs>
        <w:numPr>
          <w:ilvl w:val="0"/>
          <w:numId w:val="38"/>
        </w:numPr>
        <w:rPr>
          <w:rFonts w:ascii="Arial" w:cs="Arial" w:eastAsia="Arial" w:hAnsi="Arial"/>
          <w:sz w:val="20"/>
          <w:szCs w:val="20"/>
          <w:color w:val="3A5575"/>
        </w:rPr>
      </w:pPr>
      <w:r>
        <w:rPr>
          <w:rFonts w:ascii="Arial" w:cs="Arial" w:eastAsia="Arial" w:hAnsi="Arial"/>
          <w:sz w:val="20"/>
          <w:szCs w:val="20"/>
          <w:color w:val="auto"/>
        </w:rPr>
        <w:t>Audit</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38"/>
        </w:numPr>
        <w:rPr>
          <w:rFonts w:ascii="Arial" w:cs="Arial" w:eastAsia="Arial" w:hAnsi="Arial"/>
          <w:sz w:val="20"/>
          <w:szCs w:val="20"/>
          <w:color w:val="3A5575"/>
        </w:rPr>
      </w:pPr>
      <w:r>
        <w:rPr>
          <w:rFonts w:ascii="Arial" w:cs="Arial" w:eastAsia="Arial" w:hAnsi="Arial"/>
          <w:sz w:val="20"/>
          <w:szCs w:val="20"/>
          <w:color w:val="auto"/>
        </w:rPr>
        <w:t>Finance</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38"/>
        </w:numPr>
        <w:rPr>
          <w:rFonts w:ascii="Arial" w:cs="Arial" w:eastAsia="Arial" w:hAnsi="Arial"/>
          <w:sz w:val="20"/>
          <w:szCs w:val="20"/>
          <w:color w:val="3A5575"/>
        </w:rPr>
      </w:pPr>
      <w:r>
        <w:rPr>
          <w:rFonts w:ascii="Arial" w:cs="Arial" w:eastAsia="Arial" w:hAnsi="Arial"/>
          <w:sz w:val="20"/>
          <w:szCs w:val="20"/>
          <w:color w:val="auto"/>
        </w:rPr>
        <w:t>Human Resources</w:t>
      </w:r>
    </w:p>
    <w:p>
      <w:pPr>
        <w:spacing w:after="0" w:line="208"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INDEPENDENT DIRECTOR</w:t>
      </w:r>
    </w:p>
    <w:p>
      <w:pPr>
        <w:spacing w:after="0" w:line="218" w:lineRule="exact"/>
        <w:rPr>
          <w:sz w:val="20"/>
          <w:szCs w:val="20"/>
          <w:color w:val="auto"/>
        </w:rPr>
      </w:pPr>
    </w:p>
    <w:p>
      <w:pPr>
        <w:ind w:left="100"/>
        <w:spacing w:after="0" w:line="269" w:lineRule="auto"/>
        <w:rPr>
          <w:sz w:val="20"/>
          <w:szCs w:val="20"/>
          <w:color w:val="auto"/>
        </w:rPr>
      </w:pPr>
      <w:r>
        <w:rPr>
          <w:rFonts w:ascii="Arial" w:cs="Arial" w:eastAsia="Arial" w:hAnsi="Arial"/>
          <w:sz w:val="15"/>
          <w:szCs w:val="15"/>
          <w:i w:val="1"/>
          <w:iCs w:val="1"/>
          <w:color w:val="3A5575"/>
        </w:rPr>
        <w:t>As a former Managing Partner of Ernst and Young, one of the "Big Four" auditing firms with multinational operations, Mr. Fox brings the following key attributes to the Company:</w:t>
      </w:r>
    </w:p>
    <w:p>
      <w:pPr>
        <w:spacing w:after="0" w:line="137" w:lineRule="exact"/>
        <w:rPr>
          <w:sz w:val="20"/>
          <w:szCs w:val="20"/>
          <w:color w:val="auto"/>
        </w:rPr>
      </w:pPr>
    </w:p>
    <w:p>
      <w:pPr>
        <w:ind w:left="300" w:hanging="204"/>
        <w:spacing w:after="0"/>
        <w:tabs>
          <w:tab w:leader="none" w:pos="300" w:val="left"/>
        </w:tabs>
        <w:numPr>
          <w:ilvl w:val="0"/>
          <w:numId w:val="39"/>
        </w:numPr>
        <w:rPr>
          <w:rFonts w:ascii="Arial" w:cs="Arial" w:eastAsia="Arial" w:hAnsi="Arial"/>
          <w:sz w:val="16"/>
          <w:szCs w:val="16"/>
          <w:i w:val="1"/>
          <w:iCs w:val="1"/>
          <w:color w:val="3A5575"/>
        </w:rPr>
      </w:pPr>
      <w:r>
        <w:rPr>
          <w:rFonts w:ascii="Arial" w:cs="Arial" w:eastAsia="Arial" w:hAnsi="Arial"/>
          <w:sz w:val="16"/>
          <w:szCs w:val="16"/>
          <w:i w:val="1"/>
          <w:iCs w:val="1"/>
          <w:color w:val="3A5575"/>
        </w:rPr>
        <w:t>Audit expertise</w:t>
      </w:r>
    </w:p>
    <w:p>
      <w:pPr>
        <w:spacing w:after="0" w:line="183" w:lineRule="exact"/>
        <w:rPr>
          <w:rFonts w:ascii="Arial" w:cs="Arial" w:eastAsia="Arial" w:hAnsi="Arial"/>
          <w:sz w:val="16"/>
          <w:szCs w:val="16"/>
          <w:i w:val="1"/>
          <w:iCs w:val="1"/>
          <w:color w:val="3A5575"/>
        </w:rPr>
      </w:pPr>
    </w:p>
    <w:p>
      <w:pPr>
        <w:ind w:left="300" w:hanging="204"/>
        <w:spacing w:after="0"/>
        <w:tabs>
          <w:tab w:leader="none" w:pos="300" w:val="left"/>
        </w:tabs>
        <w:numPr>
          <w:ilvl w:val="0"/>
          <w:numId w:val="39"/>
        </w:numPr>
        <w:rPr>
          <w:rFonts w:ascii="Arial" w:cs="Arial" w:eastAsia="Arial" w:hAnsi="Arial"/>
          <w:sz w:val="16"/>
          <w:szCs w:val="16"/>
          <w:i w:val="1"/>
          <w:iCs w:val="1"/>
          <w:color w:val="3A5575"/>
        </w:rPr>
      </w:pPr>
      <w:r>
        <w:rPr>
          <w:rFonts w:ascii="Arial" w:cs="Arial" w:eastAsia="Arial" w:hAnsi="Arial"/>
          <w:sz w:val="16"/>
          <w:szCs w:val="16"/>
          <w:i w:val="1"/>
          <w:iCs w:val="1"/>
          <w:color w:val="3A5575"/>
        </w:rPr>
        <w:t>Financial literacy</w:t>
      </w:r>
    </w:p>
    <w:p>
      <w:pPr>
        <w:spacing w:after="0" w:line="183" w:lineRule="exact"/>
        <w:rPr>
          <w:rFonts w:ascii="Arial" w:cs="Arial" w:eastAsia="Arial" w:hAnsi="Arial"/>
          <w:sz w:val="16"/>
          <w:szCs w:val="16"/>
          <w:i w:val="1"/>
          <w:iCs w:val="1"/>
          <w:color w:val="3A5575"/>
        </w:rPr>
      </w:pPr>
    </w:p>
    <w:p>
      <w:pPr>
        <w:ind w:left="300" w:right="300" w:hanging="204"/>
        <w:spacing w:after="0" w:line="276" w:lineRule="auto"/>
        <w:tabs>
          <w:tab w:leader="none" w:pos="300" w:val="left"/>
        </w:tabs>
        <w:numPr>
          <w:ilvl w:val="0"/>
          <w:numId w:val="39"/>
        </w:numPr>
        <w:rPr>
          <w:rFonts w:ascii="Arial" w:cs="Arial" w:eastAsia="Arial" w:hAnsi="Arial"/>
          <w:sz w:val="16"/>
          <w:szCs w:val="16"/>
          <w:i w:val="1"/>
          <w:iCs w:val="1"/>
          <w:color w:val="3A5575"/>
        </w:rPr>
      </w:pPr>
      <w:r>
        <w:rPr>
          <w:rFonts w:ascii="Arial" w:cs="Arial" w:eastAsia="Arial" w:hAnsi="Arial"/>
          <w:sz w:val="16"/>
          <w:szCs w:val="16"/>
          <w:i w:val="1"/>
          <w:iCs w:val="1"/>
          <w:color w:val="3A5575"/>
        </w:rPr>
        <w:t>Risk oversight and management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380365</wp:posOffset>
            </wp:positionH>
            <wp:positionV relativeFrom="paragraph">
              <wp:posOffset>161290</wp:posOffset>
            </wp:positionV>
            <wp:extent cx="841375" cy="16383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ind w:right="20"/>
        <w:spacing w:after="0" w:line="236" w:lineRule="auto"/>
        <w:rPr>
          <w:sz w:val="20"/>
          <w:szCs w:val="20"/>
          <w:color w:val="auto"/>
        </w:rPr>
      </w:pPr>
      <w:r>
        <w:rPr>
          <w:rFonts w:ascii="Arial" w:cs="Arial" w:eastAsia="Arial" w:hAnsi="Arial"/>
          <w:sz w:val="20"/>
          <w:szCs w:val="20"/>
          <w:color w:val="auto"/>
        </w:rPr>
        <w:t>Mr. Fox has served as a consultant and independent board member since 2001 for companies in various industries. Mr. Fox previously held executive, operational and financial positions at CyberSafe Corporation ("CyberSafe"), Wall Data, Incorporated ("Wall Data") and PACCAR Inc., and is a former Managing Partner of Ernst and Young's Seattle office. Mr. Fox is also a director of Acxiom Corporation, Univar, Inc., and ServiceMaster Global Holdings. Within the past five years, Mr. Fox has served as a director of FLOW International Corporation, Orbitz Worldwide, and Pendrell Corporation.</w:t>
      </w:r>
    </w:p>
    <w:p>
      <w:pPr>
        <w:spacing w:after="0" w:line="179"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40"/>
        <w:spacing w:after="0" w:line="237" w:lineRule="auto"/>
        <w:rPr>
          <w:sz w:val="20"/>
          <w:szCs w:val="20"/>
          <w:color w:val="auto"/>
        </w:rPr>
      </w:pPr>
      <w:r>
        <w:rPr>
          <w:rFonts w:ascii="Arial" w:cs="Arial" w:eastAsia="Arial" w:hAnsi="Arial"/>
          <w:sz w:val="20"/>
          <w:szCs w:val="20"/>
          <w:color w:val="auto"/>
        </w:rPr>
        <w:t>As a former Managing Partner of Ernst and Young and as former Chief Financial Officer of Wall Data and President and Chief Operating Officer of CyberSafe, Mr. Fox has a deep understanding of financial and accounting matters. Mr. Fox has also served on the boards of several companies throughout his career, including seven public companies. His extensive board experience, including service on various audit committees and finance committees, including chairmanships, adds to the Board's depth and capabilities.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1116330</wp:posOffset>
            </wp:positionV>
            <wp:extent cx="7254240" cy="762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1998" w:lineRule="exact"/>
        <w:rPr>
          <w:sz w:val="20"/>
          <w:szCs w:val="20"/>
          <w:color w:val="auto"/>
        </w:rPr>
      </w:pPr>
    </w:p>
    <w:p>
      <w:pPr>
        <w:sectPr>
          <w:pgSz w:w="11900" w:h="16838" w:orient="portrait"/>
          <w:cols w:equalWidth="0" w:num="2">
            <w:col w:w="2880" w:space="180"/>
            <w:col w:w="8460"/>
          </w:cols>
          <w:pgMar w:left="240" w:top="110" w:right="139" w:bottom="1440" w:gutter="0" w:footer="0" w:header="0"/>
          <w:type w:val="continuous"/>
        </w:sectPr>
      </w:pPr>
    </w:p>
    <w:p>
      <w:pPr>
        <w:spacing w:after="0" w:line="60" w:lineRule="exact"/>
        <w:rPr>
          <w:sz w:val="20"/>
          <w:szCs w:val="20"/>
          <w:color w:val="auto"/>
        </w:rPr>
      </w:pPr>
    </w:p>
    <w:tbl>
      <w:tblPr>
        <w:tblLayout w:type="fixed"/>
        <w:tblInd w:w="10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26</w:t>
            </w:r>
          </w:p>
        </w:tc>
        <w:tc>
          <w:tcPr>
            <w:tcW w:w="1120" w:type="dxa"/>
            <w:vAlign w:val="bottom"/>
            <w:vMerge w:val="restart"/>
          </w:tcPr>
          <w:p>
            <w:pPr>
              <w:jc w:val="right"/>
              <w:ind w:right="38"/>
              <w:spacing w:after="0"/>
              <w:rPr>
                <w:sz w:val="20"/>
                <w:szCs w:val="20"/>
                <w:color w:val="auto"/>
              </w:rPr>
            </w:pPr>
            <w:r>
              <w:rPr>
                <w:rFonts w:ascii="Arial" w:cs="Arial" w:eastAsia="Arial" w:hAnsi="Arial"/>
                <w:sz w:val="16"/>
                <w:szCs w:val="16"/>
                <w:b w:val="1"/>
                <w:bCs w:val="1"/>
                <w:color w:val="3A5575"/>
              </w:rPr>
              <w:t>|</w:t>
            </w:r>
          </w:p>
        </w:tc>
        <w:tc>
          <w:tcPr>
            <w:tcW w:w="9100" w:type="dxa"/>
            <w:vAlign w:val="bottom"/>
          </w:tcPr>
          <w:p>
            <w:pPr>
              <w:ind w:left="10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20" w:type="dxa"/>
            <w:vAlign w:val="bottom"/>
            <w:vMerge w:val="continue"/>
          </w:tcPr>
          <w:p>
            <w:pPr>
              <w:spacing w:after="0"/>
              <w:rPr>
                <w:sz w:val="6"/>
                <w:szCs w:val="6"/>
                <w:color w:val="auto"/>
              </w:rPr>
            </w:pPr>
          </w:p>
        </w:tc>
        <w:tc>
          <w:tcPr>
            <w:tcW w:w="9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910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type w:val="continuous"/>
        </w:sectPr>
      </w:pPr>
    </w:p>
    <w:bookmarkStart w:id="35" w:name="page36"/>
    <w:bookmarkEnd w:id="35"/>
    <w:p>
      <w:pPr>
        <w:ind w:left="4"/>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5203190</wp:posOffset>
            </wp:positionH>
            <wp:positionV relativeFrom="paragraph">
              <wp:posOffset>137795</wp:posOffset>
            </wp:positionV>
            <wp:extent cx="2051050" cy="1555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2051050" cy="155575"/>
                    </a:xfrm>
                    <a:prstGeom prst="rect">
                      <a:avLst/>
                    </a:prstGeom>
                    <a:noFill/>
                  </pic:spPr>
                </pic:pic>
              </a:graphicData>
            </a:graphic>
          </wp:anchor>
        </w:drawing>
      </w:r>
    </w:p>
    <w:p>
      <w:pPr>
        <w:spacing w:after="0" w:line="232" w:lineRule="exact"/>
        <w:rPr>
          <w:sz w:val="20"/>
          <w:szCs w:val="20"/>
          <w:color w:val="auto"/>
        </w:rPr>
      </w:pPr>
    </w:p>
    <w:p>
      <w:pPr>
        <w:jc w:val="right"/>
        <w:ind w:right="460"/>
        <w:spacing w:after="0"/>
        <w:rPr>
          <w:sz w:val="20"/>
          <w:szCs w:val="20"/>
          <w:color w:val="auto"/>
        </w:rPr>
      </w:pPr>
      <w:r>
        <w:rPr>
          <w:rFonts w:ascii="Arial" w:cs="Arial" w:eastAsia="Arial" w:hAnsi="Arial"/>
          <w:sz w:val="13"/>
          <w:szCs w:val="13"/>
          <w:b w:val="1"/>
          <w:bCs w:val="1"/>
          <w:color w:val="FFFFFE"/>
        </w:rPr>
        <w:t>PROPOSAL 1 — ELECTION OF DIRECTORS</w:t>
      </w:r>
    </w:p>
    <w:p>
      <w:pPr>
        <w:sectPr>
          <w:pgSz w:w="11900" w:h="16838" w:orient="portrait"/>
          <w:cols w:equalWidth="0" w:num="1">
            <w:col w:w="11424"/>
          </w:cols>
          <w:pgMar w:left="336" w:top="110" w:right="139" w:bottom="1440" w:gutter="0" w:footer="0" w:header="0"/>
        </w:sectPr>
      </w:pPr>
    </w:p>
    <w:p>
      <w:pPr>
        <w:spacing w:after="0" w:line="200" w:lineRule="exact"/>
        <w:rPr>
          <w:sz w:val="20"/>
          <w:szCs w:val="20"/>
          <w:color w:val="auto"/>
        </w:rPr>
      </w:pPr>
    </w:p>
    <w:p>
      <w:pPr>
        <w:spacing w:after="0" w:line="244" w:lineRule="exact"/>
        <w:rPr>
          <w:sz w:val="20"/>
          <w:szCs w:val="20"/>
          <w:color w:val="auto"/>
        </w:rPr>
      </w:pPr>
    </w:p>
    <w:p>
      <w:pPr>
        <w:ind w:left="464"/>
        <w:spacing w:after="0"/>
        <w:rPr>
          <w:sz w:val="20"/>
          <w:szCs w:val="20"/>
          <w:color w:val="auto"/>
        </w:rPr>
      </w:pPr>
      <w:r>
        <w:rPr>
          <w:rFonts w:ascii="Arial" w:cs="Arial" w:eastAsia="Arial" w:hAnsi="Arial"/>
          <w:sz w:val="20"/>
          <w:szCs w:val="20"/>
          <w:b w:val="1"/>
          <w:bCs w:val="1"/>
          <w:color w:val="FFFFFE"/>
        </w:rPr>
        <w:t>Michael L. Gallagher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-123825</wp:posOffset>
            </wp:positionV>
            <wp:extent cx="1791335" cy="3346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791335" cy="334645"/>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p>
      <w:pPr>
        <w:ind w:left="4"/>
        <w:spacing w:after="0"/>
        <w:rPr>
          <w:sz w:val="20"/>
          <w:szCs w:val="20"/>
          <w:color w:val="auto"/>
        </w:rPr>
      </w:pPr>
      <w:r>
        <w:rPr>
          <w:rFonts w:ascii="Arial" w:cs="Arial" w:eastAsia="Arial" w:hAnsi="Arial"/>
          <w:sz w:val="20"/>
          <w:szCs w:val="20"/>
          <w:color w:val="auto"/>
        </w:rPr>
        <w:t>Age 71</w:t>
      </w:r>
    </w:p>
    <w:p>
      <w:pPr>
        <w:spacing w:after="0" w:line="199" w:lineRule="exact"/>
        <w:rPr>
          <w:sz w:val="20"/>
          <w:szCs w:val="20"/>
          <w:color w:val="auto"/>
        </w:rPr>
      </w:pPr>
    </w:p>
    <w:p>
      <w:pPr>
        <w:ind w:left="4"/>
        <w:spacing w:after="0"/>
        <w:rPr>
          <w:sz w:val="20"/>
          <w:szCs w:val="20"/>
          <w:color w:val="auto"/>
        </w:rPr>
      </w:pPr>
      <w:r>
        <w:rPr>
          <w:rFonts w:ascii="Arial" w:cs="Arial" w:eastAsia="Arial" w:hAnsi="Arial"/>
          <w:sz w:val="20"/>
          <w:szCs w:val="20"/>
          <w:color w:val="auto"/>
        </w:rPr>
        <w:t>Director since 1999</w:t>
      </w:r>
    </w:p>
    <w:p>
      <w:pPr>
        <w:spacing w:after="0" w:line="195"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Committees</w:t>
      </w:r>
    </w:p>
    <w:p>
      <w:pPr>
        <w:spacing w:after="0" w:line="191" w:lineRule="exact"/>
        <w:rPr>
          <w:sz w:val="20"/>
          <w:szCs w:val="20"/>
          <w:color w:val="auto"/>
        </w:rPr>
      </w:pPr>
    </w:p>
    <w:p>
      <w:pPr>
        <w:ind w:left="204" w:right="520" w:hanging="204"/>
        <w:spacing w:after="0" w:line="265" w:lineRule="auto"/>
        <w:tabs>
          <w:tab w:leader="none" w:pos="204" w:val="left"/>
        </w:tabs>
        <w:numPr>
          <w:ilvl w:val="0"/>
          <w:numId w:val="40"/>
        </w:numPr>
        <w:rPr>
          <w:rFonts w:ascii="Arial" w:cs="Arial" w:eastAsia="Arial" w:hAnsi="Arial"/>
          <w:sz w:val="20"/>
          <w:szCs w:val="20"/>
          <w:color w:val="3A5575"/>
        </w:rPr>
      </w:pPr>
      <w:r>
        <w:rPr>
          <w:rFonts w:ascii="Arial" w:cs="Arial" w:eastAsia="Arial" w:hAnsi="Arial"/>
          <w:sz w:val="20"/>
          <w:szCs w:val="20"/>
          <w:color w:val="auto"/>
        </w:rPr>
        <w:t>Nuclear and Operating (Chair)</w:t>
      </w:r>
    </w:p>
    <w:p>
      <w:pPr>
        <w:spacing w:after="0" w:line="117" w:lineRule="exact"/>
        <w:rPr>
          <w:rFonts w:ascii="Arial" w:cs="Arial" w:eastAsia="Arial" w:hAnsi="Arial"/>
          <w:sz w:val="20"/>
          <w:szCs w:val="20"/>
          <w:color w:val="3A5575"/>
        </w:rPr>
      </w:pPr>
    </w:p>
    <w:p>
      <w:pPr>
        <w:ind w:left="204" w:hanging="204"/>
        <w:spacing w:after="0"/>
        <w:tabs>
          <w:tab w:leader="none" w:pos="204" w:val="left"/>
        </w:tabs>
        <w:numPr>
          <w:ilvl w:val="0"/>
          <w:numId w:val="40"/>
        </w:numPr>
        <w:rPr>
          <w:rFonts w:ascii="Arial" w:cs="Arial" w:eastAsia="Arial" w:hAnsi="Arial"/>
          <w:sz w:val="20"/>
          <w:szCs w:val="20"/>
          <w:color w:val="3A5575"/>
        </w:rPr>
      </w:pPr>
      <w:r>
        <w:rPr>
          <w:rFonts w:ascii="Arial" w:cs="Arial" w:eastAsia="Arial" w:hAnsi="Arial"/>
          <w:sz w:val="20"/>
          <w:szCs w:val="20"/>
          <w:color w:val="auto"/>
        </w:rPr>
        <w:t>Corporate Governance</w:t>
      </w:r>
    </w:p>
    <w:p>
      <w:pPr>
        <w:spacing w:after="0" w:line="195"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INDEPENDENT DIRECTOR</w:t>
      </w:r>
    </w:p>
    <w:p>
      <w:pPr>
        <w:spacing w:after="0" w:line="230" w:lineRule="exact"/>
        <w:rPr>
          <w:sz w:val="20"/>
          <w:szCs w:val="20"/>
          <w:color w:val="auto"/>
        </w:rPr>
      </w:pPr>
    </w:p>
    <w:p>
      <w:pPr>
        <w:ind w:left="4"/>
        <w:spacing w:after="0" w:line="242" w:lineRule="auto"/>
        <w:rPr>
          <w:sz w:val="20"/>
          <w:szCs w:val="20"/>
          <w:color w:val="auto"/>
        </w:rPr>
      </w:pPr>
      <w:r>
        <w:rPr>
          <w:rFonts w:ascii="Arial" w:cs="Arial" w:eastAsia="Arial" w:hAnsi="Arial"/>
          <w:sz w:val="16"/>
          <w:szCs w:val="16"/>
          <w:i w:val="1"/>
          <w:iCs w:val="1"/>
          <w:color w:val="3A5575"/>
        </w:rPr>
        <w:t>As a founding member of Gallagher &amp; Kennedy, Mr. Gallagher built a successful law practice in Arizona. In his role as Chair of the Nuclear and Operating Committee, Mr. Gallagher has devoted significant time in becoming familiar with the Company's generation, transmission and distribution operations. Mr. Gallagher has represented the Company before the NRC and has participated on the Company's behalf in meetings of the World Organization of Nuclear Operators. Mr. Gallagher brings the following key attributes to the Company:</w:t>
      </w:r>
    </w:p>
    <w:p>
      <w:pPr>
        <w:spacing w:after="0" w:line="159" w:lineRule="exact"/>
        <w:rPr>
          <w:sz w:val="20"/>
          <w:szCs w:val="20"/>
          <w:color w:val="auto"/>
        </w:rPr>
      </w:pPr>
    </w:p>
    <w:p>
      <w:pPr>
        <w:ind w:left="204" w:right="240" w:hanging="204"/>
        <w:spacing w:after="0" w:line="311" w:lineRule="auto"/>
        <w:tabs>
          <w:tab w:leader="none" w:pos="204" w:val="left"/>
        </w:tabs>
        <w:numPr>
          <w:ilvl w:val="0"/>
          <w:numId w:val="41"/>
        </w:numPr>
        <w:rPr>
          <w:rFonts w:ascii="Arial" w:cs="Arial" w:eastAsia="Arial" w:hAnsi="Arial"/>
          <w:sz w:val="15"/>
          <w:szCs w:val="15"/>
          <w:i w:val="1"/>
          <w:iCs w:val="1"/>
          <w:color w:val="3A5575"/>
        </w:rPr>
      </w:pPr>
      <w:r>
        <w:rPr>
          <w:rFonts w:ascii="Arial" w:cs="Arial" w:eastAsia="Arial" w:hAnsi="Arial"/>
          <w:sz w:val="15"/>
          <w:szCs w:val="15"/>
          <w:i w:val="1"/>
          <w:iCs w:val="1"/>
          <w:color w:val="3A5575"/>
        </w:rPr>
        <w:t>Extensive knowledge of the Company's business operations</w:t>
      </w:r>
    </w:p>
    <w:p>
      <w:pPr>
        <w:spacing w:after="0" w:line="104" w:lineRule="exact"/>
        <w:rPr>
          <w:rFonts w:ascii="Arial" w:cs="Arial" w:eastAsia="Arial" w:hAnsi="Arial"/>
          <w:sz w:val="15"/>
          <w:szCs w:val="15"/>
          <w:i w:val="1"/>
          <w:iCs w:val="1"/>
          <w:color w:val="3A5575"/>
        </w:rPr>
      </w:pPr>
    </w:p>
    <w:p>
      <w:pPr>
        <w:ind w:left="204" w:hanging="204"/>
        <w:spacing w:after="0"/>
        <w:tabs>
          <w:tab w:leader="none" w:pos="204" w:val="left"/>
        </w:tabs>
        <w:numPr>
          <w:ilvl w:val="0"/>
          <w:numId w:val="41"/>
        </w:numPr>
        <w:rPr>
          <w:rFonts w:ascii="Arial" w:cs="Arial" w:eastAsia="Arial" w:hAnsi="Arial"/>
          <w:sz w:val="16"/>
          <w:szCs w:val="16"/>
          <w:i w:val="1"/>
          <w:iCs w:val="1"/>
          <w:color w:val="3A5575"/>
        </w:rPr>
      </w:pPr>
      <w:r>
        <w:rPr>
          <w:rFonts w:ascii="Arial" w:cs="Arial" w:eastAsia="Arial" w:hAnsi="Arial"/>
          <w:sz w:val="16"/>
          <w:szCs w:val="16"/>
          <w:i w:val="1"/>
          <w:iCs w:val="1"/>
          <w:color w:val="3A5575"/>
        </w:rPr>
        <w:t>Leadership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1"/>
        </w:numPr>
        <w:rPr>
          <w:rFonts w:ascii="Arial" w:cs="Arial" w:eastAsia="Arial" w:hAnsi="Arial"/>
          <w:sz w:val="16"/>
          <w:szCs w:val="16"/>
          <w:i w:val="1"/>
          <w:iCs w:val="1"/>
          <w:color w:val="3A5575"/>
        </w:rPr>
      </w:pPr>
      <w:r>
        <w:rPr>
          <w:rFonts w:ascii="Arial" w:cs="Arial" w:eastAsia="Arial" w:hAnsi="Arial"/>
          <w:sz w:val="16"/>
          <w:szCs w:val="16"/>
          <w:i w:val="1"/>
          <w:iCs w:val="1"/>
          <w:color w:val="3A5575"/>
        </w:rPr>
        <w:t>Governance/legal experience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-131445</wp:posOffset>
            </wp:positionV>
            <wp:extent cx="7254240" cy="762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424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420"/>
        <w:spacing w:after="0" w:line="238" w:lineRule="auto"/>
        <w:rPr>
          <w:sz w:val="20"/>
          <w:szCs w:val="20"/>
          <w:color w:val="auto"/>
        </w:rPr>
      </w:pPr>
      <w:r>
        <w:rPr>
          <w:rFonts w:ascii="Arial" w:cs="Arial" w:eastAsia="Arial" w:hAnsi="Arial"/>
          <w:sz w:val="20"/>
          <w:szCs w:val="20"/>
          <w:color w:val="auto"/>
        </w:rPr>
        <w:t>Mr. Gallagher is Chairman Emeritus of Gallagher &amp; Kennedy P.A. ("Gallagher &amp; Kennedy") in Phoenix, Arizona (an Arizona-based law firm). He has held this position since 2001. Mr. Gallagher served as President of Gallagher &amp; Kennedy from 1978 through 2000.</w:t>
      </w:r>
    </w:p>
    <w:p>
      <w:pPr>
        <w:spacing w:after="0" w:line="2" w:lineRule="exact"/>
        <w:rPr>
          <w:sz w:val="20"/>
          <w:szCs w:val="20"/>
          <w:color w:val="auto"/>
        </w:rPr>
      </w:pPr>
    </w:p>
    <w:p>
      <w:pPr>
        <w:ind w:right="360"/>
        <w:spacing w:after="0" w:line="236" w:lineRule="auto"/>
        <w:rPr>
          <w:sz w:val="20"/>
          <w:szCs w:val="20"/>
          <w:color w:val="auto"/>
        </w:rPr>
      </w:pPr>
      <w:r>
        <w:rPr>
          <w:rFonts w:ascii="Arial" w:cs="Arial" w:eastAsia="Arial" w:hAnsi="Arial"/>
          <w:sz w:val="20"/>
          <w:szCs w:val="20"/>
          <w:color w:val="auto"/>
        </w:rPr>
        <w:t>Mr. Gallagher is a director of AMERCO, the parent company of U-Haul International, Inc., and chairs its Independent Governance Committee. He is also a Trustee of the Peter Kiewit Foundation.</w:t>
      </w:r>
    </w:p>
    <w:p>
      <w:pPr>
        <w:spacing w:after="0" w:line="177"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40"/>
        <w:spacing w:after="0" w:line="237" w:lineRule="auto"/>
        <w:rPr>
          <w:sz w:val="20"/>
          <w:szCs w:val="20"/>
          <w:color w:val="auto"/>
        </w:rPr>
      </w:pPr>
      <w:r>
        <w:rPr>
          <w:rFonts w:ascii="Arial" w:cs="Arial" w:eastAsia="Arial" w:hAnsi="Arial"/>
          <w:sz w:val="20"/>
          <w:szCs w:val="20"/>
          <w:color w:val="auto"/>
        </w:rPr>
        <w:t>Mr. Gallagher has represented a broad and diverse spectrum of corporate clients. Mr. Gallagher provides guidance and judgment gained through advising senior management and boards of directors on the varied issues regularly considered by the Board. His knowledge and experience from participating on the boards of other publicly-traded and private companies provides valuable perspective to the Company, and his extensive experience addressing corporate governance matters makes him a good fit for our Corporate Governance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2417445</wp:posOffset>
            </wp:positionV>
            <wp:extent cx="7254240" cy="762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3917" w:lineRule="exact"/>
        <w:rPr>
          <w:sz w:val="20"/>
          <w:szCs w:val="20"/>
          <w:color w:val="auto"/>
        </w:rPr>
      </w:pPr>
    </w:p>
    <w:p>
      <w:pPr>
        <w:sectPr>
          <w:pgSz w:w="11900" w:h="16838" w:orient="portrait"/>
          <w:cols w:equalWidth="0" w:num="2">
            <w:col w:w="2684" w:space="280"/>
            <w:col w:w="8460"/>
          </w:cols>
          <w:pgMar w:left="336" w:top="110" w:right="139" w:bottom="1440" w:gutter="0" w:footer="0" w:header="0"/>
          <w:type w:val="continuous"/>
        </w:sectPr>
      </w:pPr>
    </w:p>
    <w:p>
      <w:pPr>
        <w:ind w:left="7484"/>
        <w:spacing w:after="0"/>
        <w:tabs>
          <w:tab w:leader="none" w:pos="9303"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56780" cy="2032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6780" cy="20320"/>
                    </a:xfrm>
                    <a:prstGeom prst="rect">
                      <a:avLst/>
                    </a:prstGeom>
                    <a:noFill/>
                  </pic:spPr>
                </pic:pic>
              </a:graphicData>
            </a:graphic>
          </wp:anchor>
        </w:drawing>
      </w:r>
    </w:p>
    <w:p>
      <w:pPr>
        <w:sectPr>
          <w:pgSz w:w="11900" w:h="16838" w:orient="portrait"/>
          <w:cols w:equalWidth="0" w:num="1">
            <w:col w:w="11424"/>
          </w:cols>
          <w:pgMar w:left="336" w:top="110" w:right="139" w:bottom="1440" w:gutter="0" w:footer="0" w:header="0"/>
          <w:type w:val="continuous"/>
        </w:sectPr>
      </w:pPr>
    </w:p>
    <w:bookmarkStart w:id="36" w:name="page37"/>
    <w:bookmarkEnd w:id="36"/>
    <w:p>
      <w:pPr>
        <w:ind w:left="4"/>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2056130" cy="15557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056130" cy="155575"/>
                    </a:xfrm>
                    <a:prstGeom prst="rect">
                      <a:avLst/>
                    </a:prstGeom>
                    <a:noFill/>
                  </pic:spPr>
                </pic:pic>
              </a:graphicData>
            </a:graphic>
          </wp:anchor>
        </w:drawing>
      </w:r>
    </w:p>
    <w:p>
      <w:pPr>
        <w:spacing w:after="0" w:line="232" w:lineRule="exact"/>
        <w:rPr>
          <w:sz w:val="20"/>
          <w:szCs w:val="20"/>
          <w:color w:val="auto"/>
        </w:rPr>
      </w:pPr>
    </w:p>
    <w:p>
      <w:pPr>
        <w:ind w:left="464"/>
        <w:spacing w:after="0"/>
        <w:rPr>
          <w:sz w:val="20"/>
          <w:szCs w:val="20"/>
          <w:color w:val="auto"/>
        </w:rPr>
      </w:pPr>
      <w:r>
        <w:rPr>
          <w:rFonts w:ascii="Arial" w:cs="Arial" w:eastAsia="Arial" w:hAnsi="Arial"/>
          <w:sz w:val="13"/>
          <w:szCs w:val="13"/>
          <w:b w:val="1"/>
          <w:bCs w:val="1"/>
          <w:color w:val="FFFFFE"/>
        </w:rPr>
        <w:t>PROPOSAL 1 — ELECTION OF DIRECTORS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4" w:type="dxa"/>
        <w:tblCellMar>
          <w:top w:w="0" w:type="dxa"/>
          <w:left w:w="0" w:type="dxa"/>
          <w:bottom w:w="0" w:type="dxa"/>
          <w:right w:w="0" w:type="dxa"/>
        </w:tblCellMar>
      </w:tblPr>
      <w:tr>
        <w:trPr>
          <w:trHeight w:val="290"/>
        </w:trPr>
        <w:tc>
          <w:tcPr>
            <w:tcW w:w="2820" w:type="dxa"/>
            <w:vAlign w:val="bottom"/>
            <w:tcBorders>
              <w:top w:val="single" w:sz="8" w:color="3A5575"/>
            </w:tcBorders>
            <w:shd w:val="clear" w:color="auto" w:fill="395775"/>
          </w:tcPr>
          <w:p>
            <w:pPr>
              <w:ind w:left="140"/>
              <w:spacing w:after="0"/>
              <w:rPr>
                <w:sz w:val="20"/>
                <w:szCs w:val="20"/>
                <w:color w:val="auto"/>
              </w:rPr>
            </w:pPr>
            <w:r>
              <w:rPr>
                <w:rFonts w:ascii="Arial" w:cs="Arial" w:eastAsia="Arial" w:hAnsi="Arial"/>
                <w:sz w:val="20"/>
                <w:szCs w:val="20"/>
                <w:b w:val="1"/>
                <w:bCs w:val="1"/>
                <w:color w:val="FFFFFE"/>
              </w:rPr>
              <w:t>Roy A. Herberger, Jr., Ph.D.</w:t>
            </w:r>
          </w:p>
        </w:tc>
        <w:tc>
          <w:tcPr>
            <w:tcW w:w="140" w:type="dxa"/>
            <w:vAlign w:val="bottom"/>
            <w:tcBorders>
              <w:top w:val="single" w:sz="8" w:color="3A5575"/>
            </w:tcBorders>
          </w:tcPr>
          <w:p>
            <w:pPr>
              <w:spacing w:after="0"/>
              <w:rPr>
                <w:sz w:val="24"/>
                <w:szCs w:val="24"/>
                <w:color w:val="auto"/>
              </w:rPr>
            </w:pPr>
          </w:p>
        </w:tc>
        <w:tc>
          <w:tcPr>
            <w:tcW w:w="8460" w:type="dxa"/>
            <w:vAlign w:val="bottom"/>
            <w:tcBorders>
              <w:top w:val="single" w:sz="8" w:color="3A5575"/>
            </w:tcBorders>
          </w:tcPr>
          <w:p>
            <w:pPr>
              <w:spacing w:after="0"/>
              <w:rPr>
                <w:sz w:val="20"/>
                <w:szCs w:val="20"/>
                <w:color w:val="auto"/>
              </w:rPr>
            </w:pPr>
            <w:r>
              <w:rPr>
                <w:rFonts w:ascii="Arial" w:cs="Arial" w:eastAsia="Arial" w:hAnsi="Arial"/>
                <w:sz w:val="20"/>
                <w:szCs w:val="20"/>
                <w:b w:val="1"/>
                <w:bCs w:val="1"/>
                <w:color w:val="3A5575"/>
              </w:rPr>
              <w:t>BACKGROUND</w:t>
            </w:r>
          </w:p>
        </w:tc>
        <w:tc>
          <w:tcPr>
            <w:tcW w:w="0" w:type="dxa"/>
            <w:vAlign w:val="bottom"/>
          </w:tcPr>
          <w:p>
            <w:pPr>
              <w:spacing w:after="0"/>
              <w:rPr>
                <w:sz w:val="1"/>
                <w:szCs w:val="1"/>
                <w:color w:val="auto"/>
              </w:rPr>
            </w:pPr>
          </w:p>
        </w:tc>
      </w:tr>
      <w:tr>
        <w:trPr>
          <w:trHeight w:val="139"/>
        </w:trPr>
        <w:tc>
          <w:tcPr>
            <w:tcW w:w="2820" w:type="dxa"/>
            <w:vAlign w:val="bottom"/>
            <w:tcBorders>
              <w:bottom w:val="single" w:sz="8" w:color="395775"/>
            </w:tcBorders>
            <w:shd w:val="clear" w:color="auto" w:fill="395775"/>
          </w:tcPr>
          <w:p>
            <w:pPr>
              <w:spacing w:after="0"/>
              <w:rPr>
                <w:sz w:val="12"/>
                <w:szCs w:val="12"/>
                <w:color w:val="auto"/>
              </w:rPr>
            </w:pPr>
          </w:p>
        </w:tc>
        <w:tc>
          <w:tcPr>
            <w:tcW w:w="140" w:type="dxa"/>
            <w:vAlign w:val="bottom"/>
          </w:tcPr>
          <w:p>
            <w:pPr>
              <w:spacing w:after="0"/>
              <w:rPr>
                <w:sz w:val="12"/>
                <w:szCs w:val="12"/>
                <w:color w:val="auto"/>
              </w:rPr>
            </w:pPr>
          </w:p>
        </w:tc>
        <w:tc>
          <w:tcPr>
            <w:tcW w:w="846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90"/>
        </w:trPr>
        <w:tc>
          <w:tcPr>
            <w:tcW w:w="2820" w:type="dxa"/>
            <w:vAlign w:val="bottom"/>
            <w:shd w:val="clear" w:color="auto" w:fill="395775"/>
          </w:tcPr>
          <w:p>
            <w:pPr>
              <w:spacing w:after="0"/>
              <w:rPr>
                <w:sz w:val="7"/>
                <w:szCs w:val="7"/>
                <w:color w:val="auto"/>
              </w:rPr>
            </w:pPr>
          </w:p>
        </w:tc>
        <w:tc>
          <w:tcPr>
            <w:tcW w:w="140" w:type="dxa"/>
            <w:vAlign w:val="bottom"/>
            <w:vMerge w:val="restart"/>
          </w:tcPr>
          <w:p>
            <w:pPr>
              <w:spacing w:after="0"/>
              <w:rPr>
                <w:sz w:val="7"/>
                <w:szCs w:val="7"/>
                <w:color w:val="auto"/>
              </w:rPr>
            </w:pPr>
          </w:p>
        </w:tc>
        <w:tc>
          <w:tcPr>
            <w:tcW w:w="8460" w:type="dxa"/>
            <w:vAlign w:val="bottom"/>
            <w:vMerge w:val="restart"/>
          </w:tcPr>
          <w:p>
            <w:pPr>
              <w:spacing w:after="0"/>
              <w:rPr>
                <w:sz w:val="20"/>
                <w:szCs w:val="20"/>
                <w:color w:val="auto"/>
              </w:rPr>
            </w:pPr>
            <w:r>
              <w:rPr>
                <w:rFonts w:ascii="Arial" w:cs="Arial" w:eastAsia="Arial" w:hAnsi="Arial"/>
                <w:sz w:val="20"/>
                <w:szCs w:val="20"/>
                <w:color w:val="auto"/>
                <w:w w:val="99"/>
              </w:rPr>
              <w:t>Dr. Herberger is President Emeritus of the Thunderbird School of Global Management (graduate</w:t>
            </w:r>
          </w:p>
        </w:tc>
        <w:tc>
          <w:tcPr>
            <w:tcW w:w="0" w:type="dxa"/>
            <w:vAlign w:val="bottom"/>
          </w:tcPr>
          <w:p>
            <w:pPr>
              <w:spacing w:after="0"/>
              <w:rPr>
                <w:sz w:val="1"/>
                <w:szCs w:val="1"/>
                <w:color w:val="auto"/>
              </w:rPr>
            </w:pPr>
          </w:p>
        </w:tc>
      </w:tr>
      <w:tr>
        <w:trPr>
          <w:trHeight w:val="191"/>
        </w:trPr>
        <w:tc>
          <w:tcPr>
            <w:tcW w:w="2820" w:type="dxa"/>
            <w:vAlign w:val="bottom"/>
          </w:tcPr>
          <w:p>
            <w:pPr>
              <w:spacing w:after="0"/>
              <w:rPr>
                <w:sz w:val="16"/>
                <w:szCs w:val="16"/>
                <w:color w:val="auto"/>
              </w:rPr>
            </w:pPr>
          </w:p>
        </w:tc>
        <w:tc>
          <w:tcPr>
            <w:tcW w:w="140" w:type="dxa"/>
            <w:vAlign w:val="bottom"/>
            <w:vMerge w:val="continue"/>
          </w:tcPr>
          <w:p>
            <w:pPr>
              <w:spacing w:after="0"/>
              <w:rPr>
                <w:sz w:val="16"/>
                <w:szCs w:val="16"/>
                <w:color w:val="auto"/>
              </w:rPr>
            </w:pPr>
          </w:p>
        </w:tc>
        <w:tc>
          <w:tcPr>
            <w:tcW w:w="84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2820" w:type="dxa"/>
            <w:vAlign w:val="bottom"/>
          </w:tcPr>
          <w:p>
            <w:pPr>
              <w:spacing w:after="0" w:line="221" w:lineRule="exact"/>
              <w:rPr>
                <w:sz w:val="20"/>
                <w:szCs w:val="20"/>
                <w:color w:val="auto"/>
              </w:rPr>
            </w:pPr>
            <w:r>
              <w:rPr>
                <w:rFonts w:ascii="Arial" w:cs="Arial" w:eastAsia="Arial" w:hAnsi="Arial"/>
                <w:sz w:val="20"/>
                <w:szCs w:val="20"/>
                <w:color w:val="auto"/>
              </w:rPr>
              <w:t>Age 73</w:t>
            </w:r>
          </w:p>
        </w:tc>
        <w:tc>
          <w:tcPr>
            <w:tcW w:w="140" w:type="dxa"/>
            <w:vAlign w:val="bottom"/>
          </w:tcPr>
          <w:p>
            <w:pPr>
              <w:spacing w:after="0"/>
              <w:rPr>
                <w:sz w:val="19"/>
                <w:szCs w:val="19"/>
                <w:color w:val="auto"/>
              </w:rPr>
            </w:pPr>
          </w:p>
        </w:tc>
        <w:tc>
          <w:tcPr>
            <w:tcW w:w="8460" w:type="dxa"/>
            <w:vAlign w:val="bottom"/>
          </w:tcPr>
          <w:p>
            <w:pPr>
              <w:spacing w:after="0" w:line="221" w:lineRule="exact"/>
              <w:rPr>
                <w:sz w:val="20"/>
                <w:szCs w:val="20"/>
                <w:color w:val="auto"/>
              </w:rPr>
            </w:pPr>
            <w:r>
              <w:rPr>
                <w:rFonts w:ascii="Arial" w:cs="Arial" w:eastAsia="Arial" w:hAnsi="Arial"/>
                <w:sz w:val="20"/>
                <w:szCs w:val="20"/>
                <w:color w:val="auto"/>
              </w:rPr>
              <w:t>management school) ("Thunderbird"). He has held this position since November 2004.</w:t>
            </w:r>
          </w:p>
        </w:tc>
        <w:tc>
          <w:tcPr>
            <w:tcW w:w="0" w:type="dxa"/>
            <w:vAlign w:val="bottom"/>
          </w:tcPr>
          <w:p>
            <w:pPr>
              <w:spacing w:after="0"/>
              <w:rPr>
                <w:sz w:val="1"/>
                <w:szCs w:val="1"/>
                <w:color w:val="auto"/>
              </w:rPr>
            </w:pPr>
          </w:p>
        </w:tc>
      </w:tr>
      <w:tr>
        <w:trPr>
          <w:trHeight w:val="221"/>
        </w:trPr>
        <w:tc>
          <w:tcPr>
            <w:tcW w:w="2820" w:type="dxa"/>
            <w:vAlign w:val="bottom"/>
            <w:vMerge w:val="restart"/>
          </w:tcPr>
          <w:p>
            <w:pPr>
              <w:spacing w:after="0"/>
              <w:rPr>
                <w:sz w:val="20"/>
                <w:szCs w:val="20"/>
                <w:color w:val="auto"/>
              </w:rPr>
            </w:pPr>
            <w:r>
              <w:rPr>
                <w:rFonts w:ascii="Arial" w:cs="Arial" w:eastAsia="Arial" w:hAnsi="Arial"/>
                <w:sz w:val="20"/>
                <w:szCs w:val="20"/>
                <w:color w:val="auto"/>
              </w:rPr>
              <w:t>Director since 1992</w:t>
            </w:r>
          </w:p>
        </w:tc>
        <w:tc>
          <w:tcPr>
            <w:tcW w:w="140" w:type="dxa"/>
            <w:vAlign w:val="bottom"/>
          </w:tcPr>
          <w:p>
            <w:pPr>
              <w:spacing w:after="0"/>
              <w:rPr>
                <w:sz w:val="19"/>
                <w:szCs w:val="19"/>
                <w:color w:val="auto"/>
              </w:rPr>
            </w:pPr>
          </w:p>
        </w:tc>
        <w:tc>
          <w:tcPr>
            <w:tcW w:w="8460" w:type="dxa"/>
            <w:vAlign w:val="bottom"/>
          </w:tcPr>
          <w:p>
            <w:pPr>
              <w:spacing w:after="0" w:line="221" w:lineRule="exact"/>
              <w:rPr>
                <w:sz w:val="20"/>
                <w:szCs w:val="20"/>
                <w:color w:val="auto"/>
              </w:rPr>
            </w:pPr>
            <w:r>
              <w:rPr>
                <w:rFonts w:ascii="Arial" w:cs="Arial" w:eastAsia="Arial" w:hAnsi="Arial"/>
                <w:sz w:val="20"/>
                <w:szCs w:val="20"/>
                <w:color w:val="auto"/>
                <w:w w:val="98"/>
              </w:rPr>
              <w:t>Dr. Herberger was President of Thunderbird from 1989 until August 2004. Dr. Herberger is also a</w:t>
            </w:r>
          </w:p>
        </w:tc>
        <w:tc>
          <w:tcPr>
            <w:tcW w:w="0" w:type="dxa"/>
            <w:vAlign w:val="bottom"/>
          </w:tcPr>
          <w:p>
            <w:pPr>
              <w:spacing w:after="0"/>
              <w:rPr>
                <w:sz w:val="1"/>
                <w:szCs w:val="1"/>
                <w:color w:val="auto"/>
              </w:rPr>
            </w:pPr>
          </w:p>
        </w:tc>
      </w:tr>
      <w:tr>
        <w:trPr>
          <w:trHeight w:val="264"/>
        </w:trPr>
        <w:tc>
          <w:tcPr>
            <w:tcW w:w="2820" w:type="dxa"/>
            <w:vAlign w:val="bottom"/>
            <w:vMerge w:val="continue"/>
          </w:tcPr>
          <w:p>
            <w:pPr>
              <w:spacing w:after="0"/>
              <w:rPr>
                <w:sz w:val="22"/>
                <w:szCs w:val="22"/>
                <w:color w:val="auto"/>
              </w:rPr>
            </w:pPr>
          </w:p>
        </w:tc>
        <w:tc>
          <w:tcPr>
            <w:tcW w:w="140" w:type="dxa"/>
            <w:vAlign w:val="bottom"/>
          </w:tcPr>
          <w:p>
            <w:pPr>
              <w:spacing w:after="0"/>
              <w:rPr>
                <w:sz w:val="22"/>
                <w:szCs w:val="22"/>
                <w:color w:val="auto"/>
              </w:rPr>
            </w:pPr>
          </w:p>
        </w:tc>
        <w:tc>
          <w:tcPr>
            <w:tcW w:w="8460" w:type="dxa"/>
            <w:vAlign w:val="bottom"/>
          </w:tcPr>
          <w:p>
            <w:pPr>
              <w:spacing w:after="0"/>
              <w:rPr>
                <w:sz w:val="20"/>
                <w:szCs w:val="20"/>
                <w:color w:val="auto"/>
              </w:rPr>
            </w:pPr>
            <w:r>
              <w:rPr>
                <w:rFonts w:ascii="Arial" w:cs="Arial" w:eastAsia="Arial" w:hAnsi="Arial"/>
                <w:sz w:val="20"/>
                <w:szCs w:val="20"/>
                <w:color w:val="auto"/>
              </w:rPr>
              <w:t>director of the Apollo Education Group, Inc. ("Apollo Group") and a Trustee for the Mayo Clinic.</w:t>
            </w:r>
          </w:p>
        </w:tc>
        <w:tc>
          <w:tcPr>
            <w:tcW w:w="0" w:type="dxa"/>
            <w:vAlign w:val="bottom"/>
          </w:tcPr>
          <w:p>
            <w:pPr>
              <w:spacing w:after="0"/>
              <w:rPr>
                <w:sz w:val="1"/>
                <w:szCs w:val="1"/>
                <w:color w:val="auto"/>
              </w:rPr>
            </w:pPr>
          </w:p>
        </w:tc>
      </w:tr>
    </w:tbl>
    <w:p>
      <w:pPr>
        <w:spacing w:after="0" w:line="149" w:lineRule="exact"/>
        <w:rPr>
          <w:sz w:val="20"/>
          <w:szCs w:val="20"/>
          <w:color w:val="auto"/>
        </w:rPr>
      </w:pPr>
    </w:p>
    <w:p>
      <w:pPr>
        <w:sectPr>
          <w:pgSz w:w="11900" w:h="16838" w:orient="portrait"/>
          <w:cols w:equalWidth="0" w:num="1">
            <w:col w:w="11424"/>
          </w:cols>
          <w:pgMar w:left="336" w:top="110" w:right="139" w:bottom="1440" w:gutter="0" w:footer="0" w:header="0"/>
        </w:sectPr>
      </w:pPr>
    </w:p>
    <w:p>
      <w:pPr>
        <w:ind w:left="4"/>
        <w:spacing w:after="0"/>
        <w:rPr>
          <w:sz w:val="20"/>
          <w:szCs w:val="20"/>
          <w:color w:val="auto"/>
        </w:rPr>
      </w:pPr>
      <w:r>
        <w:rPr>
          <w:rFonts w:ascii="Arial" w:cs="Arial" w:eastAsia="Arial" w:hAnsi="Arial"/>
          <w:sz w:val="20"/>
          <w:szCs w:val="20"/>
          <w:b w:val="1"/>
          <w:bCs w:val="1"/>
          <w:color w:val="3A5575"/>
        </w:rPr>
        <w:t>Committees</w:t>
      </w:r>
    </w:p>
    <w:p>
      <w:pPr>
        <w:spacing w:after="0" w:line="191" w:lineRule="exact"/>
        <w:rPr>
          <w:sz w:val="20"/>
          <w:szCs w:val="20"/>
          <w:color w:val="auto"/>
        </w:rPr>
      </w:pPr>
    </w:p>
    <w:p>
      <w:pPr>
        <w:ind w:left="204" w:hanging="204"/>
        <w:spacing w:after="0"/>
        <w:tabs>
          <w:tab w:leader="none" w:pos="204" w:val="left"/>
        </w:tabs>
        <w:numPr>
          <w:ilvl w:val="0"/>
          <w:numId w:val="42"/>
        </w:numPr>
        <w:rPr>
          <w:rFonts w:ascii="Arial" w:cs="Arial" w:eastAsia="Arial" w:hAnsi="Arial"/>
          <w:sz w:val="19"/>
          <w:szCs w:val="19"/>
          <w:color w:val="3A5575"/>
        </w:rPr>
      </w:pPr>
      <w:r>
        <w:rPr>
          <w:rFonts w:ascii="Arial" w:cs="Arial" w:eastAsia="Arial" w:hAnsi="Arial"/>
          <w:sz w:val="19"/>
          <w:szCs w:val="19"/>
          <w:color w:val="auto"/>
        </w:rPr>
        <w:t>Human Resources (Chair)</w:t>
      </w:r>
    </w:p>
    <w:p>
      <w:pPr>
        <w:spacing w:after="0" w:line="186" w:lineRule="exact"/>
        <w:rPr>
          <w:rFonts w:ascii="Arial" w:cs="Arial" w:eastAsia="Arial" w:hAnsi="Arial"/>
          <w:sz w:val="19"/>
          <w:szCs w:val="19"/>
          <w:color w:val="3A5575"/>
        </w:rPr>
      </w:pPr>
    </w:p>
    <w:p>
      <w:pPr>
        <w:ind w:left="204" w:hanging="204"/>
        <w:spacing w:after="0"/>
        <w:tabs>
          <w:tab w:leader="none" w:pos="204" w:val="left"/>
        </w:tabs>
        <w:numPr>
          <w:ilvl w:val="0"/>
          <w:numId w:val="42"/>
        </w:numPr>
        <w:rPr>
          <w:rFonts w:ascii="Arial" w:cs="Arial" w:eastAsia="Arial" w:hAnsi="Arial"/>
          <w:sz w:val="20"/>
          <w:szCs w:val="20"/>
          <w:color w:val="3A5575"/>
        </w:rPr>
      </w:pPr>
      <w:r>
        <w:rPr>
          <w:rFonts w:ascii="Arial" w:cs="Arial" w:eastAsia="Arial" w:hAnsi="Arial"/>
          <w:sz w:val="20"/>
          <w:szCs w:val="20"/>
          <w:color w:val="auto"/>
        </w:rPr>
        <w:t>Corporate Governance</w:t>
      </w:r>
    </w:p>
    <w:p>
      <w:pPr>
        <w:spacing w:after="0" w:line="174" w:lineRule="exact"/>
        <w:rPr>
          <w:rFonts w:ascii="Arial" w:cs="Arial" w:eastAsia="Arial" w:hAnsi="Arial"/>
          <w:sz w:val="20"/>
          <w:szCs w:val="20"/>
          <w:color w:val="3A5575"/>
        </w:rPr>
      </w:pPr>
    </w:p>
    <w:p>
      <w:pPr>
        <w:ind w:left="204" w:hanging="204"/>
        <w:spacing w:after="0"/>
        <w:tabs>
          <w:tab w:leader="none" w:pos="204" w:val="left"/>
        </w:tabs>
        <w:numPr>
          <w:ilvl w:val="0"/>
          <w:numId w:val="42"/>
        </w:numPr>
        <w:rPr>
          <w:rFonts w:ascii="Arial" w:cs="Arial" w:eastAsia="Arial" w:hAnsi="Arial"/>
          <w:sz w:val="20"/>
          <w:szCs w:val="20"/>
          <w:color w:val="3A5575"/>
        </w:rPr>
      </w:pPr>
      <w:r>
        <w:rPr>
          <w:rFonts w:ascii="Arial" w:cs="Arial" w:eastAsia="Arial" w:hAnsi="Arial"/>
          <w:sz w:val="20"/>
          <w:szCs w:val="20"/>
          <w:color w:val="auto"/>
        </w:rPr>
        <w:t>Finance</w:t>
      </w:r>
    </w:p>
    <w:p>
      <w:pPr>
        <w:spacing w:after="0" w:line="208" w:lineRule="exact"/>
        <w:rPr>
          <w:sz w:val="20"/>
          <w:szCs w:val="20"/>
          <w:color w:val="auto"/>
        </w:rPr>
      </w:pPr>
    </w:p>
    <w:p>
      <w:pPr>
        <w:ind w:left="4"/>
        <w:spacing w:after="0"/>
        <w:rPr>
          <w:sz w:val="20"/>
          <w:szCs w:val="20"/>
          <w:color w:val="auto"/>
        </w:rPr>
      </w:pPr>
      <w:r>
        <w:rPr>
          <w:rFonts w:ascii="Arial" w:cs="Arial" w:eastAsia="Arial" w:hAnsi="Arial"/>
          <w:sz w:val="19"/>
          <w:szCs w:val="19"/>
          <w:b w:val="1"/>
          <w:bCs w:val="1"/>
          <w:color w:val="3A5575"/>
        </w:rPr>
        <w:t>INDEPENDENT DIRECTOR</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40"/>
        <w:spacing w:after="0" w:line="237" w:lineRule="auto"/>
        <w:rPr>
          <w:sz w:val="20"/>
          <w:szCs w:val="20"/>
          <w:color w:val="auto"/>
        </w:rPr>
      </w:pPr>
      <w:r>
        <w:rPr>
          <w:rFonts w:ascii="Arial" w:cs="Arial" w:eastAsia="Arial" w:hAnsi="Arial"/>
          <w:sz w:val="20"/>
          <w:szCs w:val="20"/>
          <w:color w:val="auto"/>
        </w:rPr>
        <w:t>Dr. Herberger has both management experience and a strong understanding of business and economic trends. He also has extensive corporate board service, which aids in his contributions to the Company's Board. Dr. Herberger's service as the Lead Director and Chair of the Compensation Committee of the Apollo Group, a Fortune 500 company, and his service as a Trustee for the Mayo Clinic, contributes to the strength of the Company's governance and human resources processes.</w:t>
      </w:r>
    </w:p>
    <w:p>
      <w:pPr>
        <w:spacing w:after="0" w:line="198" w:lineRule="exact"/>
        <w:rPr>
          <w:sz w:val="20"/>
          <w:szCs w:val="20"/>
          <w:color w:val="auto"/>
        </w:rPr>
      </w:pPr>
    </w:p>
    <w:p>
      <w:pPr>
        <w:sectPr>
          <w:pgSz w:w="11900" w:h="16838" w:orient="portrait"/>
          <w:cols w:equalWidth="0" w:num="2">
            <w:col w:w="2484" w:space="480"/>
            <w:col w:w="8460"/>
          </w:cols>
          <w:pgMar w:left="336" w:top="110" w:right="139" w:bottom="1440" w:gutter="0" w:footer="0" w:header="0"/>
          <w:type w:val="continuous"/>
        </w:sectPr>
      </w:pPr>
    </w:p>
    <w:p>
      <w:pPr>
        <w:ind w:left="4"/>
        <w:spacing w:after="0"/>
        <w:rPr>
          <w:sz w:val="20"/>
          <w:szCs w:val="20"/>
          <w:color w:val="auto"/>
        </w:rPr>
      </w:pPr>
      <w:r>
        <w:rPr>
          <w:rFonts w:ascii="Arial" w:cs="Arial" w:eastAsia="Arial" w:hAnsi="Arial"/>
          <w:sz w:val="16"/>
          <w:szCs w:val="16"/>
          <w:i w:val="1"/>
          <w:iCs w:val="1"/>
          <w:color w:val="3A5575"/>
        </w:rPr>
        <w:t>As the former President of Thunderbird,</w:t>
      </w:r>
    </w:p>
    <w:p>
      <w:pPr>
        <w:spacing w:after="0" w:line="18" w:lineRule="exact"/>
        <w:rPr>
          <w:sz w:val="20"/>
          <w:szCs w:val="20"/>
          <w:color w:val="auto"/>
        </w:rPr>
      </w:pPr>
    </w:p>
    <w:p>
      <w:pPr>
        <w:ind w:left="4"/>
        <w:spacing w:after="0"/>
        <w:rPr>
          <w:sz w:val="20"/>
          <w:szCs w:val="20"/>
          <w:color w:val="auto"/>
        </w:rPr>
      </w:pPr>
      <w:r>
        <w:rPr>
          <w:rFonts w:ascii="Arial" w:cs="Arial" w:eastAsia="Arial" w:hAnsi="Arial"/>
          <w:sz w:val="16"/>
          <w:szCs w:val="16"/>
          <w:i w:val="1"/>
          <w:iCs w:val="1"/>
          <w:color w:val="3A5575"/>
        </w:rPr>
        <w:t>a graduate school of global</w:t>
      </w:r>
    </w:p>
    <w:p>
      <w:pPr>
        <w:ind w:left="4"/>
        <w:spacing w:after="0"/>
        <w:rPr>
          <w:sz w:val="20"/>
          <w:szCs w:val="20"/>
          <w:color w:val="auto"/>
        </w:rPr>
      </w:pPr>
      <w:r>
        <w:rPr>
          <w:rFonts w:ascii="Arial" w:cs="Arial" w:eastAsia="Arial" w:hAnsi="Arial"/>
          <w:sz w:val="16"/>
          <w:szCs w:val="16"/>
          <w:i w:val="1"/>
          <w:iCs w:val="1"/>
          <w:color w:val="3A5575"/>
        </w:rPr>
        <w:t>management, Dr. Herberger brings the</w:t>
      </w:r>
    </w:p>
    <w:p>
      <w:pPr>
        <w:ind w:left="4"/>
        <w:spacing w:after="0"/>
        <w:rPr>
          <w:sz w:val="20"/>
          <w:szCs w:val="20"/>
          <w:color w:val="auto"/>
        </w:rPr>
      </w:pPr>
      <w:r>
        <w:rPr>
          <w:rFonts w:ascii="Arial" w:cs="Arial" w:eastAsia="Arial" w:hAnsi="Arial"/>
          <w:sz w:val="16"/>
          <w:szCs w:val="16"/>
          <w:i w:val="1"/>
          <w:iCs w:val="1"/>
          <w:color w:val="3A5575"/>
        </w:rPr>
        <w:t>following key attributes to the</w:t>
      </w:r>
    </w:p>
    <w:p>
      <w:pPr>
        <w:ind w:left="4"/>
        <w:spacing w:after="0"/>
        <w:rPr>
          <w:sz w:val="20"/>
          <w:szCs w:val="20"/>
          <w:color w:val="auto"/>
        </w:rPr>
      </w:pPr>
      <w:r>
        <w:rPr>
          <w:rFonts w:ascii="Arial" w:cs="Arial" w:eastAsia="Arial" w:hAnsi="Arial"/>
          <w:sz w:val="16"/>
          <w:szCs w:val="16"/>
          <w:i w:val="1"/>
          <w:iCs w:val="1"/>
          <w:color w:val="3A5575"/>
        </w:rPr>
        <w:t>Company:</w:t>
      </w:r>
    </w:p>
    <w:p>
      <w:pPr>
        <w:spacing w:after="0" w:line="166" w:lineRule="exact"/>
        <w:rPr>
          <w:sz w:val="20"/>
          <w:szCs w:val="20"/>
          <w:color w:val="auto"/>
        </w:rPr>
      </w:pPr>
    </w:p>
    <w:p>
      <w:pPr>
        <w:ind w:left="204" w:hanging="204"/>
        <w:spacing w:after="0"/>
        <w:tabs>
          <w:tab w:leader="none" w:pos="204" w:val="left"/>
        </w:tabs>
        <w:numPr>
          <w:ilvl w:val="0"/>
          <w:numId w:val="43"/>
        </w:numPr>
        <w:rPr>
          <w:rFonts w:ascii="Arial" w:cs="Arial" w:eastAsia="Arial" w:hAnsi="Arial"/>
          <w:sz w:val="16"/>
          <w:szCs w:val="16"/>
          <w:i w:val="1"/>
          <w:iCs w:val="1"/>
          <w:color w:val="3A5575"/>
        </w:rPr>
      </w:pPr>
      <w:r>
        <w:rPr>
          <w:rFonts w:ascii="Arial" w:cs="Arial" w:eastAsia="Arial" w:hAnsi="Arial"/>
          <w:sz w:val="16"/>
          <w:szCs w:val="16"/>
          <w:i w:val="1"/>
          <w:iCs w:val="1"/>
          <w:color w:val="3A5575"/>
        </w:rPr>
        <w:t>Leadership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3"/>
        </w:numPr>
        <w:rPr>
          <w:rFonts w:ascii="Arial" w:cs="Arial" w:eastAsia="Arial" w:hAnsi="Arial"/>
          <w:sz w:val="16"/>
          <w:szCs w:val="16"/>
          <w:i w:val="1"/>
          <w:iCs w:val="1"/>
          <w:color w:val="3A5575"/>
        </w:rPr>
      </w:pPr>
      <w:r>
        <w:rPr>
          <w:rFonts w:ascii="Arial" w:cs="Arial" w:eastAsia="Arial" w:hAnsi="Arial"/>
          <w:sz w:val="16"/>
          <w:szCs w:val="16"/>
          <w:i w:val="1"/>
          <w:iCs w:val="1"/>
          <w:color w:val="3A5575"/>
        </w:rPr>
        <w:t>Complex operations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3"/>
        </w:numPr>
        <w:rPr>
          <w:rFonts w:ascii="Arial" w:cs="Arial" w:eastAsia="Arial" w:hAnsi="Arial"/>
          <w:sz w:val="16"/>
          <w:szCs w:val="16"/>
          <w:i w:val="1"/>
          <w:iCs w:val="1"/>
          <w:color w:val="3A5575"/>
        </w:rPr>
      </w:pPr>
      <w:r>
        <w:rPr>
          <w:rFonts w:ascii="Arial" w:cs="Arial" w:eastAsia="Arial" w:hAnsi="Arial"/>
          <w:sz w:val="16"/>
          <w:szCs w:val="16"/>
          <w:i w:val="1"/>
          <w:iCs w:val="1"/>
          <w:color w:val="3A5575"/>
        </w:rPr>
        <w:t>Marketing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9525</wp:posOffset>
            </wp:positionV>
            <wp:extent cx="7254240" cy="762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right"/>
        <w:ind w:right="7020"/>
        <w:spacing w:after="0"/>
        <w:tabs>
          <w:tab w:leader="none" w:pos="1420" w:val="left"/>
        </w:tabs>
        <w:rPr>
          <w:sz w:val="20"/>
          <w:szCs w:val="20"/>
          <w:color w:val="auto"/>
        </w:rPr>
      </w:pPr>
      <w:r>
        <w:rPr>
          <w:rFonts w:ascii="Arial" w:cs="Arial" w:eastAsia="Arial" w:hAnsi="Arial"/>
          <w:sz w:val="20"/>
          <w:szCs w:val="20"/>
          <w:b w:val="1"/>
          <w:bCs w:val="1"/>
          <w:color w:val="FFFFFE"/>
        </w:rPr>
        <w:t>Dale E. Klein, Ph.D.</w:t>
      </w:r>
      <w:r>
        <w:rPr>
          <w:sz w:val="20"/>
          <w:szCs w:val="20"/>
          <w:color w:val="auto"/>
        </w:rPr>
        <w:tab/>
      </w:r>
      <w:r>
        <w:rPr>
          <w:rFonts w:ascii="Arial" w:cs="Arial" w:eastAsia="Arial" w:hAnsi="Arial"/>
          <w:sz w:val="19"/>
          <w:szCs w:val="19"/>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-131445</wp:posOffset>
            </wp:positionV>
            <wp:extent cx="7254240" cy="3429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54240" cy="342900"/>
                    </a:xfrm>
                    <a:prstGeom prst="rect">
                      <a:avLst/>
                    </a:prstGeom>
                    <a:noFill/>
                  </pic:spPr>
                </pic:pic>
              </a:graphicData>
            </a:graphic>
          </wp:anchor>
        </w:drawing>
      </w:r>
    </w:p>
    <w:p>
      <w:pPr>
        <w:sectPr>
          <w:pgSz w:w="11900" w:h="16838" w:orient="portrait"/>
          <w:cols w:equalWidth="0" w:num="1">
            <w:col w:w="11424"/>
          </w:cols>
          <w:pgMar w:left="336" w:top="110" w:right="139" w:bottom="1440" w:gutter="0" w:footer="0" w:header="0"/>
          <w:type w:val="continuous"/>
        </w:sectPr>
      </w:pPr>
    </w:p>
    <w:p>
      <w:pPr>
        <w:spacing w:after="0" w:line="200" w:lineRule="exact"/>
        <w:rPr>
          <w:sz w:val="20"/>
          <w:szCs w:val="20"/>
          <w:color w:val="auto"/>
        </w:rPr>
      </w:pPr>
    </w:p>
    <w:p>
      <w:pPr>
        <w:spacing w:after="0" w:line="310" w:lineRule="exact"/>
        <w:rPr>
          <w:sz w:val="20"/>
          <w:szCs w:val="20"/>
          <w:color w:val="auto"/>
        </w:rPr>
      </w:pPr>
    </w:p>
    <w:p>
      <w:pPr>
        <w:ind w:left="4"/>
        <w:spacing w:after="0"/>
        <w:rPr>
          <w:sz w:val="20"/>
          <w:szCs w:val="20"/>
          <w:color w:val="auto"/>
        </w:rPr>
      </w:pPr>
      <w:r>
        <w:rPr>
          <w:rFonts w:ascii="Arial" w:cs="Arial" w:eastAsia="Arial" w:hAnsi="Arial"/>
          <w:sz w:val="20"/>
          <w:szCs w:val="20"/>
          <w:color w:val="auto"/>
        </w:rPr>
        <w:t>Age 68</w:t>
      </w:r>
    </w:p>
    <w:p>
      <w:pPr>
        <w:spacing w:after="0" w:line="199" w:lineRule="exact"/>
        <w:rPr>
          <w:sz w:val="20"/>
          <w:szCs w:val="20"/>
          <w:color w:val="auto"/>
        </w:rPr>
      </w:pPr>
    </w:p>
    <w:p>
      <w:pPr>
        <w:ind w:left="4"/>
        <w:spacing w:after="0"/>
        <w:rPr>
          <w:sz w:val="20"/>
          <w:szCs w:val="20"/>
          <w:color w:val="auto"/>
        </w:rPr>
      </w:pPr>
      <w:r>
        <w:rPr>
          <w:rFonts w:ascii="Arial" w:cs="Arial" w:eastAsia="Arial" w:hAnsi="Arial"/>
          <w:sz w:val="20"/>
          <w:szCs w:val="20"/>
          <w:color w:val="auto"/>
        </w:rPr>
        <w:t>Director since 2010</w:t>
      </w:r>
    </w:p>
    <w:p>
      <w:pPr>
        <w:spacing w:after="0" w:line="208"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Committees</w:t>
      </w:r>
    </w:p>
    <w:p>
      <w:pPr>
        <w:spacing w:after="0" w:line="179" w:lineRule="exact"/>
        <w:rPr>
          <w:sz w:val="20"/>
          <w:szCs w:val="20"/>
          <w:color w:val="auto"/>
        </w:rPr>
      </w:pPr>
    </w:p>
    <w:p>
      <w:pPr>
        <w:ind w:left="204" w:hanging="204"/>
        <w:spacing w:after="0"/>
        <w:tabs>
          <w:tab w:leader="none" w:pos="204" w:val="left"/>
        </w:tabs>
        <w:numPr>
          <w:ilvl w:val="0"/>
          <w:numId w:val="44"/>
        </w:numPr>
        <w:rPr>
          <w:rFonts w:ascii="Arial" w:cs="Arial" w:eastAsia="Arial" w:hAnsi="Arial"/>
          <w:sz w:val="20"/>
          <w:szCs w:val="20"/>
          <w:color w:val="3A5575"/>
        </w:rPr>
      </w:pPr>
      <w:r>
        <w:rPr>
          <w:rFonts w:ascii="Arial" w:cs="Arial" w:eastAsia="Arial" w:hAnsi="Arial"/>
          <w:sz w:val="20"/>
          <w:szCs w:val="20"/>
          <w:color w:val="auto"/>
        </w:rPr>
        <w:t>Audit</w:t>
      </w:r>
    </w:p>
    <w:p>
      <w:pPr>
        <w:spacing w:after="0" w:line="174" w:lineRule="exact"/>
        <w:rPr>
          <w:rFonts w:ascii="Arial" w:cs="Arial" w:eastAsia="Arial" w:hAnsi="Arial"/>
          <w:sz w:val="20"/>
          <w:szCs w:val="20"/>
          <w:color w:val="3A5575"/>
        </w:rPr>
      </w:pPr>
    </w:p>
    <w:p>
      <w:pPr>
        <w:ind w:left="204" w:hanging="204"/>
        <w:spacing w:after="0"/>
        <w:tabs>
          <w:tab w:leader="none" w:pos="204" w:val="left"/>
        </w:tabs>
        <w:numPr>
          <w:ilvl w:val="0"/>
          <w:numId w:val="44"/>
        </w:numPr>
        <w:rPr>
          <w:rFonts w:ascii="Arial" w:cs="Arial" w:eastAsia="Arial" w:hAnsi="Arial"/>
          <w:sz w:val="20"/>
          <w:szCs w:val="20"/>
          <w:color w:val="3A5575"/>
        </w:rPr>
      </w:pPr>
      <w:r>
        <w:rPr>
          <w:rFonts w:ascii="Arial" w:cs="Arial" w:eastAsia="Arial" w:hAnsi="Arial"/>
          <w:sz w:val="20"/>
          <w:szCs w:val="20"/>
          <w:color w:val="auto"/>
        </w:rPr>
        <w:t>Nuclear and Operating</w:t>
      </w:r>
    </w:p>
    <w:p>
      <w:pPr>
        <w:spacing w:after="0" w:line="208"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INDEPENDENT DIRECTOR</w:t>
      </w:r>
    </w:p>
    <w:p>
      <w:pPr>
        <w:spacing w:after="0" w:line="218" w:lineRule="exact"/>
        <w:rPr>
          <w:sz w:val="20"/>
          <w:szCs w:val="20"/>
          <w:color w:val="auto"/>
        </w:rPr>
      </w:pPr>
    </w:p>
    <w:p>
      <w:pPr>
        <w:ind w:left="4"/>
        <w:spacing w:after="0" w:line="245" w:lineRule="auto"/>
        <w:rPr>
          <w:sz w:val="20"/>
          <w:szCs w:val="20"/>
          <w:color w:val="auto"/>
        </w:rPr>
      </w:pPr>
      <w:r>
        <w:rPr>
          <w:rFonts w:ascii="Arial" w:cs="Arial" w:eastAsia="Arial" w:hAnsi="Arial"/>
          <w:sz w:val="16"/>
          <w:szCs w:val="16"/>
          <w:i w:val="1"/>
          <w:iCs w:val="1"/>
          <w:color w:val="3A5575"/>
        </w:rPr>
        <w:t>As former Chairman of the NRC, the entity that formulates policies and regulations governing nuclear reactor and materials safety, issues orders to licensees, and adjudicates legal matters brought before it, Dr. Klein brings the following key attributes to the Company:</w:t>
      </w:r>
    </w:p>
    <w:p>
      <w:pPr>
        <w:spacing w:after="0" w:line="153" w:lineRule="exact"/>
        <w:rPr>
          <w:sz w:val="20"/>
          <w:szCs w:val="20"/>
          <w:color w:val="auto"/>
        </w:rPr>
      </w:pPr>
    </w:p>
    <w:p>
      <w:pPr>
        <w:ind w:left="204" w:hanging="204"/>
        <w:spacing w:after="0"/>
        <w:tabs>
          <w:tab w:leader="none" w:pos="204" w:val="left"/>
        </w:tabs>
        <w:numPr>
          <w:ilvl w:val="0"/>
          <w:numId w:val="45"/>
        </w:numPr>
        <w:rPr>
          <w:rFonts w:ascii="Arial" w:cs="Arial" w:eastAsia="Arial" w:hAnsi="Arial"/>
          <w:sz w:val="16"/>
          <w:szCs w:val="16"/>
          <w:i w:val="1"/>
          <w:iCs w:val="1"/>
          <w:color w:val="3A5575"/>
        </w:rPr>
      </w:pPr>
      <w:r>
        <w:rPr>
          <w:rFonts w:ascii="Arial" w:cs="Arial" w:eastAsia="Arial" w:hAnsi="Arial"/>
          <w:sz w:val="16"/>
          <w:szCs w:val="16"/>
          <w:i w:val="1"/>
          <w:iCs w:val="1"/>
          <w:color w:val="3A5575"/>
        </w:rPr>
        <w:t>Regulatory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5"/>
        </w:numPr>
        <w:rPr>
          <w:rFonts w:ascii="Arial" w:cs="Arial" w:eastAsia="Arial" w:hAnsi="Arial"/>
          <w:sz w:val="16"/>
          <w:szCs w:val="16"/>
          <w:i w:val="1"/>
          <w:iCs w:val="1"/>
          <w:color w:val="3A5575"/>
        </w:rPr>
      </w:pPr>
      <w:r>
        <w:rPr>
          <w:rFonts w:ascii="Arial" w:cs="Arial" w:eastAsia="Arial" w:hAnsi="Arial"/>
          <w:sz w:val="16"/>
          <w:szCs w:val="16"/>
          <w:i w:val="1"/>
          <w:iCs w:val="1"/>
          <w:color w:val="3A5575"/>
        </w:rPr>
        <w:t>Nuclear operations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5"/>
        </w:numPr>
        <w:rPr>
          <w:rFonts w:ascii="Arial" w:cs="Arial" w:eastAsia="Arial" w:hAnsi="Arial"/>
          <w:sz w:val="16"/>
          <w:szCs w:val="16"/>
          <w:i w:val="1"/>
          <w:iCs w:val="1"/>
          <w:color w:val="3A5575"/>
        </w:rPr>
      </w:pPr>
      <w:r>
        <w:rPr>
          <w:rFonts w:ascii="Arial" w:cs="Arial" w:eastAsia="Arial" w:hAnsi="Arial"/>
          <w:sz w:val="16"/>
          <w:szCs w:val="16"/>
          <w:i w:val="1"/>
          <w:iCs w:val="1"/>
          <w:color w:val="3A5575"/>
        </w:rPr>
        <w:t>Leadership experience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188595</wp:posOffset>
            </wp:positionV>
            <wp:extent cx="841375" cy="16383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ind w:right="40"/>
        <w:spacing w:after="0" w:line="250" w:lineRule="auto"/>
        <w:rPr>
          <w:sz w:val="20"/>
          <w:szCs w:val="20"/>
          <w:color w:val="auto"/>
        </w:rPr>
      </w:pPr>
      <w:r>
        <w:rPr>
          <w:rFonts w:ascii="Arial" w:cs="Arial" w:eastAsia="Arial" w:hAnsi="Arial"/>
          <w:sz w:val="19"/>
          <w:szCs w:val="19"/>
          <w:color w:val="auto"/>
        </w:rPr>
        <w:t>Dr. Klein served as Chairman of the U.S. Nuclear Regulatory Commission from July 2006 to May 2009, and thereafter continued as a Commissioner until March 2010. He was Assistant to the Secretary of Defense for Nuclear, Chemical and Biological Defense Programs from November 2001 to July 2006. Dr. Klein is a Professor of Mechanical Engineering and Associate Director of the Energy Institute at the University of Texas at Austin. He has held these positions since April 2010. Dr. Klein is also Associate Vice Chancellor for Research at the University of Texas System. He has held this position since January 2011. He is also a director of Southern Company.</w:t>
      </w:r>
    </w:p>
    <w:p>
      <w:pPr>
        <w:spacing w:after="0" w:line="157"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80"/>
        <w:spacing w:after="0" w:line="242" w:lineRule="auto"/>
        <w:rPr>
          <w:sz w:val="20"/>
          <w:szCs w:val="20"/>
          <w:color w:val="auto"/>
        </w:rPr>
      </w:pPr>
      <w:r>
        <w:rPr>
          <w:rFonts w:ascii="Arial" w:cs="Arial" w:eastAsia="Arial" w:hAnsi="Arial"/>
          <w:sz w:val="20"/>
          <w:szCs w:val="20"/>
          <w:color w:val="auto"/>
        </w:rPr>
        <w:t>Dr. Klein brings expertise in all aspects of nuclear energy regulation, operation, technology and safety. His broad national and international experience in nuclear energy and government brings value to the Board, not only from the perspective of our operations at Palo Verde, but also as the Company and APS look at new opportunities in our evolving utility business.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1369060</wp:posOffset>
            </wp:positionV>
            <wp:extent cx="7254240" cy="762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341" w:lineRule="exact"/>
        <w:rPr>
          <w:sz w:val="20"/>
          <w:szCs w:val="20"/>
          <w:color w:val="auto"/>
        </w:rPr>
      </w:pPr>
    </w:p>
    <w:p>
      <w:pPr>
        <w:sectPr>
          <w:pgSz w:w="11900" w:h="16838" w:orient="portrait"/>
          <w:cols w:equalWidth="0" w:num="2">
            <w:col w:w="2804" w:space="160"/>
            <w:col w:w="8460"/>
          </w:cols>
          <w:pgMar w:left="336" w:top="110" w:right="139" w:bottom="1440" w:gutter="0" w:footer="0" w:header="0"/>
          <w:type w:val="continuous"/>
        </w:sectPr>
      </w:pPr>
    </w:p>
    <w:p>
      <w:pPr>
        <w:spacing w:after="0" w:line="115" w:lineRule="exact"/>
        <w:rPr>
          <w:sz w:val="20"/>
          <w:szCs w:val="20"/>
          <w:color w:val="auto"/>
        </w:rPr>
      </w:pPr>
    </w:p>
    <w:tbl>
      <w:tblPr>
        <w:tblLayout w:type="fixed"/>
        <w:tblInd w:w="4"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28</w:t>
            </w:r>
          </w:p>
        </w:tc>
        <w:tc>
          <w:tcPr>
            <w:tcW w:w="1120" w:type="dxa"/>
            <w:vAlign w:val="bottom"/>
            <w:vMerge w:val="restart"/>
          </w:tcPr>
          <w:p>
            <w:pPr>
              <w:jc w:val="right"/>
              <w:ind w:right="38"/>
              <w:spacing w:after="0"/>
              <w:rPr>
                <w:sz w:val="20"/>
                <w:szCs w:val="20"/>
                <w:color w:val="auto"/>
              </w:rPr>
            </w:pPr>
            <w:r>
              <w:rPr>
                <w:rFonts w:ascii="Arial" w:cs="Arial" w:eastAsia="Arial" w:hAnsi="Arial"/>
                <w:sz w:val="16"/>
                <w:szCs w:val="16"/>
                <w:b w:val="1"/>
                <w:bCs w:val="1"/>
                <w:color w:val="3A5575"/>
              </w:rPr>
              <w:t>|</w:t>
            </w:r>
          </w:p>
        </w:tc>
        <w:tc>
          <w:tcPr>
            <w:tcW w:w="9100" w:type="dxa"/>
            <w:vAlign w:val="bottom"/>
          </w:tcPr>
          <w:p>
            <w:pPr>
              <w:ind w:left="10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9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20" w:type="dxa"/>
            <w:vAlign w:val="bottom"/>
            <w:tcBorders>
              <w:bottom w:val="single" w:sz="8" w:color="808080"/>
            </w:tcBorders>
          </w:tcPr>
          <w:p>
            <w:pPr>
              <w:spacing w:after="0"/>
              <w:rPr>
                <w:sz w:val="11"/>
                <w:szCs w:val="11"/>
                <w:color w:val="auto"/>
              </w:rPr>
            </w:pPr>
          </w:p>
        </w:tc>
        <w:tc>
          <w:tcPr>
            <w:tcW w:w="910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5080" cy="762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4"/>
          </w:cols>
          <w:pgMar w:left="336" w:top="110" w:right="139" w:bottom="1440" w:gutter="0" w:footer="0" w:header="0"/>
          <w:type w:val="continuous"/>
        </w:sectPr>
      </w:pPr>
    </w:p>
    <w:bookmarkStart w:id="37" w:name="page38"/>
    <w:bookmarkEnd w:id="37"/>
    <w:p>
      <w:pPr>
        <w:ind w:left="4"/>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5203190</wp:posOffset>
            </wp:positionH>
            <wp:positionV relativeFrom="paragraph">
              <wp:posOffset>137795</wp:posOffset>
            </wp:positionV>
            <wp:extent cx="2051050" cy="1555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2051050" cy="155575"/>
                    </a:xfrm>
                    <a:prstGeom prst="rect">
                      <a:avLst/>
                    </a:prstGeom>
                    <a:noFill/>
                  </pic:spPr>
                </pic:pic>
              </a:graphicData>
            </a:graphic>
          </wp:anchor>
        </w:drawing>
      </w:r>
    </w:p>
    <w:p>
      <w:pPr>
        <w:spacing w:after="0" w:line="232" w:lineRule="exact"/>
        <w:rPr>
          <w:sz w:val="20"/>
          <w:szCs w:val="20"/>
          <w:color w:val="auto"/>
        </w:rPr>
      </w:pPr>
    </w:p>
    <w:p>
      <w:pPr>
        <w:jc w:val="right"/>
        <w:ind w:right="460"/>
        <w:spacing w:after="0"/>
        <w:rPr>
          <w:sz w:val="20"/>
          <w:szCs w:val="20"/>
          <w:color w:val="auto"/>
        </w:rPr>
      </w:pPr>
      <w:r>
        <w:rPr>
          <w:rFonts w:ascii="Arial" w:cs="Arial" w:eastAsia="Arial" w:hAnsi="Arial"/>
          <w:sz w:val="13"/>
          <w:szCs w:val="13"/>
          <w:b w:val="1"/>
          <w:bCs w:val="1"/>
          <w:color w:val="FFFFFE"/>
        </w:rPr>
        <w:t>PROPOSAL 1 — ELECTION OF DIRECTORS</w:t>
      </w:r>
    </w:p>
    <w:p>
      <w:pPr>
        <w:sectPr>
          <w:pgSz w:w="11900" w:h="16838" w:orient="portrait"/>
          <w:cols w:equalWidth="0" w:num="1">
            <w:col w:w="11424"/>
          </w:cols>
          <w:pgMar w:left="336" w:top="110" w:right="139" w:bottom="87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ind w:left="524"/>
        <w:spacing w:after="0"/>
        <w:rPr>
          <w:sz w:val="20"/>
          <w:szCs w:val="20"/>
          <w:color w:val="auto"/>
        </w:rPr>
      </w:pPr>
      <w:r>
        <w:rPr>
          <w:rFonts w:ascii="Arial" w:cs="Arial" w:eastAsia="Arial" w:hAnsi="Arial"/>
          <w:sz w:val="20"/>
          <w:szCs w:val="20"/>
          <w:b w:val="1"/>
          <w:bCs w:val="1"/>
          <w:color w:val="FFFFFE"/>
        </w:rPr>
        <w:t>Humberto S. Lopez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-123825</wp:posOffset>
            </wp:positionV>
            <wp:extent cx="1791335" cy="3346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1791335" cy="334645"/>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p>
      <w:pPr>
        <w:ind w:left="4"/>
        <w:spacing w:after="0"/>
        <w:rPr>
          <w:sz w:val="20"/>
          <w:szCs w:val="20"/>
          <w:color w:val="auto"/>
        </w:rPr>
      </w:pPr>
      <w:r>
        <w:rPr>
          <w:rFonts w:ascii="Arial" w:cs="Arial" w:eastAsia="Arial" w:hAnsi="Arial"/>
          <w:sz w:val="20"/>
          <w:szCs w:val="20"/>
          <w:color w:val="auto"/>
        </w:rPr>
        <w:t>Age 70</w:t>
      </w:r>
    </w:p>
    <w:p>
      <w:pPr>
        <w:spacing w:after="0" w:line="199" w:lineRule="exact"/>
        <w:rPr>
          <w:sz w:val="20"/>
          <w:szCs w:val="20"/>
          <w:color w:val="auto"/>
        </w:rPr>
      </w:pPr>
    </w:p>
    <w:p>
      <w:pPr>
        <w:ind w:left="4"/>
        <w:spacing w:after="0"/>
        <w:rPr>
          <w:sz w:val="20"/>
          <w:szCs w:val="20"/>
          <w:color w:val="auto"/>
        </w:rPr>
      </w:pPr>
      <w:r>
        <w:rPr>
          <w:rFonts w:ascii="Arial" w:cs="Arial" w:eastAsia="Arial" w:hAnsi="Arial"/>
          <w:sz w:val="20"/>
          <w:szCs w:val="20"/>
          <w:color w:val="auto"/>
        </w:rPr>
        <w:t>Director since 1995</w:t>
      </w:r>
    </w:p>
    <w:p>
      <w:pPr>
        <w:spacing w:after="0" w:line="195"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Committees</w:t>
      </w:r>
    </w:p>
    <w:p>
      <w:pPr>
        <w:spacing w:after="0" w:line="191" w:lineRule="exact"/>
        <w:rPr>
          <w:sz w:val="20"/>
          <w:szCs w:val="20"/>
          <w:color w:val="auto"/>
        </w:rPr>
      </w:pPr>
    </w:p>
    <w:p>
      <w:pPr>
        <w:ind w:left="204" w:hanging="204"/>
        <w:spacing w:after="0"/>
        <w:tabs>
          <w:tab w:leader="none" w:pos="204" w:val="left"/>
        </w:tabs>
        <w:numPr>
          <w:ilvl w:val="0"/>
          <w:numId w:val="46"/>
        </w:numPr>
        <w:rPr>
          <w:rFonts w:ascii="Arial" w:cs="Arial" w:eastAsia="Arial" w:hAnsi="Arial"/>
          <w:sz w:val="20"/>
          <w:szCs w:val="20"/>
          <w:color w:val="3A5575"/>
        </w:rPr>
      </w:pPr>
      <w:r>
        <w:rPr>
          <w:rFonts w:ascii="Arial" w:cs="Arial" w:eastAsia="Arial" w:hAnsi="Arial"/>
          <w:sz w:val="20"/>
          <w:szCs w:val="20"/>
          <w:color w:val="auto"/>
        </w:rPr>
        <w:t>Finance (Chair)</w:t>
      </w:r>
    </w:p>
    <w:p>
      <w:pPr>
        <w:spacing w:after="0" w:line="174" w:lineRule="exact"/>
        <w:rPr>
          <w:rFonts w:ascii="Arial" w:cs="Arial" w:eastAsia="Arial" w:hAnsi="Arial"/>
          <w:sz w:val="20"/>
          <w:szCs w:val="20"/>
          <w:color w:val="3A5575"/>
        </w:rPr>
      </w:pPr>
    </w:p>
    <w:p>
      <w:pPr>
        <w:ind w:left="204" w:hanging="204"/>
        <w:spacing w:after="0"/>
        <w:tabs>
          <w:tab w:leader="none" w:pos="204" w:val="left"/>
        </w:tabs>
        <w:numPr>
          <w:ilvl w:val="0"/>
          <w:numId w:val="46"/>
        </w:numPr>
        <w:rPr>
          <w:rFonts w:ascii="Arial" w:cs="Arial" w:eastAsia="Arial" w:hAnsi="Arial"/>
          <w:sz w:val="20"/>
          <w:szCs w:val="20"/>
          <w:color w:val="3A5575"/>
        </w:rPr>
      </w:pPr>
      <w:r>
        <w:rPr>
          <w:rFonts w:ascii="Arial" w:cs="Arial" w:eastAsia="Arial" w:hAnsi="Arial"/>
          <w:sz w:val="20"/>
          <w:szCs w:val="20"/>
          <w:color w:val="auto"/>
        </w:rPr>
        <w:t>Audit</w:t>
      </w:r>
    </w:p>
    <w:p>
      <w:pPr>
        <w:spacing w:after="0" w:line="174" w:lineRule="exact"/>
        <w:rPr>
          <w:rFonts w:ascii="Arial" w:cs="Arial" w:eastAsia="Arial" w:hAnsi="Arial"/>
          <w:sz w:val="20"/>
          <w:szCs w:val="20"/>
          <w:color w:val="3A5575"/>
        </w:rPr>
      </w:pPr>
    </w:p>
    <w:p>
      <w:pPr>
        <w:ind w:left="204" w:hanging="204"/>
        <w:spacing w:after="0"/>
        <w:tabs>
          <w:tab w:leader="none" w:pos="204" w:val="left"/>
        </w:tabs>
        <w:numPr>
          <w:ilvl w:val="0"/>
          <w:numId w:val="46"/>
        </w:numPr>
        <w:rPr>
          <w:rFonts w:ascii="Arial" w:cs="Arial" w:eastAsia="Arial" w:hAnsi="Arial"/>
          <w:sz w:val="20"/>
          <w:szCs w:val="20"/>
          <w:color w:val="3A5575"/>
        </w:rPr>
      </w:pPr>
      <w:r>
        <w:rPr>
          <w:rFonts w:ascii="Arial" w:cs="Arial" w:eastAsia="Arial" w:hAnsi="Arial"/>
          <w:sz w:val="20"/>
          <w:szCs w:val="20"/>
          <w:color w:val="auto"/>
        </w:rPr>
        <w:t>Human Resources</w:t>
      </w:r>
    </w:p>
    <w:p>
      <w:pPr>
        <w:spacing w:after="0" w:line="208"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INDEPENDENT DIRECTOR</w:t>
      </w:r>
    </w:p>
    <w:p>
      <w:pPr>
        <w:spacing w:after="0" w:line="218" w:lineRule="exact"/>
        <w:rPr>
          <w:sz w:val="20"/>
          <w:szCs w:val="20"/>
          <w:color w:val="auto"/>
        </w:rPr>
      </w:pPr>
    </w:p>
    <w:p>
      <w:pPr>
        <w:ind w:left="4"/>
        <w:spacing w:after="0" w:line="252" w:lineRule="auto"/>
        <w:rPr>
          <w:sz w:val="20"/>
          <w:szCs w:val="20"/>
          <w:color w:val="auto"/>
        </w:rPr>
      </w:pPr>
      <w:r>
        <w:rPr>
          <w:rFonts w:ascii="Arial" w:cs="Arial" w:eastAsia="Arial" w:hAnsi="Arial"/>
          <w:sz w:val="16"/>
          <w:szCs w:val="16"/>
          <w:i w:val="1"/>
          <w:iCs w:val="1"/>
          <w:color w:val="3A5575"/>
        </w:rPr>
        <w:t>Mr. Lopez is an accomplished real estate developer throughout Arizona and brings the following key attributes to the Company:</w:t>
      </w:r>
    </w:p>
    <w:p>
      <w:pPr>
        <w:spacing w:after="0" w:line="147" w:lineRule="exact"/>
        <w:rPr>
          <w:sz w:val="20"/>
          <w:szCs w:val="20"/>
          <w:color w:val="auto"/>
        </w:rPr>
      </w:pPr>
    </w:p>
    <w:p>
      <w:pPr>
        <w:ind w:left="204" w:right="40" w:hanging="204"/>
        <w:spacing w:after="0" w:line="276" w:lineRule="auto"/>
        <w:tabs>
          <w:tab w:leader="none" w:pos="204" w:val="left"/>
        </w:tabs>
        <w:numPr>
          <w:ilvl w:val="0"/>
          <w:numId w:val="47"/>
        </w:numPr>
        <w:rPr>
          <w:rFonts w:ascii="Arial" w:cs="Arial" w:eastAsia="Arial" w:hAnsi="Arial"/>
          <w:sz w:val="16"/>
          <w:szCs w:val="16"/>
          <w:i w:val="1"/>
          <w:iCs w:val="1"/>
          <w:color w:val="3A5575"/>
        </w:rPr>
      </w:pPr>
      <w:r>
        <w:rPr>
          <w:rFonts w:ascii="Arial" w:cs="Arial" w:eastAsia="Arial" w:hAnsi="Arial"/>
          <w:sz w:val="16"/>
          <w:szCs w:val="16"/>
          <w:i w:val="1"/>
          <w:iCs w:val="1"/>
          <w:color w:val="3A5575"/>
        </w:rPr>
        <w:t>Strategic oversight and analysis of business strategies</w:t>
      </w:r>
    </w:p>
    <w:p>
      <w:pPr>
        <w:spacing w:after="0" w:line="128"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7"/>
        </w:numPr>
        <w:rPr>
          <w:rFonts w:ascii="Arial" w:cs="Arial" w:eastAsia="Arial" w:hAnsi="Arial"/>
          <w:sz w:val="16"/>
          <w:szCs w:val="16"/>
          <w:i w:val="1"/>
          <w:iCs w:val="1"/>
          <w:color w:val="3A5575"/>
        </w:rPr>
      </w:pPr>
      <w:r>
        <w:rPr>
          <w:rFonts w:ascii="Arial" w:cs="Arial" w:eastAsia="Arial" w:hAnsi="Arial"/>
          <w:sz w:val="16"/>
          <w:szCs w:val="16"/>
          <w:i w:val="1"/>
          <w:iCs w:val="1"/>
          <w:color w:val="3A5575"/>
        </w:rPr>
        <w:t>Financial literacy</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7"/>
        </w:numPr>
        <w:rPr>
          <w:rFonts w:ascii="Arial" w:cs="Arial" w:eastAsia="Arial" w:hAnsi="Arial"/>
          <w:sz w:val="16"/>
          <w:szCs w:val="16"/>
          <w:i w:val="1"/>
          <w:iCs w:val="1"/>
          <w:color w:val="3A5575"/>
        </w:rPr>
      </w:pPr>
      <w:r>
        <w:rPr>
          <w:rFonts w:ascii="Arial" w:cs="Arial" w:eastAsia="Arial" w:hAnsi="Arial"/>
          <w:sz w:val="16"/>
          <w:szCs w:val="16"/>
          <w:i w:val="1"/>
          <w:iCs w:val="1"/>
          <w:color w:val="3A5575"/>
        </w:rPr>
        <w:t>Leadership experience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-131445</wp:posOffset>
            </wp:positionV>
            <wp:extent cx="7254240" cy="762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424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560"/>
        <w:spacing w:after="0" w:line="265" w:lineRule="auto"/>
        <w:rPr>
          <w:sz w:val="20"/>
          <w:szCs w:val="20"/>
          <w:color w:val="auto"/>
        </w:rPr>
      </w:pPr>
      <w:r>
        <w:rPr>
          <w:rFonts w:ascii="Arial" w:cs="Arial" w:eastAsia="Arial" w:hAnsi="Arial"/>
          <w:sz w:val="20"/>
          <w:szCs w:val="20"/>
          <w:color w:val="auto"/>
        </w:rPr>
        <w:t>Mr. Lopez is President of HSL Properties, Inc. (real estate development and investment), in Tucson, Arizona. He has held this position since 1975.</w:t>
      </w:r>
    </w:p>
    <w:p>
      <w:pPr>
        <w:spacing w:after="0" w:line="150"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100"/>
        <w:spacing w:after="0" w:line="239" w:lineRule="auto"/>
        <w:rPr>
          <w:sz w:val="20"/>
          <w:szCs w:val="20"/>
          <w:color w:val="auto"/>
        </w:rPr>
      </w:pPr>
      <w:r>
        <w:rPr>
          <w:rFonts w:ascii="Arial" w:cs="Arial" w:eastAsia="Arial" w:hAnsi="Arial"/>
          <w:sz w:val="20"/>
          <w:szCs w:val="20"/>
          <w:color w:val="auto"/>
        </w:rPr>
        <w:t>In addition to management and business knowledge, Mr. Lopez brings extensive investment and real estate development expertise to the Company. His understanding of real estate and associated markets has proven to be a valuable asset to the Company due to the importance of those markets in Arizona. Mr. Lopez is also familiar with the State's historic economic cycles, which helps the Company plan for future growth and energy needs.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1838960</wp:posOffset>
            </wp:positionV>
            <wp:extent cx="7254240" cy="762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3080" w:lineRule="exact"/>
        <w:rPr>
          <w:sz w:val="20"/>
          <w:szCs w:val="20"/>
          <w:color w:val="auto"/>
        </w:rPr>
      </w:pPr>
    </w:p>
    <w:p>
      <w:pPr>
        <w:sectPr>
          <w:pgSz w:w="11900" w:h="16838" w:orient="portrait"/>
          <w:cols w:equalWidth="0" w:num="2">
            <w:col w:w="2664" w:space="300"/>
            <w:col w:w="8460"/>
          </w:cols>
          <w:pgMar w:left="336" w:top="110" w:right="139" w:bottom="87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604"/>
        <w:spacing w:after="0"/>
        <w:rPr>
          <w:sz w:val="20"/>
          <w:szCs w:val="20"/>
          <w:color w:val="auto"/>
        </w:rPr>
      </w:pPr>
      <w:r>
        <w:rPr>
          <w:rFonts w:ascii="Arial" w:cs="Arial" w:eastAsia="Arial" w:hAnsi="Arial"/>
          <w:sz w:val="20"/>
          <w:szCs w:val="20"/>
          <w:b w:val="1"/>
          <w:bCs w:val="1"/>
          <w:color w:val="FFFFFE"/>
        </w:rPr>
        <w:t>Kathryn L. Munro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-123825</wp:posOffset>
            </wp:positionV>
            <wp:extent cx="1791335" cy="3346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791335" cy="334645"/>
                    </a:xfrm>
                    <a:prstGeom prst="rect">
                      <a:avLst/>
                    </a:prstGeom>
                    <a:noFill/>
                  </pic:spPr>
                </pic:pic>
              </a:graphicData>
            </a:graphic>
          </wp:anchor>
        </w:drawing>
      </w:r>
    </w:p>
    <w:p>
      <w:pPr>
        <w:spacing w:after="0" w:line="200" w:lineRule="exact"/>
        <w:rPr>
          <w:sz w:val="20"/>
          <w:szCs w:val="20"/>
          <w:color w:val="auto"/>
        </w:rPr>
      </w:pPr>
    </w:p>
    <w:p>
      <w:pPr>
        <w:spacing w:after="0" w:line="290" w:lineRule="exact"/>
        <w:rPr>
          <w:sz w:val="20"/>
          <w:szCs w:val="20"/>
          <w:color w:val="auto"/>
        </w:rPr>
      </w:pPr>
    </w:p>
    <w:p>
      <w:pPr>
        <w:ind w:left="4"/>
        <w:spacing w:after="0"/>
        <w:rPr>
          <w:sz w:val="20"/>
          <w:szCs w:val="20"/>
          <w:color w:val="auto"/>
        </w:rPr>
      </w:pPr>
      <w:r>
        <w:rPr>
          <w:rFonts w:ascii="Arial" w:cs="Arial" w:eastAsia="Arial" w:hAnsi="Arial"/>
          <w:sz w:val="20"/>
          <w:szCs w:val="20"/>
          <w:color w:val="auto"/>
        </w:rPr>
        <w:t>Age 67</w:t>
      </w:r>
    </w:p>
    <w:p>
      <w:pPr>
        <w:spacing w:after="0" w:line="199" w:lineRule="exact"/>
        <w:rPr>
          <w:sz w:val="20"/>
          <w:szCs w:val="20"/>
          <w:color w:val="auto"/>
        </w:rPr>
      </w:pPr>
    </w:p>
    <w:p>
      <w:pPr>
        <w:ind w:left="4"/>
        <w:spacing w:after="0"/>
        <w:rPr>
          <w:sz w:val="20"/>
          <w:szCs w:val="20"/>
          <w:color w:val="auto"/>
        </w:rPr>
      </w:pPr>
      <w:r>
        <w:rPr>
          <w:rFonts w:ascii="Arial" w:cs="Arial" w:eastAsia="Arial" w:hAnsi="Arial"/>
          <w:sz w:val="20"/>
          <w:szCs w:val="20"/>
          <w:color w:val="auto"/>
        </w:rPr>
        <w:t>Director since 2000</w:t>
      </w:r>
    </w:p>
    <w:p>
      <w:pPr>
        <w:spacing w:after="0" w:line="212" w:lineRule="exact"/>
        <w:rPr>
          <w:sz w:val="20"/>
          <w:szCs w:val="20"/>
          <w:color w:val="auto"/>
        </w:rPr>
      </w:pPr>
    </w:p>
    <w:p>
      <w:pPr>
        <w:ind w:left="4"/>
        <w:spacing w:after="0"/>
        <w:rPr>
          <w:sz w:val="20"/>
          <w:szCs w:val="20"/>
          <w:color w:val="auto"/>
        </w:rPr>
      </w:pPr>
      <w:r>
        <w:rPr>
          <w:rFonts w:ascii="Arial" w:cs="Arial" w:eastAsia="Arial" w:hAnsi="Arial"/>
          <w:sz w:val="20"/>
          <w:szCs w:val="20"/>
          <w:color w:val="auto"/>
        </w:rPr>
        <w:t>Lead Director</w:t>
      </w:r>
    </w:p>
    <w:p>
      <w:pPr>
        <w:spacing w:after="0" w:line="195"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Committees</w:t>
      </w:r>
    </w:p>
    <w:p>
      <w:pPr>
        <w:spacing w:after="0" w:line="179" w:lineRule="exact"/>
        <w:rPr>
          <w:sz w:val="20"/>
          <w:szCs w:val="20"/>
          <w:color w:val="auto"/>
        </w:rPr>
      </w:pPr>
    </w:p>
    <w:p>
      <w:pPr>
        <w:ind w:left="204" w:right="500" w:hanging="204"/>
        <w:spacing w:after="0" w:line="265" w:lineRule="auto"/>
        <w:tabs>
          <w:tab w:leader="none" w:pos="204" w:val="left"/>
        </w:tabs>
        <w:numPr>
          <w:ilvl w:val="0"/>
          <w:numId w:val="48"/>
        </w:numPr>
        <w:rPr>
          <w:rFonts w:ascii="Arial" w:cs="Arial" w:eastAsia="Arial" w:hAnsi="Arial"/>
          <w:sz w:val="20"/>
          <w:szCs w:val="20"/>
          <w:color w:val="3A5575"/>
        </w:rPr>
      </w:pPr>
      <w:r>
        <w:rPr>
          <w:rFonts w:ascii="Arial" w:cs="Arial" w:eastAsia="Arial" w:hAnsi="Arial"/>
          <w:sz w:val="20"/>
          <w:szCs w:val="20"/>
          <w:color w:val="auto"/>
        </w:rPr>
        <w:t>Corporate Governance (Chair)</w:t>
      </w:r>
    </w:p>
    <w:p>
      <w:pPr>
        <w:spacing w:after="0" w:line="129" w:lineRule="exact"/>
        <w:rPr>
          <w:rFonts w:ascii="Arial" w:cs="Arial" w:eastAsia="Arial" w:hAnsi="Arial"/>
          <w:sz w:val="20"/>
          <w:szCs w:val="20"/>
          <w:color w:val="3A5575"/>
        </w:rPr>
      </w:pPr>
    </w:p>
    <w:p>
      <w:pPr>
        <w:ind w:left="204" w:hanging="204"/>
        <w:spacing w:after="0"/>
        <w:tabs>
          <w:tab w:leader="none" w:pos="204" w:val="left"/>
        </w:tabs>
        <w:numPr>
          <w:ilvl w:val="0"/>
          <w:numId w:val="48"/>
        </w:numPr>
        <w:rPr>
          <w:rFonts w:ascii="Arial" w:cs="Arial" w:eastAsia="Arial" w:hAnsi="Arial"/>
          <w:sz w:val="20"/>
          <w:szCs w:val="20"/>
          <w:color w:val="3A5575"/>
        </w:rPr>
      </w:pPr>
      <w:r>
        <w:rPr>
          <w:rFonts w:ascii="Arial" w:cs="Arial" w:eastAsia="Arial" w:hAnsi="Arial"/>
          <w:sz w:val="20"/>
          <w:szCs w:val="20"/>
          <w:color w:val="auto"/>
        </w:rPr>
        <w:t>Finance</w:t>
      </w:r>
    </w:p>
    <w:p>
      <w:pPr>
        <w:spacing w:after="0" w:line="174" w:lineRule="exact"/>
        <w:rPr>
          <w:rFonts w:ascii="Arial" w:cs="Arial" w:eastAsia="Arial" w:hAnsi="Arial"/>
          <w:sz w:val="20"/>
          <w:szCs w:val="20"/>
          <w:color w:val="3A5575"/>
        </w:rPr>
      </w:pPr>
    </w:p>
    <w:p>
      <w:pPr>
        <w:ind w:left="204" w:hanging="204"/>
        <w:spacing w:after="0"/>
        <w:tabs>
          <w:tab w:leader="none" w:pos="204" w:val="left"/>
        </w:tabs>
        <w:numPr>
          <w:ilvl w:val="0"/>
          <w:numId w:val="48"/>
        </w:numPr>
        <w:rPr>
          <w:rFonts w:ascii="Arial" w:cs="Arial" w:eastAsia="Arial" w:hAnsi="Arial"/>
          <w:sz w:val="20"/>
          <w:szCs w:val="20"/>
          <w:color w:val="3A5575"/>
        </w:rPr>
      </w:pPr>
      <w:r>
        <w:rPr>
          <w:rFonts w:ascii="Arial" w:cs="Arial" w:eastAsia="Arial" w:hAnsi="Arial"/>
          <w:sz w:val="20"/>
          <w:szCs w:val="20"/>
          <w:color w:val="auto"/>
        </w:rPr>
        <w:t>Human Resources</w:t>
      </w:r>
    </w:p>
    <w:p>
      <w:pPr>
        <w:spacing w:after="0" w:line="195" w:lineRule="exact"/>
        <w:rPr>
          <w:sz w:val="20"/>
          <w:szCs w:val="20"/>
          <w:color w:val="auto"/>
        </w:rPr>
      </w:pPr>
    </w:p>
    <w:p>
      <w:pPr>
        <w:ind w:left="4"/>
        <w:spacing w:after="0"/>
        <w:rPr>
          <w:sz w:val="20"/>
          <w:szCs w:val="20"/>
          <w:color w:val="auto"/>
        </w:rPr>
      </w:pPr>
      <w:r>
        <w:rPr>
          <w:rFonts w:ascii="Arial" w:cs="Arial" w:eastAsia="Arial" w:hAnsi="Arial"/>
          <w:sz w:val="20"/>
          <w:szCs w:val="20"/>
          <w:b w:val="1"/>
          <w:bCs w:val="1"/>
          <w:color w:val="3A5575"/>
        </w:rPr>
        <w:t>INDEPENDENT DIRECTOR</w:t>
      </w:r>
    </w:p>
    <w:p>
      <w:pPr>
        <w:spacing w:after="0" w:line="230" w:lineRule="exact"/>
        <w:rPr>
          <w:sz w:val="20"/>
          <w:szCs w:val="20"/>
          <w:color w:val="auto"/>
        </w:rPr>
      </w:pPr>
    </w:p>
    <w:p>
      <w:pPr>
        <w:ind w:left="4"/>
        <w:spacing w:after="0" w:line="274" w:lineRule="auto"/>
        <w:rPr>
          <w:sz w:val="20"/>
          <w:szCs w:val="20"/>
          <w:color w:val="auto"/>
        </w:rPr>
      </w:pPr>
      <w:r>
        <w:rPr>
          <w:rFonts w:ascii="Arial" w:cs="Arial" w:eastAsia="Arial" w:hAnsi="Arial"/>
          <w:sz w:val="15"/>
          <w:szCs w:val="15"/>
          <w:i w:val="1"/>
          <w:iCs w:val="1"/>
          <w:color w:val="3A5575"/>
        </w:rPr>
        <w:t>As a former CEO of BofA's Southwest Banking Group, Ms. Munro brings a wealth of experience to the Company, including the following key attributes:</w:t>
      </w:r>
    </w:p>
    <w:p>
      <w:pPr>
        <w:spacing w:after="0" w:line="132" w:lineRule="exact"/>
        <w:rPr>
          <w:sz w:val="20"/>
          <w:szCs w:val="20"/>
          <w:color w:val="auto"/>
        </w:rPr>
      </w:pPr>
    </w:p>
    <w:p>
      <w:pPr>
        <w:ind w:left="204" w:hanging="204"/>
        <w:spacing w:after="0"/>
        <w:tabs>
          <w:tab w:leader="none" w:pos="204" w:val="left"/>
        </w:tabs>
        <w:numPr>
          <w:ilvl w:val="0"/>
          <w:numId w:val="49"/>
        </w:numPr>
        <w:rPr>
          <w:rFonts w:ascii="Arial" w:cs="Arial" w:eastAsia="Arial" w:hAnsi="Arial"/>
          <w:sz w:val="16"/>
          <w:szCs w:val="16"/>
          <w:i w:val="1"/>
          <w:iCs w:val="1"/>
          <w:color w:val="3A5575"/>
        </w:rPr>
      </w:pPr>
      <w:r>
        <w:rPr>
          <w:rFonts w:ascii="Arial" w:cs="Arial" w:eastAsia="Arial" w:hAnsi="Arial"/>
          <w:sz w:val="16"/>
          <w:szCs w:val="16"/>
          <w:i w:val="1"/>
          <w:iCs w:val="1"/>
          <w:color w:val="3A5575"/>
        </w:rPr>
        <w:t>CEO experience</w:t>
      </w:r>
    </w:p>
    <w:p>
      <w:pPr>
        <w:spacing w:after="0" w:line="183" w:lineRule="exact"/>
        <w:rPr>
          <w:rFonts w:ascii="Arial" w:cs="Arial" w:eastAsia="Arial" w:hAnsi="Arial"/>
          <w:sz w:val="16"/>
          <w:szCs w:val="16"/>
          <w:i w:val="1"/>
          <w:iCs w:val="1"/>
          <w:color w:val="3A5575"/>
        </w:rPr>
      </w:pPr>
    </w:p>
    <w:p>
      <w:pPr>
        <w:ind w:left="204" w:hanging="204"/>
        <w:spacing w:after="0"/>
        <w:tabs>
          <w:tab w:leader="none" w:pos="204" w:val="left"/>
        </w:tabs>
        <w:numPr>
          <w:ilvl w:val="0"/>
          <w:numId w:val="49"/>
        </w:numPr>
        <w:rPr>
          <w:rFonts w:ascii="Arial" w:cs="Arial" w:eastAsia="Arial" w:hAnsi="Arial"/>
          <w:sz w:val="16"/>
          <w:szCs w:val="16"/>
          <w:i w:val="1"/>
          <w:iCs w:val="1"/>
          <w:color w:val="3A5575"/>
        </w:rPr>
      </w:pPr>
      <w:r>
        <w:rPr>
          <w:rFonts w:ascii="Arial" w:cs="Arial" w:eastAsia="Arial" w:hAnsi="Arial"/>
          <w:sz w:val="16"/>
          <w:szCs w:val="16"/>
          <w:i w:val="1"/>
          <w:iCs w:val="1"/>
          <w:color w:val="3A5575"/>
        </w:rPr>
        <w:t>Financial literacy</w:t>
      </w:r>
    </w:p>
    <w:p>
      <w:pPr>
        <w:spacing w:after="0" w:line="183" w:lineRule="exact"/>
        <w:rPr>
          <w:rFonts w:ascii="Arial" w:cs="Arial" w:eastAsia="Arial" w:hAnsi="Arial"/>
          <w:sz w:val="16"/>
          <w:szCs w:val="16"/>
          <w:i w:val="1"/>
          <w:iCs w:val="1"/>
          <w:color w:val="3A5575"/>
        </w:rPr>
      </w:pPr>
    </w:p>
    <w:p>
      <w:pPr>
        <w:ind w:left="204" w:right="200" w:hanging="204"/>
        <w:spacing w:after="0" w:line="276" w:lineRule="auto"/>
        <w:tabs>
          <w:tab w:leader="none" w:pos="204" w:val="left"/>
        </w:tabs>
        <w:numPr>
          <w:ilvl w:val="0"/>
          <w:numId w:val="49"/>
        </w:numPr>
        <w:rPr>
          <w:rFonts w:ascii="Arial" w:cs="Arial" w:eastAsia="Arial" w:hAnsi="Arial"/>
          <w:sz w:val="16"/>
          <w:szCs w:val="16"/>
          <w:i w:val="1"/>
          <w:iCs w:val="1"/>
          <w:color w:val="3A5575"/>
        </w:rPr>
      </w:pPr>
      <w:r>
        <w:rPr>
          <w:rFonts w:ascii="Arial" w:cs="Arial" w:eastAsia="Arial" w:hAnsi="Arial"/>
          <w:sz w:val="16"/>
          <w:szCs w:val="16"/>
          <w:i w:val="1"/>
          <w:iCs w:val="1"/>
          <w:color w:val="3A5575"/>
        </w:rPr>
        <w:t>Risk oversight and management experience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-131445</wp:posOffset>
            </wp:positionV>
            <wp:extent cx="7254240" cy="762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424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20"/>
        <w:spacing w:after="0" w:line="247" w:lineRule="auto"/>
        <w:rPr>
          <w:sz w:val="20"/>
          <w:szCs w:val="20"/>
          <w:color w:val="auto"/>
        </w:rPr>
      </w:pPr>
      <w:r>
        <w:rPr>
          <w:rFonts w:ascii="Arial" w:cs="Arial" w:eastAsia="Arial" w:hAnsi="Arial"/>
          <w:sz w:val="19"/>
          <w:szCs w:val="19"/>
          <w:color w:val="auto"/>
        </w:rPr>
        <w:t>Ms. Munro is a principal of BridgeWest, LLC (an investment company). She has held this position since July 2003. Ms. Munro was Chairman of BridgeWest, LLC from February 1999 until July 2003. From 1996 to 1998, Ms. Munro served as Chief Executive Officer of Bank of America's ("BofA") Southwest Banking Group and was President of BofA Arizona from 1994 to 1996. Prior to that, Ms. Munro held a variety of senior positions during her 20-year career with BofA.</w:t>
      </w:r>
    </w:p>
    <w:p>
      <w:pPr>
        <w:spacing w:after="0" w:line="234" w:lineRule="auto"/>
        <w:rPr>
          <w:sz w:val="20"/>
          <w:szCs w:val="20"/>
          <w:color w:val="auto"/>
        </w:rPr>
      </w:pPr>
      <w:r>
        <w:rPr>
          <w:rFonts w:ascii="Arial" w:cs="Arial" w:eastAsia="Arial" w:hAnsi="Arial"/>
          <w:sz w:val="20"/>
          <w:szCs w:val="20"/>
          <w:color w:val="auto"/>
        </w:rPr>
        <w:t>Ms. Munro is also a director of Knight Transportation, Inc. ("Knight") and Premera Blue Cross.</w:t>
      </w:r>
    </w:p>
    <w:p>
      <w:pPr>
        <w:spacing w:after="0"/>
        <w:rPr>
          <w:sz w:val="20"/>
          <w:szCs w:val="20"/>
          <w:color w:val="auto"/>
        </w:rPr>
      </w:pPr>
      <w:r>
        <w:rPr>
          <w:rFonts w:ascii="Arial" w:cs="Arial" w:eastAsia="Arial" w:hAnsi="Arial"/>
          <w:sz w:val="20"/>
          <w:szCs w:val="20"/>
          <w:color w:val="auto"/>
        </w:rPr>
        <w:t>Within the past five years, Ms. Munro was a director of FLOW International Corporation.</w:t>
      </w:r>
    </w:p>
    <w:p>
      <w:pPr>
        <w:spacing w:after="0" w:line="175" w:lineRule="exact"/>
        <w:rPr>
          <w:sz w:val="20"/>
          <w:szCs w:val="20"/>
          <w:color w:val="auto"/>
        </w:rPr>
      </w:pPr>
    </w:p>
    <w:p>
      <w:pPr>
        <w:spacing w:after="0"/>
        <w:rPr>
          <w:sz w:val="20"/>
          <w:szCs w:val="20"/>
          <w:color w:val="auto"/>
        </w:rPr>
      </w:pPr>
      <w:r>
        <w:rPr>
          <w:rFonts w:ascii="Arial" w:cs="Arial" w:eastAsia="Arial" w:hAnsi="Arial"/>
          <w:sz w:val="20"/>
          <w:szCs w:val="20"/>
          <w:color w:val="auto"/>
        </w:rPr>
        <w:t>Ms. Munro is the Company's Lead Director.</w:t>
      </w:r>
    </w:p>
    <w:p>
      <w:pPr>
        <w:spacing w:after="0" w:line="195"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100"/>
        <w:spacing w:after="0" w:line="237" w:lineRule="auto"/>
        <w:rPr>
          <w:sz w:val="20"/>
          <w:szCs w:val="20"/>
          <w:color w:val="auto"/>
        </w:rPr>
      </w:pPr>
      <w:r>
        <w:rPr>
          <w:rFonts w:ascii="Arial" w:cs="Arial" w:eastAsia="Arial" w:hAnsi="Arial"/>
          <w:sz w:val="20"/>
          <w:szCs w:val="20"/>
          <w:color w:val="auto"/>
        </w:rPr>
        <w:t>As principal of an investment company, and as former Chief Executive Officer of BofA's Southwest Banking Group and President of BofA Arizona, Ms. Munro brings business acumen and financial knowledge to the Company. Her experience with the cycles in Arizona's economy assists a growing infrastructure company like Pinnacle West in accessing capital and meeting its financing needs. Ms. Munro is an experienced director, currently serving on the boards of Knight and Premera Blue Cross.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1147445</wp:posOffset>
            </wp:positionV>
            <wp:extent cx="7254240" cy="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047" w:lineRule="exact"/>
        <w:rPr>
          <w:sz w:val="20"/>
          <w:szCs w:val="20"/>
          <w:color w:val="auto"/>
        </w:rPr>
      </w:pPr>
    </w:p>
    <w:p>
      <w:pPr>
        <w:sectPr>
          <w:pgSz w:w="11900" w:h="16838" w:orient="portrait"/>
          <w:cols w:equalWidth="0" w:num="2">
            <w:col w:w="2684" w:space="280"/>
            <w:col w:w="8460"/>
          </w:cols>
          <w:pgMar w:left="336" w:top="110" w:right="139" w:bottom="877" w:gutter="0" w:footer="0" w:header="0"/>
          <w:type w:val="continuous"/>
        </w:sectPr>
      </w:pPr>
    </w:p>
    <w:p>
      <w:pPr>
        <w:spacing w:after="0" w:line="19" w:lineRule="exact"/>
        <w:rPr>
          <w:sz w:val="20"/>
          <w:szCs w:val="20"/>
          <w:color w:val="auto"/>
        </w:rPr>
      </w:pPr>
    </w:p>
    <w:p>
      <w:pPr>
        <w:ind w:left="7484"/>
        <w:spacing w:after="0"/>
        <w:tabs>
          <w:tab w:leader="none" w:pos="9303"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7256780" cy="203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6780" cy="20320"/>
                    </a:xfrm>
                    <a:prstGeom prst="rect">
                      <a:avLst/>
                    </a:prstGeom>
                    <a:noFill/>
                  </pic:spPr>
                </pic:pic>
              </a:graphicData>
            </a:graphic>
          </wp:anchor>
        </w:drawing>
      </w:r>
    </w:p>
    <w:p>
      <w:pPr>
        <w:sectPr>
          <w:pgSz w:w="11900" w:h="16838" w:orient="portrait"/>
          <w:cols w:equalWidth="0" w:num="1">
            <w:col w:w="11424"/>
          </w:cols>
          <w:pgMar w:left="336" w:top="110" w:right="139" w:bottom="877" w:gutter="0" w:footer="0" w:header="0"/>
          <w:type w:val="continuous"/>
        </w:sectPr>
      </w:pPr>
    </w:p>
    <w:bookmarkStart w:id="38" w:name="page39"/>
    <w:bookmarkEnd w:id="38"/>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137795</wp:posOffset>
            </wp:positionV>
            <wp:extent cx="2056130" cy="15557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2056130" cy="155575"/>
                    </a:xfrm>
                    <a:prstGeom prst="rect">
                      <a:avLst/>
                    </a:prstGeom>
                    <a:noFill/>
                  </pic:spPr>
                </pic:pic>
              </a:graphicData>
            </a:graphic>
          </wp:anchor>
        </w:drawing>
      </w:r>
    </w:p>
    <w:p>
      <w:pPr>
        <w:spacing w:after="0" w:line="232" w:lineRule="exact"/>
        <w:rPr>
          <w:sz w:val="20"/>
          <w:szCs w:val="20"/>
          <w:color w:val="auto"/>
        </w:rPr>
      </w:pPr>
    </w:p>
    <w:p>
      <w:pPr>
        <w:jc w:val="right"/>
        <w:ind w:right="8220"/>
        <w:spacing w:after="0"/>
        <w:rPr>
          <w:sz w:val="20"/>
          <w:szCs w:val="20"/>
          <w:color w:val="auto"/>
        </w:rPr>
      </w:pPr>
      <w:r>
        <w:rPr>
          <w:rFonts w:ascii="Arial" w:cs="Arial" w:eastAsia="Arial" w:hAnsi="Arial"/>
          <w:sz w:val="13"/>
          <w:szCs w:val="13"/>
          <w:b w:val="1"/>
          <w:bCs w:val="1"/>
          <w:color w:val="FFFFFE"/>
        </w:rPr>
        <w:t>PROPOSAL 1 — ELECTION OF DIRECTORS</w:t>
      </w:r>
    </w:p>
    <w:p>
      <w:pPr>
        <w:sectPr>
          <w:pgSz w:w="11900" w:h="16838" w:orient="portrait"/>
          <w:cols w:equalWidth="0" w:num="1">
            <w:col w:w="11500"/>
          </w:cols>
          <w:pgMar w:left="240" w:top="110" w:right="159" w:bottom="40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left="200"/>
        <w:spacing w:after="0"/>
        <w:rPr>
          <w:sz w:val="20"/>
          <w:szCs w:val="20"/>
          <w:color w:val="auto"/>
        </w:rPr>
      </w:pPr>
      <w:r>
        <w:rPr>
          <w:rFonts w:ascii="Arial" w:cs="Arial" w:eastAsia="Arial" w:hAnsi="Arial"/>
          <w:sz w:val="20"/>
          <w:szCs w:val="20"/>
          <w:b w:val="1"/>
          <w:bCs w:val="1"/>
          <w:color w:val="FFFFFE"/>
        </w:rPr>
        <w:t>Bruce J. Nordstrom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-123825</wp:posOffset>
            </wp:positionV>
            <wp:extent cx="1791335" cy="3346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791335" cy="334645"/>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p>
      <w:pPr>
        <w:ind w:left="100"/>
        <w:spacing w:after="0"/>
        <w:rPr>
          <w:sz w:val="20"/>
          <w:szCs w:val="20"/>
          <w:color w:val="auto"/>
        </w:rPr>
      </w:pPr>
      <w:r>
        <w:rPr>
          <w:rFonts w:ascii="Arial" w:cs="Arial" w:eastAsia="Arial" w:hAnsi="Arial"/>
          <w:sz w:val="20"/>
          <w:szCs w:val="20"/>
          <w:color w:val="auto"/>
        </w:rPr>
        <w:t>Age 66</w:t>
      </w:r>
    </w:p>
    <w:p>
      <w:pPr>
        <w:spacing w:after="0" w:line="199" w:lineRule="exact"/>
        <w:rPr>
          <w:sz w:val="20"/>
          <w:szCs w:val="20"/>
          <w:color w:val="auto"/>
        </w:rPr>
      </w:pPr>
    </w:p>
    <w:p>
      <w:pPr>
        <w:ind w:left="100"/>
        <w:spacing w:after="0"/>
        <w:rPr>
          <w:sz w:val="20"/>
          <w:szCs w:val="20"/>
          <w:color w:val="auto"/>
        </w:rPr>
      </w:pPr>
      <w:r>
        <w:rPr>
          <w:rFonts w:ascii="Arial" w:cs="Arial" w:eastAsia="Arial" w:hAnsi="Arial"/>
          <w:sz w:val="20"/>
          <w:szCs w:val="20"/>
          <w:color w:val="auto"/>
        </w:rPr>
        <w:t>Director since 2000</w:t>
      </w:r>
    </w:p>
    <w:p>
      <w:pPr>
        <w:spacing w:after="0" w:line="195"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Committees</w:t>
      </w:r>
    </w:p>
    <w:p>
      <w:pPr>
        <w:spacing w:after="0" w:line="191" w:lineRule="exact"/>
        <w:rPr>
          <w:sz w:val="20"/>
          <w:szCs w:val="20"/>
          <w:color w:val="auto"/>
        </w:rPr>
      </w:pPr>
    </w:p>
    <w:p>
      <w:pPr>
        <w:ind w:left="300" w:hanging="204"/>
        <w:spacing w:after="0"/>
        <w:tabs>
          <w:tab w:leader="none" w:pos="300" w:val="left"/>
        </w:tabs>
        <w:numPr>
          <w:ilvl w:val="0"/>
          <w:numId w:val="50"/>
        </w:numPr>
        <w:rPr>
          <w:rFonts w:ascii="Arial" w:cs="Arial" w:eastAsia="Arial" w:hAnsi="Arial"/>
          <w:sz w:val="20"/>
          <w:szCs w:val="20"/>
          <w:color w:val="3A5575"/>
        </w:rPr>
      </w:pPr>
      <w:r>
        <w:rPr>
          <w:rFonts w:ascii="Arial" w:cs="Arial" w:eastAsia="Arial" w:hAnsi="Arial"/>
          <w:sz w:val="20"/>
          <w:szCs w:val="20"/>
          <w:color w:val="auto"/>
        </w:rPr>
        <w:t>Audit (Chair)</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50"/>
        </w:numPr>
        <w:rPr>
          <w:rFonts w:ascii="Arial" w:cs="Arial" w:eastAsia="Arial" w:hAnsi="Arial"/>
          <w:sz w:val="20"/>
          <w:szCs w:val="20"/>
          <w:color w:val="3A5575"/>
        </w:rPr>
      </w:pPr>
      <w:r>
        <w:rPr>
          <w:rFonts w:ascii="Arial" w:cs="Arial" w:eastAsia="Arial" w:hAnsi="Arial"/>
          <w:sz w:val="20"/>
          <w:szCs w:val="20"/>
          <w:color w:val="auto"/>
        </w:rPr>
        <w:t>Corporate Governance</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50"/>
        </w:numPr>
        <w:rPr>
          <w:rFonts w:ascii="Arial" w:cs="Arial" w:eastAsia="Arial" w:hAnsi="Arial"/>
          <w:sz w:val="20"/>
          <w:szCs w:val="20"/>
          <w:color w:val="3A5575"/>
        </w:rPr>
      </w:pPr>
      <w:r>
        <w:rPr>
          <w:rFonts w:ascii="Arial" w:cs="Arial" w:eastAsia="Arial" w:hAnsi="Arial"/>
          <w:sz w:val="20"/>
          <w:szCs w:val="20"/>
          <w:color w:val="auto"/>
        </w:rPr>
        <w:t>Nuclear and Operating</w:t>
      </w:r>
    </w:p>
    <w:p>
      <w:pPr>
        <w:spacing w:after="0" w:line="208"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INDEPENDENT DIRECTOR</w:t>
      </w:r>
    </w:p>
    <w:p>
      <w:pPr>
        <w:spacing w:after="0" w:line="218" w:lineRule="exact"/>
        <w:rPr>
          <w:sz w:val="20"/>
          <w:szCs w:val="20"/>
          <w:color w:val="auto"/>
        </w:rPr>
      </w:pPr>
    </w:p>
    <w:p>
      <w:pPr>
        <w:ind w:left="100"/>
        <w:spacing w:after="0"/>
        <w:rPr>
          <w:sz w:val="20"/>
          <w:szCs w:val="20"/>
          <w:color w:val="auto"/>
        </w:rPr>
      </w:pPr>
      <w:r>
        <w:rPr>
          <w:rFonts w:ascii="Arial" w:cs="Arial" w:eastAsia="Arial" w:hAnsi="Arial"/>
          <w:sz w:val="16"/>
          <w:szCs w:val="16"/>
          <w:i w:val="1"/>
          <w:iCs w:val="1"/>
          <w:color w:val="3A5575"/>
        </w:rPr>
        <w:t>As the President of Nordstrom and</w:t>
      </w:r>
    </w:p>
    <w:p>
      <w:pPr>
        <w:spacing w:after="0" w:line="18" w:lineRule="exact"/>
        <w:rPr>
          <w:sz w:val="20"/>
          <w:szCs w:val="20"/>
          <w:color w:val="auto"/>
        </w:rPr>
      </w:pPr>
    </w:p>
    <w:p>
      <w:pPr>
        <w:ind w:left="100"/>
        <w:spacing w:after="0"/>
        <w:rPr>
          <w:sz w:val="20"/>
          <w:szCs w:val="20"/>
          <w:color w:val="auto"/>
        </w:rPr>
      </w:pPr>
      <w:r>
        <w:rPr>
          <w:rFonts w:ascii="Arial" w:cs="Arial" w:eastAsia="Arial" w:hAnsi="Arial"/>
          <w:sz w:val="16"/>
          <w:szCs w:val="16"/>
          <w:i w:val="1"/>
          <w:iCs w:val="1"/>
          <w:color w:val="3A5575"/>
        </w:rPr>
        <w:t>Associates and a practicing CPA,</w:t>
      </w:r>
    </w:p>
    <w:p>
      <w:pPr>
        <w:ind w:left="100"/>
        <w:spacing w:after="0"/>
        <w:rPr>
          <w:sz w:val="20"/>
          <w:szCs w:val="20"/>
          <w:color w:val="auto"/>
        </w:rPr>
      </w:pPr>
      <w:r>
        <w:rPr>
          <w:rFonts w:ascii="Arial" w:cs="Arial" w:eastAsia="Arial" w:hAnsi="Arial"/>
          <w:sz w:val="15"/>
          <w:szCs w:val="15"/>
          <w:i w:val="1"/>
          <w:iCs w:val="1"/>
          <w:color w:val="3A5575"/>
        </w:rPr>
        <w:t>Mr. Nordstrom brings the following key</w:t>
      </w:r>
    </w:p>
    <w:p>
      <w:pPr>
        <w:spacing w:after="0" w:line="12" w:lineRule="exact"/>
        <w:rPr>
          <w:sz w:val="20"/>
          <w:szCs w:val="20"/>
          <w:color w:val="auto"/>
        </w:rPr>
      </w:pPr>
    </w:p>
    <w:p>
      <w:pPr>
        <w:ind w:left="100"/>
        <w:spacing w:after="0"/>
        <w:rPr>
          <w:sz w:val="20"/>
          <w:szCs w:val="20"/>
          <w:color w:val="auto"/>
        </w:rPr>
      </w:pPr>
      <w:r>
        <w:rPr>
          <w:rFonts w:ascii="Arial" w:cs="Arial" w:eastAsia="Arial" w:hAnsi="Arial"/>
          <w:sz w:val="16"/>
          <w:szCs w:val="16"/>
          <w:i w:val="1"/>
          <w:iCs w:val="1"/>
          <w:color w:val="3A5575"/>
        </w:rPr>
        <w:t>attributes to the Company:</w:t>
      </w:r>
    </w:p>
    <w:p>
      <w:pPr>
        <w:spacing w:after="0" w:line="166" w:lineRule="exact"/>
        <w:rPr>
          <w:sz w:val="20"/>
          <w:szCs w:val="20"/>
          <w:color w:val="auto"/>
        </w:rPr>
      </w:pPr>
    </w:p>
    <w:p>
      <w:pPr>
        <w:ind w:left="300" w:hanging="204"/>
        <w:spacing w:after="0"/>
        <w:tabs>
          <w:tab w:leader="none" w:pos="300" w:val="left"/>
        </w:tabs>
        <w:numPr>
          <w:ilvl w:val="0"/>
          <w:numId w:val="51"/>
        </w:numPr>
        <w:rPr>
          <w:rFonts w:ascii="Arial" w:cs="Arial" w:eastAsia="Arial" w:hAnsi="Arial"/>
          <w:sz w:val="16"/>
          <w:szCs w:val="16"/>
          <w:i w:val="1"/>
          <w:iCs w:val="1"/>
          <w:color w:val="3A5575"/>
        </w:rPr>
      </w:pPr>
      <w:r>
        <w:rPr>
          <w:rFonts w:ascii="Arial" w:cs="Arial" w:eastAsia="Arial" w:hAnsi="Arial"/>
          <w:sz w:val="16"/>
          <w:szCs w:val="16"/>
          <w:i w:val="1"/>
          <w:iCs w:val="1"/>
          <w:color w:val="3A5575"/>
        </w:rPr>
        <w:t>Audit expertise</w:t>
      </w:r>
    </w:p>
    <w:p>
      <w:pPr>
        <w:spacing w:after="0" w:line="183" w:lineRule="exact"/>
        <w:rPr>
          <w:rFonts w:ascii="Arial" w:cs="Arial" w:eastAsia="Arial" w:hAnsi="Arial"/>
          <w:sz w:val="16"/>
          <w:szCs w:val="16"/>
          <w:i w:val="1"/>
          <w:iCs w:val="1"/>
          <w:color w:val="3A5575"/>
        </w:rPr>
      </w:pPr>
    </w:p>
    <w:p>
      <w:pPr>
        <w:ind w:left="300" w:hanging="204"/>
        <w:spacing w:after="0"/>
        <w:tabs>
          <w:tab w:leader="none" w:pos="300" w:val="left"/>
        </w:tabs>
        <w:numPr>
          <w:ilvl w:val="0"/>
          <w:numId w:val="51"/>
        </w:numPr>
        <w:rPr>
          <w:rFonts w:ascii="Arial" w:cs="Arial" w:eastAsia="Arial" w:hAnsi="Arial"/>
          <w:sz w:val="16"/>
          <w:szCs w:val="16"/>
          <w:i w:val="1"/>
          <w:iCs w:val="1"/>
          <w:color w:val="3A5575"/>
        </w:rPr>
      </w:pPr>
      <w:r>
        <w:rPr>
          <w:rFonts w:ascii="Arial" w:cs="Arial" w:eastAsia="Arial" w:hAnsi="Arial"/>
          <w:sz w:val="16"/>
          <w:szCs w:val="16"/>
          <w:i w:val="1"/>
          <w:iCs w:val="1"/>
          <w:color w:val="3A5575"/>
        </w:rPr>
        <w:t>Financial literacy</w:t>
      </w:r>
    </w:p>
    <w:p>
      <w:pPr>
        <w:spacing w:after="0" w:line="183" w:lineRule="exact"/>
        <w:rPr>
          <w:rFonts w:ascii="Arial" w:cs="Arial" w:eastAsia="Arial" w:hAnsi="Arial"/>
          <w:sz w:val="16"/>
          <w:szCs w:val="16"/>
          <w:i w:val="1"/>
          <w:iCs w:val="1"/>
          <w:color w:val="3A5575"/>
        </w:rPr>
      </w:pPr>
    </w:p>
    <w:p>
      <w:pPr>
        <w:ind w:left="300" w:right="240" w:hanging="204"/>
        <w:spacing w:after="0" w:line="276" w:lineRule="auto"/>
        <w:tabs>
          <w:tab w:leader="none" w:pos="300" w:val="left"/>
        </w:tabs>
        <w:numPr>
          <w:ilvl w:val="0"/>
          <w:numId w:val="51"/>
        </w:numPr>
        <w:rPr>
          <w:rFonts w:ascii="Arial" w:cs="Arial" w:eastAsia="Arial" w:hAnsi="Arial"/>
          <w:sz w:val="16"/>
          <w:szCs w:val="16"/>
          <w:i w:val="1"/>
          <w:iCs w:val="1"/>
          <w:color w:val="3A5575"/>
        </w:rPr>
      </w:pPr>
      <w:r>
        <w:rPr>
          <w:rFonts w:ascii="Arial" w:cs="Arial" w:eastAsia="Arial" w:hAnsi="Arial"/>
          <w:sz w:val="16"/>
          <w:szCs w:val="16"/>
          <w:i w:val="1"/>
          <w:iCs w:val="1"/>
          <w:color w:val="3A5575"/>
        </w:rPr>
        <w:t>Risk oversight and management experience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-131445</wp:posOffset>
            </wp:positionV>
            <wp:extent cx="7254240" cy="762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424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720"/>
        <w:spacing w:after="0" w:line="265" w:lineRule="auto"/>
        <w:rPr>
          <w:sz w:val="20"/>
          <w:szCs w:val="20"/>
          <w:color w:val="auto"/>
        </w:rPr>
      </w:pPr>
      <w:r>
        <w:rPr>
          <w:rFonts w:ascii="Arial" w:cs="Arial" w:eastAsia="Arial" w:hAnsi="Arial"/>
          <w:sz w:val="20"/>
          <w:szCs w:val="20"/>
          <w:color w:val="auto"/>
        </w:rPr>
        <w:t>Mr. Nordstrom is President of and a certified public accountant at the firm of Nordstrom &amp; Associates, P.C., in Flagstaff, Arizona. He has held this position since 1988.</w:t>
      </w:r>
    </w:p>
    <w:p>
      <w:pPr>
        <w:spacing w:after="0" w:line="150"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80"/>
        <w:spacing w:after="0" w:line="267" w:lineRule="auto"/>
        <w:rPr>
          <w:sz w:val="20"/>
          <w:szCs w:val="20"/>
          <w:color w:val="auto"/>
        </w:rPr>
      </w:pPr>
      <w:r>
        <w:rPr>
          <w:rFonts w:ascii="Arial" w:cs="Arial" w:eastAsia="Arial" w:hAnsi="Arial"/>
          <w:sz w:val="19"/>
          <w:szCs w:val="19"/>
          <w:color w:val="auto"/>
        </w:rPr>
        <w:t>As the president of an accounting firm, Mr. Nordstrom has an extensive accounting, auditing and financial skill set. Additionally, he provides familiarity with principles of risk management and oversight, and the perspectives of customers in the Northern Arizona service territory of APS.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2103120</wp:posOffset>
            </wp:positionV>
            <wp:extent cx="7254240" cy="762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3551" w:lineRule="exact"/>
        <w:rPr>
          <w:sz w:val="20"/>
          <w:szCs w:val="20"/>
          <w:color w:val="auto"/>
        </w:rPr>
      </w:pPr>
    </w:p>
    <w:p>
      <w:pPr>
        <w:sectPr>
          <w:pgSz w:w="11900" w:h="16838" w:orient="portrait"/>
          <w:cols w:equalWidth="0" w:num="2">
            <w:col w:w="2820" w:space="240"/>
            <w:col w:w="8440"/>
          </w:cols>
          <w:pgMar w:left="240" w:top="110" w:right="159" w:bottom="405"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700"/>
        <w:spacing w:after="0"/>
        <w:tabs>
          <w:tab w:leader="none" w:pos="3040" w:val="left"/>
        </w:tabs>
        <w:rPr>
          <w:sz w:val="20"/>
          <w:szCs w:val="20"/>
          <w:color w:val="auto"/>
        </w:rPr>
      </w:pPr>
      <w:r>
        <w:rPr>
          <w:rFonts w:ascii="Arial" w:cs="Arial" w:eastAsia="Arial" w:hAnsi="Arial"/>
          <w:sz w:val="20"/>
          <w:szCs w:val="20"/>
          <w:b w:val="1"/>
          <w:bCs w:val="1"/>
          <w:color w:val="FFFFFE"/>
        </w:rPr>
        <w:t>David P. Wagener</w:t>
      </w:r>
      <w:r>
        <w:rPr>
          <w:sz w:val="20"/>
          <w:szCs w:val="20"/>
          <w:color w:val="auto"/>
        </w:rPr>
        <w:tab/>
      </w:r>
      <w:r>
        <w:rPr>
          <w:rFonts w:ascii="Arial" w:cs="Arial" w:eastAsia="Arial" w:hAnsi="Arial"/>
          <w:sz w:val="19"/>
          <w:szCs w:val="19"/>
          <w:b w:val="1"/>
          <w:bCs w:val="1"/>
          <w:color w:val="3A5575"/>
        </w:rPr>
        <w:t>BACKGROUND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-131445</wp:posOffset>
            </wp:positionV>
            <wp:extent cx="7254240" cy="3429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4240" cy="342900"/>
                    </a:xfrm>
                    <a:prstGeom prst="rect">
                      <a:avLst/>
                    </a:prstGeom>
                    <a:noFill/>
                  </pic:spPr>
                </pic:pic>
              </a:graphicData>
            </a:graphic>
          </wp:anchor>
        </w:drawing>
      </w:r>
    </w:p>
    <w:p>
      <w:pPr>
        <w:sectPr>
          <w:pgSz w:w="11900" w:h="16838" w:orient="portrait"/>
          <w:cols w:equalWidth="0" w:num="1">
            <w:col w:w="11500"/>
          </w:cols>
          <w:pgMar w:left="240" w:top="110" w:right="159" w:bottom="405" w:gutter="0" w:footer="0" w:header="0"/>
          <w:type w:val="continuous"/>
        </w:sectPr>
      </w:pPr>
    </w:p>
    <w:p>
      <w:pPr>
        <w:spacing w:after="0" w:line="200" w:lineRule="exact"/>
        <w:rPr>
          <w:sz w:val="20"/>
          <w:szCs w:val="20"/>
          <w:color w:val="auto"/>
        </w:rPr>
      </w:pPr>
    </w:p>
    <w:p>
      <w:pPr>
        <w:spacing w:after="0" w:line="310" w:lineRule="exact"/>
        <w:rPr>
          <w:sz w:val="20"/>
          <w:szCs w:val="20"/>
          <w:color w:val="auto"/>
        </w:rPr>
      </w:pPr>
    </w:p>
    <w:p>
      <w:pPr>
        <w:ind w:left="100"/>
        <w:spacing w:after="0"/>
        <w:rPr>
          <w:sz w:val="20"/>
          <w:szCs w:val="20"/>
          <w:color w:val="auto"/>
        </w:rPr>
      </w:pPr>
      <w:r>
        <w:rPr>
          <w:rFonts w:ascii="Arial" w:cs="Arial" w:eastAsia="Arial" w:hAnsi="Arial"/>
          <w:sz w:val="20"/>
          <w:szCs w:val="20"/>
          <w:color w:val="auto"/>
        </w:rPr>
        <w:t>Age 61</w:t>
      </w:r>
    </w:p>
    <w:p>
      <w:pPr>
        <w:spacing w:after="0" w:line="199" w:lineRule="exact"/>
        <w:rPr>
          <w:sz w:val="20"/>
          <w:szCs w:val="20"/>
          <w:color w:val="auto"/>
        </w:rPr>
      </w:pPr>
    </w:p>
    <w:p>
      <w:pPr>
        <w:ind w:left="100"/>
        <w:spacing w:after="0"/>
        <w:rPr>
          <w:sz w:val="20"/>
          <w:szCs w:val="20"/>
          <w:color w:val="auto"/>
        </w:rPr>
      </w:pPr>
      <w:r>
        <w:rPr>
          <w:rFonts w:ascii="Arial" w:cs="Arial" w:eastAsia="Arial" w:hAnsi="Arial"/>
          <w:sz w:val="20"/>
          <w:szCs w:val="20"/>
          <w:color w:val="auto"/>
        </w:rPr>
        <w:t>Director since 2014</w:t>
      </w:r>
    </w:p>
    <w:p>
      <w:pPr>
        <w:spacing w:after="0" w:line="208"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Committees</w:t>
      </w:r>
    </w:p>
    <w:p>
      <w:pPr>
        <w:spacing w:after="0" w:line="179" w:lineRule="exact"/>
        <w:rPr>
          <w:sz w:val="20"/>
          <w:szCs w:val="20"/>
          <w:color w:val="auto"/>
        </w:rPr>
      </w:pPr>
    </w:p>
    <w:p>
      <w:pPr>
        <w:ind w:left="300" w:hanging="204"/>
        <w:spacing w:after="0"/>
        <w:tabs>
          <w:tab w:leader="none" w:pos="300" w:val="left"/>
        </w:tabs>
        <w:numPr>
          <w:ilvl w:val="0"/>
          <w:numId w:val="52"/>
        </w:numPr>
        <w:rPr>
          <w:rFonts w:ascii="Arial" w:cs="Arial" w:eastAsia="Arial" w:hAnsi="Arial"/>
          <w:sz w:val="20"/>
          <w:szCs w:val="20"/>
          <w:color w:val="3A5575"/>
        </w:rPr>
      </w:pPr>
      <w:r>
        <w:rPr>
          <w:rFonts w:ascii="Arial" w:cs="Arial" w:eastAsia="Arial" w:hAnsi="Arial"/>
          <w:sz w:val="20"/>
          <w:szCs w:val="20"/>
          <w:color w:val="auto"/>
        </w:rPr>
        <w:t>Audit</w:t>
      </w:r>
    </w:p>
    <w:p>
      <w:pPr>
        <w:spacing w:after="0" w:line="174" w:lineRule="exact"/>
        <w:rPr>
          <w:rFonts w:ascii="Arial" w:cs="Arial" w:eastAsia="Arial" w:hAnsi="Arial"/>
          <w:sz w:val="20"/>
          <w:szCs w:val="20"/>
          <w:color w:val="3A5575"/>
        </w:rPr>
      </w:pPr>
    </w:p>
    <w:p>
      <w:pPr>
        <w:ind w:left="300" w:hanging="204"/>
        <w:spacing w:after="0"/>
        <w:tabs>
          <w:tab w:leader="none" w:pos="300" w:val="left"/>
        </w:tabs>
        <w:numPr>
          <w:ilvl w:val="0"/>
          <w:numId w:val="52"/>
        </w:numPr>
        <w:rPr>
          <w:rFonts w:ascii="Arial" w:cs="Arial" w:eastAsia="Arial" w:hAnsi="Arial"/>
          <w:sz w:val="20"/>
          <w:szCs w:val="20"/>
          <w:color w:val="3A5575"/>
        </w:rPr>
      </w:pPr>
      <w:r>
        <w:rPr>
          <w:rFonts w:ascii="Arial" w:cs="Arial" w:eastAsia="Arial" w:hAnsi="Arial"/>
          <w:sz w:val="20"/>
          <w:szCs w:val="20"/>
          <w:color w:val="auto"/>
        </w:rPr>
        <w:t>Finance</w:t>
      </w:r>
    </w:p>
    <w:p>
      <w:pPr>
        <w:spacing w:after="0" w:line="187" w:lineRule="exact"/>
        <w:rPr>
          <w:rFonts w:ascii="Arial" w:cs="Arial" w:eastAsia="Arial" w:hAnsi="Arial"/>
          <w:sz w:val="20"/>
          <w:szCs w:val="20"/>
          <w:color w:val="3A5575"/>
        </w:rPr>
      </w:pPr>
    </w:p>
    <w:p>
      <w:pPr>
        <w:ind w:left="300" w:hanging="204"/>
        <w:spacing w:after="0"/>
        <w:tabs>
          <w:tab w:leader="none" w:pos="300" w:val="left"/>
        </w:tabs>
        <w:numPr>
          <w:ilvl w:val="0"/>
          <w:numId w:val="52"/>
        </w:numPr>
        <w:rPr>
          <w:rFonts w:ascii="Arial" w:cs="Arial" w:eastAsia="Arial" w:hAnsi="Arial"/>
          <w:sz w:val="20"/>
          <w:szCs w:val="20"/>
          <w:color w:val="3A5575"/>
        </w:rPr>
      </w:pPr>
      <w:r>
        <w:rPr>
          <w:rFonts w:ascii="Arial" w:cs="Arial" w:eastAsia="Arial" w:hAnsi="Arial"/>
          <w:sz w:val="20"/>
          <w:szCs w:val="20"/>
          <w:color w:val="auto"/>
        </w:rPr>
        <w:t>Nuclear and Operating</w:t>
      </w:r>
    </w:p>
    <w:p>
      <w:pPr>
        <w:spacing w:after="0" w:line="195"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3A5575"/>
        </w:rPr>
        <w:t>INDEPENDENT DIRECTOR</w:t>
      </w:r>
    </w:p>
    <w:p>
      <w:pPr>
        <w:spacing w:after="0" w:line="218" w:lineRule="exact"/>
        <w:rPr>
          <w:sz w:val="20"/>
          <w:szCs w:val="20"/>
          <w:color w:val="auto"/>
        </w:rPr>
      </w:pPr>
    </w:p>
    <w:p>
      <w:pPr>
        <w:ind w:left="100"/>
        <w:spacing w:after="0" w:line="249" w:lineRule="auto"/>
        <w:rPr>
          <w:sz w:val="20"/>
          <w:szCs w:val="20"/>
          <w:color w:val="auto"/>
        </w:rPr>
      </w:pPr>
      <w:r>
        <w:rPr>
          <w:rFonts w:ascii="Arial" w:cs="Arial" w:eastAsia="Arial" w:hAnsi="Arial"/>
          <w:sz w:val="16"/>
          <w:szCs w:val="16"/>
          <w:i w:val="1"/>
          <w:iCs w:val="1"/>
          <w:color w:val="3A5575"/>
        </w:rPr>
        <w:t>As the Managing Partner of Wagener Capital Management, Mr. Wagener is experienced at analyzing business strategies, and brings the following key attributes to the Company:</w:t>
      </w:r>
    </w:p>
    <w:p>
      <w:pPr>
        <w:spacing w:after="0" w:line="149" w:lineRule="exact"/>
        <w:rPr>
          <w:sz w:val="20"/>
          <w:szCs w:val="20"/>
          <w:color w:val="auto"/>
        </w:rPr>
      </w:pPr>
    </w:p>
    <w:p>
      <w:pPr>
        <w:ind w:left="300" w:right="120" w:hanging="204"/>
        <w:spacing w:after="0" w:line="276" w:lineRule="auto"/>
        <w:tabs>
          <w:tab w:leader="none" w:pos="300" w:val="left"/>
        </w:tabs>
        <w:numPr>
          <w:ilvl w:val="0"/>
          <w:numId w:val="53"/>
        </w:numPr>
        <w:rPr>
          <w:rFonts w:ascii="Arial" w:cs="Arial" w:eastAsia="Arial" w:hAnsi="Arial"/>
          <w:sz w:val="16"/>
          <w:szCs w:val="16"/>
          <w:i w:val="1"/>
          <w:iCs w:val="1"/>
          <w:color w:val="3A5575"/>
        </w:rPr>
      </w:pPr>
      <w:r>
        <w:rPr>
          <w:rFonts w:ascii="Arial" w:cs="Arial" w:eastAsia="Arial" w:hAnsi="Arial"/>
          <w:sz w:val="16"/>
          <w:szCs w:val="16"/>
          <w:i w:val="1"/>
          <w:iCs w:val="1"/>
          <w:color w:val="3A5575"/>
        </w:rPr>
        <w:t>Strategic oversight and analysis of business strategies</w:t>
      </w:r>
    </w:p>
    <w:p>
      <w:pPr>
        <w:spacing w:after="0" w:line="128" w:lineRule="exact"/>
        <w:rPr>
          <w:rFonts w:ascii="Arial" w:cs="Arial" w:eastAsia="Arial" w:hAnsi="Arial"/>
          <w:sz w:val="16"/>
          <w:szCs w:val="16"/>
          <w:i w:val="1"/>
          <w:iCs w:val="1"/>
          <w:color w:val="3A5575"/>
        </w:rPr>
      </w:pPr>
    </w:p>
    <w:p>
      <w:pPr>
        <w:ind w:left="300" w:hanging="204"/>
        <w:spacing w:after="0"/>
        <w:tabs>
          <w:tab w:leader="none" w:pos="300" w:val="left"/>
        </w:tabs>
        <w:numPr>
          <w:ilvl w:val="0"/>
          <w:numId w:val="53"/>
        </w:numPr>
        <w:rPr>
          <w:rFonts w:ascii="Arial" w:cs="Arial" w:eastAsia="Arial" w:hAnsi="Arial"/>
          <w:sz w:val="16"/>
          <w:szCs w:val="16"/>
          <w:i w:val="1"/>
          <w:iCs w:val="1"/>
          <w:color w:val="3A5575"/>
        </w:rPr>
      </w:pPr>
      <w:r>
        <w:rPr>
          <w:rFonts w:ascii="Arial" w:cs="Arial" w:eastAsia="Arial" w:hAnsi="Arial"/>
          <w:sz w:val="16"/>
          <w:szCs w:val="16"/>
          <w:i w:val="1"/>
          <w:iCs w:val="1"/>
          <w:color w:val="3A5575"/>
        </w:rPr>
        <w:t>Investor experience</w:t>
      </w:r>
    </w:p>
    <w:p>
      <w:pPr>
        <w:spacing w:after="0" w:line="183" w:lineRule="exact"/>
        <w:rPr>
          <w:rFonts w:ascii="Arial" w:cs="Arial" w:eastAsia="Arial" w:hAnsi="Arial"/>
          <w:sz w:val="16"/>
          <w:szCs w:val="16"/>
          <w:i w:val="1"/>
          <w:iCs w:val="1"/>
          <w:color w:val="3A5575"/>
        </w:rPr>
      </w:pPr>
    </w:p>
    <w:p>
      <w:pPr>
        <w:ind w:left="300" w:hanging="204"/>
        <w:spacing w:after="0"/>
        <w:tabs>
          <w:tab w:leader="none" w:pos="300" w:val="left"/>
        </w:tabs>
        <w:numPr>
          <w:ilvl w:val="0"/>
          <w:numId w:val="53"/>
        </w:numPr>
        <w:rPr>
          <w:rFonts w:ascii="Arial" w:cs="Arial" w:eastAsia="Arial" w:hAnsi="Arial"/>
          <w:sz w:val="16"/>
          <w:szCs w:val="16"/>
          <w:i w:val="1"/>
          <w:iCs w:val="1"/>
          <w:color w:val="3A5575"/>
        </w:rPr>
      </w:pPr>
      <w:r>
        <w:rPr>
          <w:rFonts w:ascii="Arial" w:cs="Arial" w:eastAsia="Arial" w:hAnsi="Arial"/>
          <w:sz w:val="16"/>
          <w:szCs w:val="16"/>
          <w:i w:val="1"/>
          <w:iCs w:val="1"/>
          <w:color w:val="3A5575"/>
        </w:rPr>
        <w:t>Industry experience</w:t>
      </w:r>
    </w:p>
    <w:p>
      <w:pPr>
        <w:spacing w:after="0" w:line="20" w:lineRule="exact"/>
        <w:rPr>
          <w:sz w:val="20"/>
          <w:szCs w:val="20"/>
          <w:color w:val="auto"/>
        </w:rPr>
      </w:pPr>
      <w:r>
        <w:rPr>
          <w:sz w:val="20"/>
          <w:szCs w:val="20"/>
          <w:color w:val="auto"/>
        </w:rPr>
        <w:br w:type="column"/>
      </w:r>
    </w:p>
    <w:p>
      <w:pPr>
        <w:spacing w:after="0" w:line="281" w:lineRule="exact"/>
        <w:rPr>
          <w:sz w:val="20"/>
          <w:szCs w:val="20"/>
          <w:color w:val="auto"/>
        </w:rPr>
      </w:pPr>
    </w:p>
    <w:p>
      <w:pPr>
        <w:spacing w:after="0" w:line="237" w:lineRule="auto"/>
        <w:rPr>
          <w:sz w:val="20"/>
          <w:szCs w:val="20"/>
          <w:color w:val="auto"/>
        </w:rPr>
      </w:pPr>
      <w:r>
        <w:rPr>
          <w:rFonts w:ascii="Arial" w:cs="Arial" w:eastAsia="Arial" w:hAnsi="Arial"/>
          <w:sz w:val="20"/>
          <w:szCs w:val="20"/>
          <w:color w:val="auto"/>
        </w:rPr>
        <w:t>Mr. Wagener is the Managing Partner of Wagener Capital Management, an investment and advisory firm serving utility and private equity companies. He has held this position since June 1995. Mr. Wagener previously held executive positions at Salomon Brothers and Goldman, Sachs &amp; Co. Within the past five years, Mr. Wagener served as director of Ormat Technologies. Mr. Wagener served as a director of SunCor Development Company from January 2011 to March 2013.</w:t>
      </w:r>
    </w:p>
    <w:p>
      <w:pPr>
        <w:spacing w:after="0" w:line="167" w:lineRule="exact"/>
        <w:rPr>
          <w:sz w:val="20"/>
          <w:szCs w:val="20"/>
          <w:color w:val="auto"/>
        </w:rPr>
      </w:pPr>
    </w:p>
    <w:p>
      <w:pPr>
        <w:spacing w:after="0"/>
        <w:rPr>
          <w:sz w:val="20"/>
          <w:szCs w:val="20"/>
          <w:color w:val="auto"/>
        </w:rPr>
      </w:pPr>
      <w:r>
        <w:rPr>
          <w:rFonts w:ascii="Arial" w:cs="Arial" w:eastAsia="Arial" w:hAnsi="Arial"/>
          <w:sz w:val="20"/>
          <w:szCs w:val="20"/>
          <w:b w:val="1"/>
          <w:bCs w:val="1"/>
          <w:color w:val="3A5575"/>
        </w:rPr>
        <w:t>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5368925" cy="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5368925" cy="7620"/>
                    </a:xfrm>
                    <a:prstGeom prst="rect">
                      <a:avLst/>
                    </a:prstGeom>
                    <a:noFill/>
                  </pic:spPr>
                </pic:pic>
              </a:graphicData>
            </a:graphic>
          </wp:anchor>
        </w:drawing>
      </w:r>
    </w:p>
    <w:p>
      <w:pPr>
        <w:spacing w:after="0" w:line="281" w:lineRule="exact"/>
        <w:rPr>
          <w:sz w:val="20"/>
          <w:szCs w:val="20"/>
          <w:color w:val="auto"/>
        </w:rPr>
      </w:pPr>
    </w:p>
    <w:p>
      <w:pPr>
        <w:ind w:right="140"/>
        <w:spacing w:after="0" w:line="242" w:lineRule="auto"/>
        <w:rPr>
          <w:sz w:val="20"/>
          <w:szCs w:val="20"/>
          <w:color w:val="auto"/>
        </w:rPr>
      </w:pPr>
      <w:r>
        <w:rPr>
          <w:rFonts w:ascii="Arial" w:cs="Arial" w:eastAsia="Arial" w:hAnsi="Arial"/>
          <w:sz w:val="20"/>
          <w:szCs w:val="20"/>
          <w:color w:val="auto"/>
        </w:rPr>
        <w:t>Mr. Wagener brings to the Board over 30 years of experience in the power/energy industry, project finance and investment banking experience, and knowledge of utility regulation. His participation brings value to the Company and the Board as we address structural and business challenges facing the utility industry.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-1881505</wp:posOffset>
            </wp:positionH>
            <wp:positionV relativeFrom="paragraph">
              <wp:posOffset>1540510</wp:posOffset>
            </wp:positionV>
            <wp:extent cx="7254240" cy="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598" w:lineRule="exact"/>
        <w:rPr>
          <w:sz w:val="20"/>
          <w:szCs w:val="20"/>
          <w:color w:val="auto"/>
        </w:rPr>
      </w:pPr>
    </w:p>
    <w:p>
      <w:pPr>
        <w:sectPr>
          <w:pgSz w:w="11900" w:h="16838" w:orient="portrait"/>
          <w:cols w:equalWidth="0" w:num="2">
            <w:col w:w="2840" w:space="220"/>
            <w:col w:w="8440"/>
          </w:cols>
          <w:pgMar w:left="240" w:top="110" w:right="159" w:bottom="405" w:gutter="0" w:footer="0" w:header="0"/>
          <w:type w:val="continuous"/>
        </w:sectPr>
      </w:pPr>
    </w:p>
    <w:p>
      <w:pPr>
        <w:spacing w:after="0" w:line="112" w:lineRule="exact"/>
        <w:rPr>
          <w:sz w:val="20"/>
          <w:szCs w:val="20"/>
          <w:color w:val="auto"/>
        </w:rPr>
      </w:pPr>
    </w:p>
    <w:p>
      <w:pPr>
        <w:jc w:val="center"/>
        <w:ind w:right="80"/>
        <w:spacing w:after="0"/>
        <w:rPr>
          <w:sz w:val="20"/>
          <w:szCs w:val="20"/>
          <w:color w:val="auto"/>
        </w:rPr>
      </w:pPr>
      <w:r>
        <w:rPr>
          <w:rFonts w:ascii="Arial" w:cs="Arial" w:eastAsia="Arial" w:hAnsi="Arial"/>
          <w:sz w:val="20"/>
          <w:szCs w:val="20"/>
          <w:b w:val="1"/>
          <w:bCs w:val="1"/>
          <w:color w:val="auto"/>
        </w:rPr>
        <w:t xml:space="preserve">THE BOARD OF DIRECTORS UNANIMOUSLY RECOMMENDS A VOTE </w:t>
      </w:r>
      <w:r>
        <w:rPr>
          <w:rFonts w:ascii="Arial" w:cs="Arial" w:eastAsia="Arial" w:hAnsi="Arial"/>
          <w:sz w:val="20"/>
          <w:szCs w:val="20"/>
          <w:b w:val="1"/>
          <w:bCs w:val="1"/>
          <w:u w:val="single" w:color="auto"/>
          <w:color w:val="auto"/>
        </w:rPr>
        <w:t>FOR</w:t>
      </w:r>
      <w:r>
        <w:rPr>
          <w:rFonts w:ascii="Arial" w:cs="Arial" w:eastAsia="Arial" w:hAnsi="Arial"/>
          <w:sz w:val="20"/>
          <w:szCs w:val="20"/>
          <w:b w:val="1"/>
          <w:bCs w:val="1"/>
          <w:color w:val="auto"/>
        </w:rPr>
        <w:t xml:space="preserve"> THE</w:t>
      </w:r>
    </w:p>
    <w:p>
      <w:pPr>
        <w:spacing w:after="0" w:line="19" w:lineRule="exact"/>
        <w:rPr>
          <w:sz w:val="20"/>
          <w:szCs w:val="20"/>
          <w:color w:val="auto"/>
        </w:rPr>
      </w:pPr>
    </w:p>
    <w:p>
      <w:pPr>
        <w:jc w:val="center"/>
        <w:ind w:right="80"/>
        <w:spacing w:after="0"/>
        <w:rPr>
          <w:sz w:val="20"/>
          <w:szCs w:val="20"/>
          <w:color w:val="auto"/>
        </w:rPr>
      </w:pPr>
      <w:r>
        <w:rPr>
          <w:rFonts w:ascii="Arial" w:cs="Arial" w:eastAsia="Arial" w:hAnsi="Arial"/>
          <w:sz w:val="20"/>
          <w:szCs w:val="20"/>
          <w:b w:val="1"/>
          <w:bCs w:val="1"/>
          <w:color w:val="auto"/>
        </w:rPr>
        <w:t>ELECTION OF THE NOMINATED SLATE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177165</wp:posOffset>
            </wp:positionV>
            <wp:extent cx="841375" cy="16383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30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00"/>
          </w:cols>
          <w:pgMar w:left="240" w:top="110" w:right="159" w:bottom="405" w:gutter="0" w:footer="0" w:header="0"/>
          <w:type w:val="continuous"/>
        </w:sectPr>
      </w:pPr>
    </w:p>
    <w:bookmarkStart w:id="39" w:name="page40"/>
    <w:bookmarkEnd w:id="39"/>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5817235</wp:posOffset>
            </wp:positionH>
            <wp:positionV relativeFrom="paragraph">
              <wp:posOffset>137795</wp:posOffset>
            </wp:positionV>
            <wp:extent cx="1440815" cy="1555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440815" cy="155575"/>
                    </a:xfrm>
                    <a:prstGeom prst="rect">
                      <a:avLst/>
                    </a:prstGeom>
                    <a:noFill/>
                  </pic:spPr>
                </pic:pic>
              </a:graphicData>
            </a:graphic>
          </wp:anchor>
        </w:drawing>
      </w:r>
    </w:p>
    <w:p>
      <w:pPr>
        <w:spacing w:after="0" w:line="232" w:lineRule="exact"/>
        <w:rPr>
          <w:sz w:val="20"/>
          <w:szCs w:val="20"/>
          <w:color w:val="auto"/>
        </w:rPr>
      </w:pPr>
    </w:p>
    <w:p>
      <w:pPr>
        <w:ind w:left="9200"/>
        <w:spacing w:after="0"/>
        <w:rPr>
          <w:sz w:val="20"/>
          <w:szCs w:val="20"/>
          <w:color w:val="auto"/>
        </w:rPr>
      </w:pPr>
      <w:r>
        <w:rPr>
          <w:rFonts w:ascii="Arial" w:cs="Arial" w:eastAsia="Arial" w:hAnsi="Arial"/>
          <w:sz w:val="13"/>
          <w:szCs w:val="13"/>
          <w:b w:val="1"/>
          <w:bCs w:val="1"/>
          <w:color w:val="FFFFFE"/>
        </w:rPr>
        <w:t>DIRECTOR INDEPENDENCE</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Director Independence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jc w:val="both"/>
        <w:ind w:right="220"/>
        <w:spacing w:after="0" w:line="241" w:lineRule="auto"/>
        <w:rPr>
          <w:sz w:val="20"/>
          <w:szCs w:val="20"/>
          <w:color w:val="auto"/>
        </w:rPr>
      </w:pPr>
      <w:r>
        <w:rPr>
          <w:rFonts w:ascii="Arial" w:cs="Arial" w:eastAsia="Arial" w:hAnsi="Arial"/>
          <w:sz w:val="20"/>
          <w:szCs w:val="20"/>
          <w:color w:val="auto"/>
        </w:rPr>
        <w:t>NYSE rules require companies whose securities are traded on the NYSE to have a majority of independent directors. These rules describe certain relationships that prevent a director from being independent and require a company's board of directors to make director independence determinations in all other circumstances. The Company's Board has also adopted Director Independence Standards to assist the Board in making independence determinations. These Director Independence Standards are available on the Company's website (</w:t>
      </w:r>
      <w:r>
        <w:rPr>
          <w:rFonts w:ascii="Arial" w:cs="Arial" w:eastAsia="Arial" w:hAnsi="Arial"/>
          <w:sz w:val="20"/>
          <w:szCs w:val="20"/>
          <w:b w:val="1"/>
          <w:bCs w:val="1"/>
          <w:i w:val="1"/>
          <w:iCs w:val="1"/>
          <w:color w:val="3A5575"/>
        </w:rPr>
        <w:t>www.pinnaclewest.com</w:t>
      </w:r>
      <w:r>
        <w:rPr>
          <w:rFonts w:ascii="Arial" w:cs="Arial" w:eastAsia="Arial" w:hAnsi="Arial"/>
          <w:sz w:val="20"/>
          <w:szCs w:val="20"/>
          <w:color w:val="auto"/>
        </w:rPr>
        <w:t>).</w:t>
      </w:r>
    </w:p>
    <w:p>
      <w:pPr>
        <w:sectPr>
          <w:pgSz w:w="11900" w:h="16838" w:orient="portrait"/>
          <w:cols w:equalWidth="0" w:num="1">
            <w:col w:w="11440"/>
          </w:cols>
          <w:pgMar w:left="240" w:top="110" w:right="219" w:bottom="1440" w:gutter="0" w:footer="0" w:header="0"/>
        </w:sectPr>
      </w:pPr>
    </w:p>
    <w:p>
      <w:pPr>
        <w:spacing w:after="0" w:line="160" w:lineRule="exact"/>
        <w:rPr>
          <w:sz w:val="20"/>
          <w:szCs w:val="20"/>
          <w:color w:val="auto"/>
        </w:rPr>
      </w:pPr>
    </w:p>
    <w:p>
      <w:pPr>
        <w:ind w:right="200"/>
        <w:spacing w:after="0" w:line="276" w:lineRule="auto"/>
        <w:rPr>
          <w:sz w:val="20"/>
          <w:szCs w:val="20"/>
          <w:color w:val="auto"/>
        </w:rPr>
      </w:pPr>
      <w:r>
        <w:rPr>
          <w:rFonts w:ascii="Arial" w:cs="Arial" w:eastAsia="Arial" w:hAnsi="Arial"/>
          <w:sz w:val="16"/>
          <w:szCs w:val="16"/>
          <w:i w:val="1"/>
          <w:iCs w:val="1"/>
          <w:color w:val="3A5575"/>
        </w:rPr>
        <w:t>Nine of our ten directors are independent.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spacing w:after="0" w:line="274" w:lineRule="auto"/>
        <w:rPr>
          <w:sz w:val="20"/>
          <w:szCs w:val="20"/>
          <w:color w:val="auto"/>
        </w:rPr>
      </w:pPr>
      <w:r>
        <w:rPr>
          <w:rFonts w:ascii="Arial" w:cs="Arial" w:eastAsia="Arial" w:hAnsi="Arial"/>
          <w:sz w:val="15"/>
          <w:szCs w:val="15"/>
          <w:i w:val="1"/>
          <w:iCs w:val="1"/>
          <w:color w:val="3A5575"/>
        </w:rPr>
        <w:t>Dr. Cortese is independent under the tests imposed by the NYSE rules and our Director Independence Standards.</w:t>
      </w:r>
    </w:p>
    <w:p>
      <w:pPr>
        <w:spacing w:after="0" w:line="20" w:lineRule="exact"/>
        <w:rPr>
          <w:sz w:val="20"/>
          <w:szCs w:val="20"/>
          <w:color w:val="auto"/>
        </w:rPr>
      </w:pPr>
      <w:r>
        <w:rPr>
          <w:sz w:val="20"/>
          <w:szCs w:val="20"/>
          <w:color w:val="auto"/>
        </w:rPr>
        <w:br w:type="column"/>
      </w:r>
    </w:p>
    <w:p>
      <w:pPr>
        <w:spacing w:after="0" w:line="125" w:lineRule="exact"/>
        <w:rPr>
          <w:sz w:val="20"/>
          <w:szCs w:val="20"/>
          <w:color w:val="auto"/>
        </w:rPr>
      </w:pPr>
    </w:p>
    <w:p>
      <w:pPr>
        <w:ind w:right="280"/>
        <w:spacing w:after="0" w:line="237" w:lineRule="auto"/>
        <w:rPr>
          <w:sz w:val="20"/>
          <w:szCs w:val="20"/>
          <w:color w:val="auto"/>
        </w:rPr>
      </w:pPr>
      <w:r>
        <w:rPr>
          <w:rFonts w:ascii="Arial" w:cs="Arial" w:eastAsia="Arial" w:hAnsi="Arial"/>
          <w:sz w:val="20"/>
          <w:szCs w:val="20"/>
          <w:color w:val="auto"/>
        </w:rPr>
        <w:t>Based on the Board's review, the Board has determined that one of the Company's directors is not independent and that all of the other directors are independent. The independent directors are Messrs. Fox, Gallagher, Lopez, Nordstrom, and Wagener, Drs. Cortese, Herberger and Klein, and Ms. Munro. Mr. Brandt is not independent under the NYSE rules or the Director Independence Standards because of his employment with the Company. Ms. Susan Clark-Johnson passed away in January 2015. She was independent while she was a member of the Board.</w:t>
      </w:r>
    </w:p>
    <w:p>
      <w:pPr>
        <w:spacing w:after="0" w:line="195" w:lineRule="exact"/>
        <w:rPr>
          <w:sz w:val="20"/>
          <w:szCs w:val="20"/>
          <w:color w:val="auto"/>
        </w:rPr>
      </w:pPr>
    </w:p>
    <w:p>
      <w:pPr>
        <w:ind w:right="20"/>
        <w:spacing w:after="0" w:line="242" w:lineRule="auto"/>
        <w:rPr>
          <w:sz w:val="20"/>
          <w:szCs w:val="20"/>
          <w:color w:val="auto"/>
        </w:rPr>
      </w:pPr>
      <w:r>
        <w:rPr>
          <w:rFonts w:ascii="Arial" w:cs="Arial" w:eastAsia="Arial" w:hAnsi="Arial"/>
          <w:sz w:val="20"/>
          <w:szCs w:val="20"/>
          <w:color w:val="auto"/>
        </w:rPr>
        <w:t>In accordance with the NYSE rules and the Director Independence Standards, the Board undertakes an annual review to determine which of its directors are independent. The review generally takes place in the first quarter of each year; however, directors are required to notify the Company of any changes that occur throughout the year that may impact their independence.</w:t>
      </w:r>
    </w:p>
    <w:p>
      <w:pPr>
        <w:spacing w:after="0" w:line="176" w:lineRule="exact"/>
        <w:rPr>
          <w:sz w:val="20"/>
          <w:szCs w:val="20"/>
          <w:color w:val="auto"/>
        </w:rPr>
      </w:pPr>
    </w:p>
    <w:p>
      <w:pPr>
        <w:ind w:right="140"/>
        <w:spacing w:after="0" w:line="245" w:lineRule="auto"/>
        <w:rPr>
          <w:sz w:val="20"/>
          <w:szCs w:val="20"/>
          <w:color w:val="auto"/>
        </w:rPr>
      </w:pPr>
      <w:r>
        <w:rPr>
          <w:rFonts w:ascii="Arial" w:cs="Arial" w:eastAsia="Arial" w:hAnsi="Arial"/>
          <w:sz w:val="19"/>
          <w:szCs w:val="19"/>
          <w:color w:val="auto"/>
        </w:rPr>
        <w:t>Dr. Cortese is an employee of Arizona State University ("ASU") in his capacity as the Director of the ASU Health Care Delivery and Policy Program and a Foundation Professor in the Department of Biomedical Informatics, Ira A. Fulton School of Engineering and in the School of Health Management and Policy, W.P. Carey School of Business. Ms. Clark-Johnson was also an employee of ASU in her capacity as a Professor of Practice at ASU's Walter Cronkite School of Journalism. ASU is considered a part of the reporting entity for the State of Arizona (the "State") for financial reporting purposes and, as such, the State is the entity considered in applying the independence tests. In considering the independence of Ms. Clark-Johnson and Dr. Cortese, the Board considered the fact that transactions between the State and the Company and its affiliates consist of providing electric service, the payment of various State fees, taxes, memberships, licenses, sponsorships and donations, and the payment by each party of utility-related costs. The Board determined that these matters did not impact Ms. Clark-Johnson's and do not impact Dr. Cortese's independence, since amounts paid to or received from the State are less than the dollar thresholds set forth in the NYSE rules and the Director Independence Standards. In addition, neither of these directors benefitted, and in the case of Dr. Cortese does not benefit, financially, directly or indirectly, from ASU's business relationships with the Company, most of which consist of receiving electric service at regulated rates.</w:t>
      </w:r>
    </w:p>
    <w:p>
      <w:pPr>
        <w:spacing w:after="0" w:line="93" w:lineRule="exact"/>
        <w:rPr>
          <w:sz w:val="20"/>
          <w:szCs w:val="20"/>
          <w:color w:val="auto"/>
        </w:rPr>
      </w:pPr>
    </w:p>
    <w:p>
      <w:pPr>
        <w:sectPr>
          <w:pgSz w:w="11900" w:h="16838" w:orient="portrait"/>
          <w:cols w:equalWidth="0" w:num="2">
            <w:col w:w="2180" w:space="260"/>
            <w:col w:w="9000"/>
          </w:cols>
          <w:pgMar w:left="240" w:top="110" w:right="219" w:bottom="1440" w:gutter="0" w:footer="0" w:header="0"/>
          <w:type w:val="continuous"/>
        </w:sectPr>
      </w:pPr>
    </w:p>
    <w:p>
      <w:pPr>
        <w:ind w:left="7480"/>
        <w:spacing w:after="0"/>
        <w:tabs>
          <w:tab w:leader="none" w:pos="932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type w:val="continuous"/>
        </w:sectPr>
      </w:pPr>
    </w:p>
    <w:bookmarkStart w:id="40" w:name="page41"/>
    <w:bookmarkEnd w:id="40"/>
    <w:p>
      <w:pPr>
        <w:spacing w:after="0"/>
        <w:rPr>
          <w:rFonts w:ascii="Arial" w:cs="Arial" w:eastAsia="Arial" w:hAnsi="Arial"/>
          <w:sz w:val="19"/>
          <w:szCs w:val="19"/>
          <w:u w:val="single" w:color="auto"/>
          <w:color w:val="0000EE"/>
        </w:rPr>
      </w:pPr>
      <w:hyperlink w:anchor="page7">
        <w:r>
          <w:rPr>
            <w:rFonts w:ascii="Arial" w:cs="Arial" w:eastAsia="Arial" w:hAnsi="Arial"/>
            <w:sz w:val="19"/>
            <w:szCs w:val="19"/>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145415</wp:posOffset>
            </wp:positionV>
            <wp:extent cx="1440815" cy="15557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1440815" cy="155575"/>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p>
      <w:pPr>
        <w:spacing w:after="0" w:line="264"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DIRECTOR INDEPENDENCE</w:t>
      </w:r>
    </w:p>
    <w:p>
      <w:pPr>
        <w:spacing w:after="0" w:line="45" w:lineRule="exact"/>
        <w:rPr>
          <w:sz w:val="20"/>
          <w:szCs w:val="20"/>
          <w:color w:val="auto"/>
        </w:rPr>
      </w:pPr>
    </w:p>
    <w:p>
      <w:pPr>
        <w:ind w:right="20"/>
        <w:spacing w:after="0" w:line="252" w:lineRule="auto"/>
        <w:rPr>
          <w:sz w:val="20"/>
          <w:szCs w:val="20"/>
          <w:color w:val="auto"/>
        </w:rPr>
      </w:pPr>
      <w:r>
        <w:rPr>
          <w:rFonts w:ascii="Arial" w:cs="Arial" w:eastAsia="Arial" w:hAnsi="Arial"/>
          <w:sz w:val="16"/>
          <w:szCs w:val="16"/>
          <w:i w:val="1"/>
          <w:iCs w:val="1"/>
          <w:color w:val="3A5575"/>
        </w:rPr>
        <w:t>Mr. Fox is independent under the tests imposed by the NYSE rules and our Director Independence Standards.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4" w:lineRule="exact"/>
        <w:rPr>
          <w:sz w:val="20"/>
          <w:szCs w:val="20"/>
          <w:color w:val="auto"/>
        </w:rPr>
      </w:pPr>
    </w:p>
    <w:p>
      <w:pPr>
        <w:ind w:right="120"/>
        <w:spacing w:after="0" w:line="236" w:lineRule="auto"/>
        <w:rPr>
          <w:sz w:val="20"/>
          <w:szCs w:val="20"/>
          <w:color w:val="auto"/>
        </w:rPr>
      </w:pPr>
      <w:r>
        <w:rPr>
          <w:rFonts w:ascii="Arial" w:cs="Arial" w:eastAsia="Arial" w:hAnsi="Arial"/>
          <w:sz w:val="20"/>
          <w:szCs w:val="20"/>
          <w:color w:val="auto"/>
        </w:rPr>
        <w:t>Mr. Fox serves as a director of Univar, Inc. APS purchases chemicals that are used in the operation and maintenance of our power plants, primarily in controlling our water chemistry, from Univar. However, since: (a) the amounts paid to Univar were less than the dollar thresholds set forth in the NYSE rules and our Director Independence Standards and were less than one percent of the Company's and Univar's revenues for fiscal year 2015; (b) the relationship between APS and Univar pre-dates Mr. Fox joining the Board; and (c) our purchases from Univar are negotiated at arm's length, the Board determined that these transactions do not impact Mr. Fox's independence.</w:t>
      </w:r>
    </w:p>
    <w:p>
      <w:pPr>
        <w:spacing w:after="0" w:line="183" w:lineRule="exact"/>
        <w:rPr>
          <w:sz w:val="20"/>
          <w:szCs w:val="20"/>
          <w:color w:val="auto"/>
        </w:rPr>
      </w:pPr>
    </w:p>
    <w:p>
      <w:pPr>
        <w:sectPr>
          <w:pgSz w:w="11900" w:h="16838" w:orient="portrait"/>
          <w:cols w:equalWidth="0" w:num="2">
            <w:col w:w="2220" w:space="220"/>
            <w:col w:w="8980"/>
          </w:cols>
          <w:pgMar w:left="240" w:top="110" w:right="239" w:bottom="1440" w:gutter="0" w:footer="0" w:header="0"/>
          <w:type w:val="continuous"/>
        </w:sectPr>
      </w:pPr>
    </w:p>
    <w:p>
      <w:pPr>
        <w:spacing w:after="0" w:line="15" w:lineRule="exact"/>
        <w:rPr>
          <w:sz w:val="20"/>
          <w:szCs w:val="20"/>
          <w:color w:val="auto"/>
        </w:rPr>
      </w:pPr>
    </w:p>
    <w:p>
      <w:pPr>
        <w:spacing w:after="0" w:line="262" w:lineRule="auto"/>
        <w:rPr>
          <w:sz w:val="20"/>
          <w:szCs w:val="20"/>
          <w:color w:val="auto"/>
        </w:rPr>
      </w:pPr>
      <w:r>
        <w:rPr>
          <w:rFonts w:ascii="Arial" w:cs="Arial" w:eastAsia="Arial" w:hAnsi="Arial"/>
          <w:sz w:val="15"/>
          <w:szCs w:val="15"/>
          <w:i w:val="1"/>
          <w:iCs w:val="1"/>
          <w:color w:val="3A5575"/>
        </w:rPr>
        <w:t>Mr. Gallagher is independent under the tests imposed by the NYSE rules and our Director Independence Standards.</w:t>
      </w:r>
    </w:p>
    <w:p>
      <w:pPr>
        <w:spacing w:after="0" w:line="1" w:lineRule="exact"/>
        <w:rPr>
          <w:sz w:val="20"/>
          <w:szCs w:val="20"/>
          <w:color w:val="auto"/>
        </w:rPr>
      </w:pPr>
    </w:p>
    <w:p>
      <w:pPr>
        <w:ind w:right="160"/>
        <w:spacing w:after="0" w:line="271" w:lineRule="auto"/>
        <w:rPr>
          <w:sz w:val="20"/>
          <w:szCs w:val="20"/>
          <w:color w:val="auto"/>
        </w:rPr>
      </w:pPr>
      <w:r>
        <w:rPr>
          <w:rFonts w:ascii="Arial" w:cs="Arial" w:eastAsia="Arial" w:hAnsi="Arial"/>
          <w:sz w:val="15"/>
          <w:szCs w:val="15"/>
          <w:i w:val="1"/>
          <w:iCs w:val="1"/>
          <w:color w:val="3A5575"/>
        </w:rPr>
        <w:t>Mr. Gallagher has no involvement in legal services provided to the Company.</w:t>
      </w:r>
    </w:p>
    <w:p>
      <w:pPr>
        <w:spacing w:after="0" w:line="20" w:lineRule="exact"/>
        <w:rPr>
          <w:sz w:val="20"/>
          <w:szCs w:val="20"/>
          <w:color w:val="auto"/>
        </w:rPr>
      </w:pPr>
      <w:r>
        <w:rPr>
          <w:sz w:val="20"/>
          <w:szCs w:val="20"/>
          <w:color w:val="auto"/>
        </w:rPr>
        <w:br w:type="column"/>
      </w:r>
    </w:p>
    <w:p>
      <w:pPr>
        <w:ind w:left="1" w:right="220"/>
        <w:spacing w:after="0" w:line="251" w:lineRule="auto"/>
        <w:rPr>
          <w:sz w:val="20"/>
          <w:szCs w:val="20"/>
          <w:color w:val="auto"/>
        </w:rPr>
      </w:pPr>
      <w:r>
        <w:rPr>
          <w:rFonts w:ascii="Arial" w:cs="Arial" w:eastAsia="Arial" w:hAnsi="Arial"/>
          <w:sz w:val="19"/>
          <w:szCs w:val="19"/>
          <w:color w:val="auto"/>
        </w:rPr>
        <w:t>In considering the independence of Mr. Gallagher, the Board considered that the law firm of Gallagher &amp; Kennedy, where Mr. Gallagher is Chairman Emeritus, provided legal services to the Company in 2015 and is expected to provide legal services to the Company in 2016. However, since:</w:t>
      </w:r>
    </w:p>
    <w:p>
      <w:pPr>
        <w:spacing w:after="0" w:line="1" w:lineRule="exact"/>
        <w:rPr>
          <w:sz w:val="20"/>
          <w:szCs w:val="20"/>
          <w:color w:val="auto"/>
        </w:rPr>
      </w:pPr>
    </w:p>
    <w:p>
      <w:pPr>
        <w:ind w:left="1" w:right="20" w:hanging="1"/>
        <w:spacing w:after="0" w:line="233" w:lineRule="auto"/>
        <w:tabs>
          <w:tab w:leader="none" w:pos="295" w:val="left"/>
        </w:tabs>
        <w:numPr>
          <w:ilvl w:val="0"/>
          <w:numId w:val="54"/>
        </w:numPr>
        <w:rPr>
          <w:rFonts w:ascii="Arial" w:cs="Arial" w:eastAsia="Arial" w:hAnsi="Arial"/>
          <w:sz w:val="20"/>
          <w:szCs w:val="20"/>
          <w:color w:val="auto"/>
        </w:rPr>
      </w:pPr>
      <w:r>
        <w:rPr>
          <w:rFonts w:ascii="Arial" w:cs="Arial" w:eastAsia="Arial" w:hAnsi="Arial"/>
          <w:sz w:val="20"/>
          <w:szCs w:val="20"/>
          <w:color w:val="auto"/>
        </w:rPr>
        <w:t>the amounts paid to Gallagher &amp; Kennedy were less than the dollar thresholds set forth in the NYSE rules and the Director Independence Standards, and were less than one percent of the Company's and Gallagher &amp; Kennedy's revenues for fiscal year 2015; (b) Mr. Gallagher does not furnish legal services to the Company; and (c) he has advised the Company that he receives no compensation or benefits from Gallagher &amp; Kennedy as a result of the firm providing legal services to the Company, the Board determined that Mr. Gallagher was independent.</w:t>
      </w:r>
    </w:p>
    <w:p>
      <w:pPr>
        <w:spacing w:after="0" w:line="157" w:lineRule="exact"/>
        <w:rPr>
          <w:sz w:val="20"/>
          <w:szCs w:val="20"/>
          <w:color w:val="auto"/>
        </w:rPr>
      </w:pPr>
    </w:p>
    <w:p>
      <w:pPr>
        <w:sectPr>
          <w:pgSz w:w="11900" w:h="16838" w:orient="portrait"/>
          <w:cols w:equalWidth="0" w:num="2">
            <w:col w:w="2180" w:space="259"/>
            <w:col w:w="8981"/>
          </w:cols>
          <w:pgMar w:left="240" w:top="110" w:right="239" w:bottom="1440" w:gutter="0" w:footer="0" w:header="0"/>
          <w:type w:val="continuous"/>
        </w:sectPr>
      </w:pPr>
    </w:p>
    <w:p>
      <w:pPr>
        <w:ind w:right="40"/>
        <w:spacing w:after="0" w:line="235" w:lineRule="auto"/>
        <w:rPr>
          <w:sz w:val="20"/>
          <w:szCs w:val="20"/>
          <w:color w:val="auto"/>
        </w:rPr>
      </w:pPr>
      <w:r>
        <w:rPr>
          <w:rFonts w:ascii="Arial" w:cs="Arial" w:eastAsia="Arial" w:hAnsi="Arial"/>
          <w:sz w:val="20"/>
          <w:szCs w:val="20"/>
          <w:color w:val="auto"/>
        </w:rPr>
        <w:t>With respect to all of the directors, the Board considered that many of the directors and/or businesses of which they are officers, directors, shareholders, or employees are located in APS's service territory and purchase electricity from APS at regulated rates in the normal course of business. The Board considered these relationships in determining the directors' independence, but, because the rates and charges for electricity provided by APS are fixed by the Arizona Corporation Commission (the "ACC"), and the directors satisfied the other independence criteria specified in the NYSE rules and the Director Independence Standards, the Board determined that these relationships did not impact the independence of any director. The Board also considered contributions to charitable and non-profit organizations where a director also serves as a director of such charity or organization. However, since no director is also an executive officer of such charitable or non-profit organization, the Board determined that these payments did not impact the independence of any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172720</wp:posOffset>
            </wp:positionV>
            <wp:extent cx="841375" cy="16383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32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type w:val="continuous"/>
        </w:sectPr>
      </w:pPr>
    </w:p>
    <w:bookmarkStart w:id="41" w:name="page42"/>
    <w:bookmarkEnd w:id="4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20"/>
        <w:spacing w:after="0"/>
        <w:rPr>
          <w:sz w:val="20"/>
          <w:szCs w:val="20"/>
          <w:color w:val="auto"/>
        </w:rPr>
      </w:pPr>
      <w:r>
        <w:rPr>
          <w:rFonts w:ascii="Arial" w:cs="Arial" w:eastAsia="Arial" w:hAnsi="Arial"/>
          <w:sz w:val="39"/>
          <w:szCs w:val="39"/>
          <w:b w:val="1"/>
          <w:bCs w:val="1"/>
          <w:color w:val="3A5575"/>
        </w:rPr>
        <w:t>Stock Matters</w:t>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Ownership of Pinnacle West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40"/>
        <w:spacing w:after="0" w:line="242" w:lineRule="auto"/>
        <w:rPr>
          <w:sz w:val="20"/>
          <w:szCs w:val="20"/>
          <w:color w:val="auto"/>
        </w:rPr>
      </w:pPr>
      <w:r>
        <w:rPr>
          <w:rFonts w:ascii="Arial" w:cs="Arial" w:eastAsia="Arial" w:hAnsi="Arial"/>
          <w:sz w:val="20"/>
          <w:szCs w:val="20"/>
          <w:color w:val="auto"/>
        </w:rPr>
        <w:t>The following table shows the amount of Pinnacle West common stock owned by the Company's directors, the Named Executive Officers, our directors and executive officers as a group, and those persons who beneficially own more than 5% of the Company's common stock. Unless otherwise indicated, each shareholder listed below has sole voting and investment power with respect to the shares beneficially owned.</w:t>
      </w:r>
    </w:p>
    <w:p>
      <w:pPr>
        <w:spacing w:after="0" w:line="152" w:lineRule="exact"/>
        <w:rPr>
          <w:sz w:val="20"/>
          <w:szCs w:val="20"/>
          <w:color w:val="auto"/>
        </w:rPr>
      </w:pPr>
    </w:p>
    <w:p>
      <w:pPr>
        <w:ind w:right="20"/>
        <w:spacing w:after="0" w:line="292" w:lineRule="auto"/>
        <w:rPr>
          <w:sz w:val="20"/>
          <w:szCs w:val="20"/>
          <w:color w:val="auto"/>
        </w:rPr>
      </w:pPr>
      <w:r>
        <w:rPr>
          <w:rFonts w:ascii="Arial" w:cs="Arial" w:eastAsia="Arial" w:hAnsi="Arial"/>
          <w:sz w:val="19"/>
          <w:szCs w:val="19"/>
          <w:color w:val="auto"/>
        </w:rPr>
        <w:t>The address of each of the listed shareholders not otherwise set forth below is P.O. Box 53999, Mail Station 8602, Phoenix, Arizona 85072-3999. Unless otherwise indicated, all information is as of March 10, 2016, the Record Date for the Annual Meeting.</w:t>
      </w:r>
    </w:p>
    <w:p>
      <w:pPr>
        <w:spacing w:after="0" w:line="200" w:lineRule="exact"/>
        <w:rPr>
          <w:sz w:val="20"/>
          <w:szCs w:val="20"/>
          <w:color w:val="auto"/>
        </w:rPr>
      </w:pPr>
    </w:p>
    <w:p>
      <w:pPr>
        <w:spacing w:after="0" w:line="260" w:lineRule="exact"/>
        <w:rPr>
          <w:sz w:val="20"/>
          <w:szCs w:val="20"/>
          <w:color w:val="auto"/>
        </w:rPr>
      </w:pPr>
    </w:p>
    <w:tbl>
      <w:tblPr>
        <w:tblLayout w:type="fixed"/>
        <w:tblInd w:w="1360" w:type="dxa"/>
        <w:tblCellMar>
          <w:top w:w="0" w:type="dxa"/>
          <w:left w:w="0" w:type="dxa"/>
          <w:bottom w:w="0" w:type="dxa"/>
          <w:right w:w="0" w:type="dxa"/>
        </w:tblCellMar>
      </w:tblPr>
      <w:tr>
        <w:trPr>
          <w:trHeight w:val="203"/>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tcPr>
          <w:p>
            <w:pPr>
              <w:spacing w:after="0"/>
              <w:rPr>
                <w:sz w:val="17"/>
                <w:szCs w:val="17"/>
                <w:color w:val="auto"/>
              </w:rPr>
            </w:pPr>
          </w:p>
        </w:tc>
        <w:tc>
          <w:tcPr>
            <w:tcW w:w="2420" w:type="dxa"/>
            <w:vAlign w:val="bottom"/>
          </w:tcPr>
          <w:p>
            <w:pPr>
              <w:jc w:val="center"/>
              <w:ind w:left="121"/>
              <w:spacing w:after="0"/>
              <w:rPr>
                <w:sz w:val="20"/>
                <w:szCs w:val="20"/>
                <w:color w:val="auto"/>
              </w:rPr>
            </w:pPr>
            <w:r>
              <w:rPr>
                <w:rFonts w:ascii="Arial" w:cs="Arial" w:eastAsia="Arial" w:hAnsi="Arial"/>
                <w:sz w:val="16"/>
                <w:szCs w:val="16"/>
                <w:b w:val="1"/>
                <w:bCs w:val="1"/>
                <w:color w:val="3A5575"/>
                <w:w w:val="98"/>
              </w:rPr>
              <w:t>NUMBER OF SHARES</w:t>
            </w:r>
          </w:p>
        </w:tc>
        <w:tc>
          <w:tcPr>
            <w:tcW w:w="1160" w:type="dxa"/>
            <w:vAlign w:val="bottom"/>
          </w:tcPr>
          <w:p>
            <w:pPr>
              <w:jc w:val="center"/>
              <w:ind w:left="20"/>
              <w:spacing w:after="0"/>
              <w:rPr>
                <w:sz w:val="20"/>
                <w:szCs w:val="20"/>
                <w:color w:val="auto"/>
              </w:rPr>
            </w:pPr>
            <w:r>
              <w:rPr>
                <w:rFonts w:ascii="Arial" w:cs="Arial" w:eastAsia="Arial" w:hAnsi="Arial"/>
                <w:sz w:val="16"/>
                <w:szCs w:val="16"/>
                <w:b w:val="1"/>
                <w:bCs w:val="1"/>
                <w:color w:val="3A5575"/>
                <w:w w:val="98"/>
              </w:rPr>
              <w:t>PERCENT OF</w:t>
            </w:r>
          </w:p>
        </w:tc>
      </w:tr>
      <w:tr>
        <w:trPr>
          <w:trHeight w:val="202"/>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tcPr>
          <w:p>
            <w:pPr>
              <w:spacing w:after="0"/>
              <w:rPr>
                <w:sz w:val="17"/>
                <w:szCs w:val="17"/>
                <w:color w:val="auto"/>
              </w:rPr>
            </w:pPr>
          </w:p>
        </w:tc>
        <w:tc>
          <w:tcPr>
            <w:tcW w:w="2420" w:type="dxa"/>
            <w:vAlign w:val="bottom"/>
          </w:tcPr>
          <w:p>
            <w:pPr>
              <w:jc w:val="center"/>
              <w:ind w:left="141"/>
              <w:spacing w:after="0" w:line="202" w:lineRule="exact"/>
              <w:rPr>
                <w:sz w:val="20"/>
                <w:szCs w:val="20"/>
                <w:color w:val="auto"/>
              </w:rPr>
            </w:pPr>
            <w:r>
              <w:rPr>
                <w:rFonts w:ascii="Arial" w:cs="Arial" w:eastAsia="Arial" w:hAnsi="Arial"/>
                <w:sz w:val="14"/>
                <w:szCs w:val="14"/>
                <w:b w:val="1"/>
                <w:bCs w:val="1"/>
                <w:color w:val="3A5575"/>
              </w:rPr>
              <w:t>BENEFICIALLY OWNED</w:t>
            </w:r>
            <w:r>
              <w:rPr>
                <w:rFonts w:ascii="Arial" w:cs="Arial" w:eastAsia="Arial" w:hAnsi="Arial"/>
                <w:sz w:val="23"/>
                <w:szCs w:val="23"/>
                <w:b w:val="1"/>
                <w:bCs w:val="1"/>
                <w:color w:val="3A5575"/>
                <w:vertAlign w:val="superscript"/>
              </w:rPr>
              <w:t>(1)</w:t>
            </w:r>
          </w:p>
        </w:tc>
        <w:tc>
          <w:tcPr>
            <w:tcW w:w="1160" w:type="dxa"/>
            <w:vAlign w:val="bottom"/>
          </w:tcPr>
          <w:p>
            <w:pPr>
              <w:jc w:val="center"/>
              <w:ind w:left="20"/>
              <w:spacing w:after="0"/>
              <w:rPr>
                <w:sz w:val="20"/>
                <w:szCs w:val="20"/>
                <w:color w:val="auto"/>
              </w:rPr>
            </w:pPr>
            <w:r>
              <w:rPr>
                <w:rFonts w:ascii="Arial" w:cs="Arial" w:eastAsia="Arial" w:hAnsi="Arial"/>
                <w:sz w:val="16"/>
                <w:szCs w:val="16"/>
                <w:b w:val="1"/>
                <w:bCs w:val="1"/>
                <w:color w:val="3A5575"/>
                <w:w w:val="99"/>
              </w:rPr>
              <w:t>CLASS</w:t>
            </w:r>
          </w:p>
        </w:tc>
      </w:tr>
      <w:tr>
        <w:trPr>
          <w:trHeight w:val="203"/>
        </w:trPr>
        <w:tc>
          <w:tcPr>
            <w:tcW w:w="100" w:type="dxa"/>
            <w:vAlign w:val="bottom"/>
          </w:tcPr>
          <w:p>
            <w:pPr>
              <w:spacing w:after="0"/>
              <w:rPr>
                <w:sz w:val="17"/>
                <w:szCs w:val="17"/>
                <w:color w:val="auto"/>
              </w:rPr>
            </w:pPr>
          </w:p>
        </w:tc>
        <w:tc>
          <w:tcPr>
            <w:tcW w:w="5000" w:type="dxa"/>
            <w:vAlign w:val="bottom"/>
            <w:tcBorders>
              <w:bottom w:val="single" w:sz="8" w:color="888992"/>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2420" w:type="dxa"/>
            <w:vAlign w:val="bottom"/>
            <w:tcBorders>
              <w:bottom w:val="single" w:sz="8" w:color="888992"/>
            </w:tcBorders>
          </w:tcPr>
          <w:p>
            <w:pPr>
              <w:jc w:val="center"/>
              <w:ind w:left="141"/>
              <w:spacing w:after="0"/>
              <w:rPr>
                <w:sz w:val="20"/>
                <w:szCs w:val="20"/>
                <w:color w:val="auto"/>
              </w:rPr>
            </w:pPr>
            <w:r>
              <w:rPr>
                <w:rFonts w:ascii="Arial" w:cs="Arial" w:eastAsia="Arial" w:hAnsi="Arial"/>
                <w:sz w:val="16"/>
                <w:szCs w:val="16"/>
                <w:b w:val="1"/>
                <w:bCs w:val="1"/>
                <w:color w:val="3A5575"/>
              </w:rPr>
              <w:t>(#)</w:t>
            </w:r>
          </w:p>
        </w:tc>
        <w:tc>
          <w:tcPr>
            <w:tcW w:w="1160" w:type="dxa"/>
            <w:vAlign w:val="bottom"/>
            <w:tcBorders>
              <w:bottom w:val="single" w:sz="8" w:color="888992"/>
            </w:tcBorders>
          </w:tcPr>
          <w:p>
            <w:pPr>
              <w:jc w:val="center"/>
              <w:ind w:left="20"/>
              <w:spacing w:after="0"/>
              <w:rPr>
                <w:sz w:val="20"/>
                <w:szCs w:val="20"/>
                <w:color w:val="auto"/>
              </w:rPr>
            </w:pPr>
            <w:r>
              <w:rPr>
                <w:rFonts w:ascii="Arial" w:cs="Arial" w:eastAsia="Arial" w:hAnsi="Arial"/>
                <w:sz w:val="16"/>
                <w:szCs w:val="16"/>
                <w:b w:val="1"/>
                <w:bCs w:val="1"/>
                <w:color w:val="3A5575"/>
              </w:rPr>
              <w:t>(%)</w:t>
            </w:r>
          </w:p>
        </w:tc>
      </w:tr>
      <w:tr>
        <w:trPr>
          <w:trHeight w:val="176"/>
        </w:trPr>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980" w:type="dxa"/>
            <w:vAlign w:val="bottom"/>
            <w:shd w:val="clear" w:color="auto" w:fill="E3E5EB"/>
          </w:tcPr>
          <w:p>
            <w:pPr>
              <w:spacing w:after="0" w:line="176" w:lineRule="exact"/>
              <w:rPr>
                <w:sz w:val="20"/>
                <w:szCs w:val="20"/>
                <w:color w:val="auto"/>
              </w:rPr>
            </w:pPr>
            <w:r>
              <w:rPr>
                <w:rFonts w:ascii="Arial" w:cs="Arial" w:eastAsia="Arial" w:hAnsi="Arial"/>
                <w:sz w:val="16"/>
                <w:szCs w:val="16"/>
                <w:b w:val="1"/>
                <w:bCs w:val="1"/>
                <w:color w:val="auto"/>
              </w:rPr>
              <w:t>Directors:</w:t>
            </w:r>
          </w:p>
        </w:tc>
        <w:tc>
          <w:tcPr>
            <w:tcW w:w="2420" w:type="dxa"/>
            <w:vAlign w:val="bottom"/>
            <w:shd w:val="clear" w:color="auto" w:fill="E3E5EB"/>
          </w:tcPr>
          <w:p>
            <w:pPr>
              <w:spacing w:after="0"/>
              <w:rPr>
                <w:sz w:val="15"/>
                <w:szCs w:val="15"/>
                <w:color w:val="auto"/>
              </w:rPr>
            </w:pPr>
          </w:p>
        </w:tc>
        <w:tc>
          <w:tcPr>
            <w:tcW w:w="1160" w:type="dxa"/>
            <w:vAlign w:val="bottom"/>
            <w:shd w:val="clear" w:color="auto" w:fill="E3E5EB"/>
          </w:tcPr>
          <w:p>
            <w:pPr>
              <w:spacing w:after="0"/>
              <w:rPr>
                <w:sz w:val="15"/>
                <w:szCs w:val="15"/>
                <w:color w:val="auto"/>
              </w:rPr>
            </w:pP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Donald E. Brandt</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230,038</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Denis A. Cortese, M.D.</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14,025</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Richard P. Fox</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4,731</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Michael L. Gallagher</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29,991</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Roy A. Herberger, Jr., Ph.D.</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33,168</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Dale E. Klein, Ph.D.</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11,763</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Humberto S. Lopez</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62,641</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Kathryn L. Munro</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33,451</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Bruce J. Nordstrom</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31,990</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David P. Wagener</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5,891</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spacing w:after="0"/>
              <w:rPr>
                <w:sz w:val="20"/>
                <w:szCs w:val="20"/>
                <w:color w:val="auto"/>
              </w:rPr>
            </w:pPr>
            <w:r>
              <w:rPr>
                <w:rFonts w:ascii="Arial" w:cs="Arial" w:eastAsia="Arial" w:hAnsi="Arial"/>
                <w:sz w:val="16"/>
                <w:szCs w:val="16"/>
                <w:b w:val="1"/>
                <w:bCs w:val="1"/>
                <w:color w:val="auto"/>
              </w:rPr>
              <w:t>Other Named Executive Officers:</w:t>
            </w:r>
          </w:p>
        </w:tc>
        <w:tc>
          <w:tcPr>
            <w:tcW w:w="2420" w:type="dxa"/>
            <w:vAlign w:val="bottom"/>
          </w:tcPr>
          <w:p>
            <w:pPr>
              <w:spacing w:after="0"/>
              <w:rPr>
                <w:sz w:val="16"/>
                <w:szCs w:val="16"/>
                <w:color w:val="auto"/>
              </w:rPr>
            </w:pPr>
          </w:p>
        </w:tc>
        <w:tc>
          <w:tcPr>
            <w:tcW w:w="1160" w:type="dxa"/>
            <w:vAlign w:val="bottom"/>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Randall K. Edington</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63,379</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David P. Falck</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51,159</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160"/>
              <w:spacing w:after="0"/>
              <w:rPr>
                <w:sz w:val="20"/>
                <w:szCs w:val="20"/>
                <w:color w:val="auto"/>
              </w:rPr>
            </w:pPr>
            <w:r>
              <w:rPr>
                <w:rFonts w:ascii="Arial" w:cs="Arial" w:eastAsia="Arial" w:hAnsi="Arial"/>
                <w:sz w:val="16"/>
                <w:szCs w:val="16"/>
                <w:color w:val="auto"/>
              </w:rPr>
              <w:t>James R. Hatfield</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66,060</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160"/>
              <w:spacing w:after="0"/>
              <w:rPr>
                <w:sz w:val="20"/>
                <w:szCs w:val="20"/>
                <w:color w:val="auto"/>
              </w:rPr>
            </w:pPr>
            <w:r>
              <w:rPr>
                <w:rFonts w:ascii="Arial" w:cs="Arial" w:eastAsia="Arial" w:hAnsi="Arial"/>
                <w:sz w:val="16"/>
                <w:szCs w:val="16"/>
                <w:color w:val="auto"/>
              </w:rPr>
              <w:t>Mark A. Schiavoni</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34,410</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5"/>
              </w:rPr>
              <w:t>*</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All Directors and Executive Officers as a Group (23 Persons):</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787,166</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5"/>
              </w:rPr>
              <w:t>*</w:t>
            </w:r>
          </w:p>
        </w:tc>
      </w:tr>
      <w:tr>
        <w:trPr>
          <w:trHeight w:val="221"/>
        </w:trPr>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980" w:type="dxa"/>
            <w:vAlign w:val="bottom"/>
          </w:tcPr>
          <w:p>
            <w:pPr>
              <w:spacing w:after="0" w:line="221" w:lineRule="exact"/>
              <w:rPr>
                <w:sz w:val="20"/>
                <w:szCs w:val="20"/>
                <w:color w:val="auto"/>
              </w:rPr>
            </w:pPr>
            <w:r>
              <w:rPr>
                <w:rFonts w:ascii="Arial" w:cs="Arial" w:eastAsia="Arial" w:hAnsi="Arial"/>
                <w:sz w:val="15"/>
                <w:szCs w:val="15"/>
                <w:b w:val="1"/>
                <w:bCs w:val="1"/>
                <w:color w:val="auto"/>
              </w:rPr>
              <w:t>5% Beneficial Owners:</w:t>
            </w:r>
            <w:r>
              <w:rPr>
                <w:rFonts w:ascii="Arial" w:cs="Arial" w:eastAsia="Arial" w:hAnsi="Arial"/>
                <w:sz w:val="25"/>
                <w:szCs w:val="25"/>
                <w:b w:val="1"/>
                <w:bCs w:val="1"/>
                <w:color w:val="auto"/>
                <w:vertAlign w:val="superscript"/>
              </w:rPr>
              <w:t>(2)</w:t>
            </w:r>
          </w:p>
        </w:tc>
        <w:tc>
          <w:tcPr>
            <w:tcW w:w="2420" w:type="dxa"/>
            <w:vAlign w:val="bottom"/>
          </w:tcPr>
          <w:p>
            <w:pPr>
              <w:spacing w:after="0"/>
              <w:rPr>
                <w:sz w:val="19"/>
                <w:szCs w:val="19"/>
                <w:color w:val="auto"/>
              </w:rPr>
            </w:pPr>
          </w:p>
        </w:tc>
        <w:tc>
          <w:tcPr>
            <w:tcW w:w="1160" w:type="dxa"/>
            <w:vAlign w:val="bottom"/>
          </w:tcPr>
          <w:p>
            <w:pPr>
              <w:spacing w:after="0"/>
              <w:rPr>
                <w:sz w:val="19"/>
                <w:szCs w:val="19"/>
                <w:color w:val="auto"/>
              </w:rPr>
            </w:pPr>
          </w:p>
        </w:tc>
      </w:tr>
      <w:tr>
        <w:trPr>
          <w:trHeight w:val="207"/>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980" w:type="dxa"/>
            <w:vAlign w:val="bottom"/>
            <w:shd w:val="clear" w:color="auto" w:fill="E3E5EB"/>
          </w:tcPr>
          <w:p>
            <w:pPr>
              <w:ind w:left="160"/>
              <w:spacing w:after="0" w:line="207" w:lineRule="exact"/>
              <w:rPr>
                <w:sz w:val="20"/>
                <w:szCs w:val="20"/>
                <w:color w:val="auto"/>
              </w:rPr>
            </w:pPr>
            <w:r>
              <w:rPr>
                <w:rFonts w:ascii="Arial" w:cs="Arial" w:eastAsia="Arial" w:hAnsi="Arial"/>
                <w:sz w:val="15"/>
                <w:szCs w:val="15"/>
                <w:color w:val="auto"/>
              </w:rPr>
              <w:t>BlackRock, Inc. and certain related entities</w:t>
            </w:r>
            <w:r>
              <w:rPr>
                <w:rFonts w:ascii="Arial" w:cs="Arial" w:eastAsia="Arial" w:hAnsi="Arial"/>
                <w:sz w:val="24"/>
                <w:szCs w:val="24"/>
                <w:color w:val="auto"/>
                <w:vertAlign w:val="superscript"/>
              </w:rPr>
              <w:t>(3)</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9,967,430</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8"/>
              </w:rPr>
              <w:t>9.0</w:t>
            </w:r>
          </w:p>
        </w:tc>
      </w:tr>
      <w:tr>
        <w:trPr>
          <w:trHeight w:val="217"/>
        </w:trPr>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980" w:type="dxa"/>
            <w:vAlign w:val="bottom"/>
            <w:shd w:val="clear" w:color="auto" w:fill="E3E5EB"/>
          </w:tcPr>
          <w:p>
            <w:pPr>
              <w:ind w:left="320"/>
              <w:spacing w:after="0" w:line="217" w:lineRule="exact"/>
              <w:rPr>
                <w:sz w:val="20"/>
                <w:szCs w:val="20"/>
                <w:color w:val="auto"/>
              </w:rPr>
            </w:pPr>
            <w:r>
              <w:rPr>
                <w:rFonts w:ascii="Arial" w:cs="Arial" w:eastAsia="Arial" w:hAnsi="Arial"/>
                <w:sz w:val="15"/>
                <w:szCs w:val="15"/>
                <w:color w:val="auto"/>
              </w:rPr>
              <w:t>40 East 52</w:t>
            </w:r>
            <w:r>
              <w:rPr>
                <w:rFonts w:ascii="Arial" w:cs="Arial" w:eastAsia="Arial" w:hAnsi="Arial"/>
                <w:sz w:val="25"/>
                <w:szCs w:val="25"/>
                <w:color w:val="auto"/>
                <w:vertAlign w:val="superscript"/>
              </w:rPr>
              <w:t>nd</w:t>
            </w:r>
            <w:r>
              <w:rPr>
                <w:rFonts w:ascii="Arial" w:cs="Arial" w:eastAsia="Arial" w:hAnsi="Arial"/>
                <w:sz w:val="15"/>
                <w:szCs w:val="15"/>
                <w:color w:val="auto"/>
              </w:rPr>
              <w:t xml:space="preserve"> Street</w:t>
            </w:r>
          </w:p>
        </w:tc>
        <w:tc>
          <w:tcPr>
            <w:tcW w:w="2420" w:type="dxa"/>
            <w:vAlign w:val="bottom"/>
            <w:shd w:val="clear" w:color="auto" w:fill="E3E5EB"/>
          </w:tcPr>
          <w:p>
            <w:pPr>
              <w:spacing w:after="0"/>
              <w:rPr>
                <w:sz w:val="18"/>
                <w:szCs w:val="18"/>
                <w:color w:val="auto"/>
              </w:rPr>
            </w:pPr>
          </w:p>
        </w:tc>
        <w:tc>
          <w:tcPr>
            <w:tcW w:w="1160" w:type="dxa"/>
            <w:vAlign w:val="bottom"/>
            <w:shd w:val="clear" w:color="auto" w:fill="E3E5EB"/>
          </w:tcPr>
          <w:p>
            <w:pPr>
              <w:spacing w:after="0"/>
              <w:rPr>
                <w:sz w:val="18"/>
                <w:szCs w:val="18"/>
                <w:color w:val="auto"/>
              </w:rPr>
            </w:pPr>
          </w:p>
        </w:tc>
      </w:tr>
      <w:tr>
        <w:trPr>
          <w:trHeight w:val="201"/>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shd w:val="clear" w:color="auto" w:fill="E3E5EB"/>
          </w:tcPr>
          <w:p>
            <w:pPr>
              <w:ind w:left="320"/>
              <w:spacing w:after="0"/>
              <w:rPr>
                <w:sz w:val="20"/>
                <w:szCs w:val="20"/>
                <w:color w:val="auto"/>
              </w:rPr>
            </w:pPr>
            <w:r>
              <w:rPr>
                <w:rFonts w:ascii="Arial" w:cs="Arial" w:eastAsia="Arial" w:hAnsi="Arial"/>
                <w:sz w:val="16"/>
                <w:szCs w:val="16"/>
                <w:color w:val="auto"/>
              </w:rPr>
              <w:t>New York, NY 10022</w:t>
            </w:r>
          </w:p>
        </w:tc>
        <w:tc>
          <w:tcPr>
            <w:tcW w:w="2420" w:type="dxa"/>
            <w:vAlign w:val="bottom"/>
            <w:shd w:val="clear" w:color="auto" w:fill="E3E5EB"/>
          </w:tcPr>
          <w:p>
            <w:pPr>
              <w:spacing w:after="0"/>
              <w:rPr>
                <w:sz w:val="17"/>
                <w:szCs w:val="17"/>
                <w:color w:val="auto"/>
              </w:rPr>
            </w:pPr>
          </w:p>
        </w:tc>
        <w:tc>
          <w:tcPr>
            <w:tcW w:w="1160" w:type="dxa"/>
            <w:vAlign w:val="bottom"/>
            <w:shd w:val="clear" w:color="auto" w:fill="E3E5EB"/>
          </w:tcPr>
          <w:p>
            <w:pPr>
              <w:spacing w:after="0"/>
              <w:rPr>
                <w:sz w:val="17"/>
                <w:szCs w:val="17"/>
                <w:color w:val="auto"/>
              </w:rPr>
            </w:pPr>
          </w:p>
        </w:tc>
      </w:tr>
      <w:tr>
        <w:trPr>
          <w:trHeight w:val="204"/>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tcPr>
          <w:p>
            <w:pPr>
              <w:ind w:left="160"/>
              <w:spacing w:after="0" w:line="203" w:lineRule="exact"/>
              <w:rPr>
                <w:sz w:val="20"/>
                <w:szCs w:val="20"/>
                <w:color w:val="auto"/>
              </w:rPr>
            </w:pPr>
            <w:r>
              <w:rPr>
                <w:rFonts w:ascii="Arial" w:cs="Arial" w:eastAsia="Arial" w:hAnsi="Arial"/>
                <w:sz w:val="14"/>
                <w:szCs w:val="14"/>
                <w:color w:val="auto"/>
              </w:rPr>
              <w:t>State Street Corporation and certain related entities</w:t>
            </w:r>
            <w:r>
              <w:rPr>
                <w:rFonts w:ascii="Arial" w:cs="Arial" w:eastAsia="Arial" w:hAnsi="Arial"/>
                <w:sz w:val="23"/>
                <w:szCs w:val="23"/>
                <w:color w:val="auto"/>
                <w:vertAlign w:val="superscript"/>
              </w:rPr>
              <w:t>(4)</w:t>
            </w:r>
          </w:p>
        </w:tc>
        <w:tc>
          <w:tcPr>
            <w:tcW w:w="2420" w:type="dxa"/>
            <w:vAlign w:val="bottom"/>
          </w:tcPr>
          <w:p>
            <w:pPr>
              <w:jc w:val="right"/>
              <w:ind w:right="621"/>
              <w:spacing w:after="0"/>
              <w:rPr>
                <w:sz w:val="20"/>
                <w:szCs w:val="20"/>
                <w:color w:val="auto"/>
              </w:rPr>
            </w:pPr>
            <w:r>
              <w:rPr>
                <w:rFonts w:ascii="Arial" w:cs="Arial" w:eastAsia="Arial" w:hAnsi="Arial"/>
                <w:sz w:val="16"/>
                <w:szCs w:val="16"/>
                <w:color w:val="auto"/>
              </w:rPr>
              <w:t>5,803,655</w:t>
            </w:r>
          </w:p>
        </w:tc>
        <w:tc>
          <w:tcPr>
            <w:tcW w:w="1160" w:type="dxa"/>
            <w:vAlign w:val="bottom"/>
          </w:tcPr>
          <w:p>
            <w:pPr>
              <w:jc w:val="center"/>
              <w:ind w:left="20"/>
              <w:spacing w:after="0"/>
              <w:rPr>
                <w:sz w:val="20"/>
                <w:szCs w:val="20"/>
                <w:color w:val="auto"/>
              </w:rPr>
            </w:pPr>
            <w:r>
              <w:rPr>
                <w:rFonts w:ascii="Arial" w:cs="Arial" w:eastAsia="Arial" w:hAnsi="Arial"/>
                <w:sz w:val="16"/>
                <w:szCs w:val="16"/>
                <w:color w:val="auto"/>
                <w:w w:val="98"/>
              </w:rPr>
              <w:t>5.2</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tcPr>
          <w:p>
            <w:pPr>
              <w:ind w:left="320"/>
              <w:spacing w:after="0"/>
              <w:rPr>
                <w:sz w:val="20"/>
                <w:szCs w:val="20"/>
                <w:color w:val="auto"/>
              </w:rPr>
            </w:pPr>
            <w:r>
              <w:rPr>
                <w:rFonts w:ascii="Arial" w:cs="Arial" w:eastAsia="Arial" w:hAnsi="Arial"/>
                <w:sz w:val="16"/>
                <w:szCs w:val="16"/>
                <w:color w:val="auto"/>
              </w:rPr>
              <w:t>One Lincoln Street</w:t>
            </w:r>
          </w:p>
        </w:tc>
        <w:tc>
          <w:tcPr>
            <w:tcW w:w="2420" w:type="dxa"/>
            <w:vAlign w:val="bottom"/>
          </w:tcPr>
          <w:p>
            <w:pPr>
              <w:spacing w:after="0"/>
              <w:rPr>
                <w:sz w:val="16"/>
                <w:szCs w:val="16"/>
                <w:color w:val="auto"/>
              </w:rPr>
            </w:pPr>
          </w:p>
        </w:tc>
        <w:tc>
          <w:tcPr>
            <w:tcW w:w="1160" w:type="dxa"/>
            <w:vAlign w:val="bottom"/>
          </w:tcPr>
          <w:p>
            <w:pPr>
              <w:spacing w:after="0"/>
              <w:rPr>
                <w:sz w:val="16"/>
                <w:szCs w:val="16"/>
                <w:color w:val="auto"/>
              </w:rPr>
            </w:pPr>
          </w:p>
        </w:tc>
      </w:tr>
      <w:tr>
        <w:trPr>
          <w:trHeight w:val="201"/>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tcPr>
          <w:p>
            <w:pPr>
              <w:ind w:left="320"/>
              <w:spacing w:after="0"/>
              <w:rPr>
                <w:sz w:val="20"/>
                <w:szCs w:val="20"/>
                <w:color w:val="auto"/>
              </w:rPr>
            </w:pPr>
            <w:r>
              <w:rPr>
                <w:rFonts w:ascii="Arial" w:cs="Arial" w:eastAsia="Arial" w:hAnsi="Arial"/>
                <w:sz w:val="16"/>
                <w:szCs w:val="16"/>
                <w:color w:val="auto"/>
              </w:rPr>
              <w:t>Boston, MA 02111</w:t>
            </w:r>
          </w:p>
        </w:tc>
        <w:tc>
          <w:tcPr>
            <w:tcW w:w="2420" w:type="dxa"/>
            <w:vAlign w:val="bottom"/>
          </w:tcPr>
          <w:p>
            <w:pPr>
              <w:spacing w:after="0"/>
              <w:rPr>
                <w:sz w:val="17"/>
                <w:szCs w:val="17"/>
                <w:color w:val="auto"/>
              </w:rPr>
            </w:pPr>
          </w:p>
        </w:tc>
        <w:tc>
          <w:tcPr>
            <w:tcW w:w="1160" w:type="dxa"/>
            <w:vAlign w:val="bottom"/>
          </w:tcPr>
          <w:p>
            <w:pPr>
              <w:spacing w:after="0"/>
              <w:rPr>
                <w:sz w:val="17"/>
                <w:szCs w:val="17"/>
                <w:color w:val="auto"/>
              </w:rPr>
            </w:pPr>
          </w:p>
        </w:tc>
      </w:tr>
      <w:tr>
        <w:trPr>
          <w:trHeight w:val="204"/>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shd w:val="clear" w:color="auto" w:fill="E3E5EB"/>
          </w:tcPr>
          <w:p>
            <w:pPr>
              <w:ind w:left="160"/>
              <w:spacing w:after="0" w:line="203" w:lineRule="exact"/>
              <w:rPr>
                <w:sz w:val="20"/>
                <w:szCs w:val="20"/>
                <w:color w:val="auto"/>
              </w:rPr>
            </w:pPr>
            <w:r>
              <w:rPr>
                <w:rFonts w:ascii="Arial" w:cs="Arial" w:eastAsia="Arial" w:hAnsi="Arial"/>
                <w:sz w:val="14"/>
                <w:szCs w:val="14"/>
                <w:color w:val="auto"/>
              </w:rPr>
              <w:t>The Vanguard Group Inc.</w:t>
            </w:r>
            <w:r>
              <w:rPr>
                <w:rFonts w:ascii="Arial" w:cs="Arial" w:eastAsia="Arial" w:hAnsi="Arial"/>
                <w:sz w:val="23"/>
                <w:szCs w:val="23"/>
                <w:color w:val="auto"/>
                <w:vertAlign w:val="superscript"/>
              </w:rPr>
              <w:t>(5)</w:t>
            </w:r>
          </w:p>
        </w:tc>
        <w:tc>
          <w:tcPr>
            <w:tcW w:w="2420" w:type="dxa"/>
            <w:vAlign w:val="bottom"/>
            <w:shd w:val="clear" w:color="auto" w:fill="E3E5EB"/>
          </w:tcPr>
          <w:p>
            <w:pPr>
              <w:jc w:val="right"/>
              <w:ind w:right="621"/>
              <w:spacing w:after="0"/>
              <w:rPr>
                <w:sz w:val="20"/>
                <w:szCs w:val="20"/>
                <w:color w:val="auto"/>
              </w:rPr>
            </w:pPr>
            <w:r>
              <w:rPr>
                <w:rFonts w:ascii="Arial" w:cs="Arial" w:eastAsia="Arial" w:hAnsi="Arial"/>
                <w:sz w:val="16"/>
                <w:szCs w:val="16"/>
                <w:color w:val="auto"/>
              </w:rPr>
              <w:t>9,550,910</w:t>
            </w:r>
          </w:p>
        </w:tc>
        <w:tc>
          <w:tcPr>
            <w:tcW w:w="116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8"/>
              </w:rPr>
              <w:t>8.6</w:t>
            </w:r>
          </w:p>
        </w:tc>
      </w:tr>
      <w:tr>
        <w:trPr>
          <w:trHeight w:val="184"/>
        </w:trPr>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980" w:type="dxa"/>
            <w:vAlign w:val="bottom"/>
            <w:shd w:val="clear" w:color="auto" w:fill="E3E5EB"/>
          </w:tcPr>
          <w:p>
            <w:pPr>
              <w:ind w:left="320"/>
              <w:spacing w:after="0"/>
              <w:rPr>
                <w:sz w:val="20"/>
                <w:szCs w:val="20"/>
                <w:color w:val="auto"/>
              </w:rPr>
            </w:pPr>
            <w:r>
              <w:rPr>
                <w:rFonts w:ascii="Arial" w:cs="Arial" w:eastAsia="Arial" w:hAnsi="Arial"/>
                <w:sz w:val="16"/>
                <w:szCs w:val="16"/>
                <w:color w:val="auto"/>
              </w:rPr>
              <w:t>100 Vanguard Boulevard</w:t>
            </w:r>
          </w:p>
        </w:tc>
        <w:tc>
          <w:tcPr>
            <w:tcW w:w="2420" w:type="dxa"/>
            <w:vAlign w:val="bottom"/>
            <w:shd w:val="clear" w:color="auto" w:fill="E3E5EB"/>
          </w:tcPr>
          <w:p>
            <w:pPr>
              <w:spacing w:after="0"/>
              <w:rPr>
                <w:sz w:val="16"/>
                <w:szCs w:val="16"/>
                <w:color w:val="auto"/>
              </w:rPr>
            </w:pPr>
          </w:p>
        </w:tc>
        <w:tc>
          <w:tcPr>
            <w:tcW w:w="1160" w:type="dxa"/>
            <w:vAlign w:val="bottom"/>
            <w:shd w:val="clear" w:color="auto" w:fill="E3E5EB"/>
          </w:tcPr>
          <w:p>
            <w:pPr>
              <w:spacing w:after="0"/>
              <w:rPr>
                <w:sz w:val="16"/>
                <w:szCs w:val="16"/>
                <w:color w:val="auto"/>
              </w:rPr>
            </w:pPr>
          </w:p>
        </w:tc>
      </w:tr>
      <w:tr>
        <w:trPr>
          <w:trHeight w:val="201"/>
        </w:trPr>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980" w:type="dxa"/>
            <w:vAlign w:val="bottom"/>
            <w:tcBorders>
              <w:bottom w:val="single" w:sz="8" w:color="888992"/>
            </w:tcBorders>
            <w:shd w:val="clear" w:color="auto" w:fill="E3E5EB"/>
          </w:tcPr>
          <w:p>
            <w:pPr>
              <w:ind w:left="320"/>
              <w:spacing w:after="0"/>
              <w:rPr>
                <w:sz w:val="20"/>
                <w:szCs w:val="20"/>
                <w:color w:val="auto"/>
              </w:rPr>
            </w:pPr>
            <w:r>
              <w:rPr>
                <w:rFonts w:ascii="Arial" w:cs="Arial" w:eastAsia="Arial" w:hAnsi="Arial"/>
                <w:sz w:val="16"/>
                <w:szCs w:val="16"/>
                <w:color w:val="auto"/>
              </w:rPr>
              <w:t>Malvern, PA 19355</w:t>
            </w:r>
          </w:p>
        </w:tc>
        <w:tc>
          <w:tcPr>
            <w:tcW w:w="2420" w:type="dxa"/>
            <w:vAlign w:val="bottom"/>
            <w:tcBorders>
              <w:bottom w:val="single" w:sz="8" w:color="888992"/>
            </w:tcBorders>
            <w:shd w:val="clear" w:color="auto" w:fill="E3E5EB"/>
          </w:tcPr>
          <w:p>
            <w:pPr>
              <w:spacing w:after="0"/>
              <w:rPr>
                <w:sz w:val="17"/>
                <w:szCs w:val="17"/>
                <w:color w:val="auto"/>
              </w:rPr>
            </w:pPr>
          </w:p>
        </w:tc>
        <w:tc>
          <w:tcPr>
            <w:tcW w:w="1160" w:type="dxa"/>
            <w:vAlign w:val="bottom"/>
            <w:tcBorders>
              <w:bottom w:val="single" w:sz="8" w:color="888992"/>
            </w:tcBorders>
            <w:shd w:val="clear" w:color="auto" w:fill="E3E5EB"/>
          </w:tcPr>
          <w:p>
            <w:pPr>
              <w:spacing w:after="0"/>
              <w:rPr>
                <w:sz w:val="17"/>
                <w:szCs w:val="17"/>
                <w:color w:val="auto"/>
              </w:rPr>
            </w:pPr>
          </w:p>
        </w:tc>
      </w:tr>
      <w:tr>
        <w:trPr>
          <w:trHeight w:val="508"/>
        </w:trPr>
        <w:tc>
          <w:tcPr>
            <w:tcW w:w="100" w:type="dxa"/>
            <w:vAlign w:val="bottom"/>
          </w:tcPr>
          <w:p>
            <w:pPr>
              <w:jc w:val="right"/>
              <w:spacing w:after="0"/>
              <w:rPr>
                <w:sz w:val="20"/>
                <w:szCs w:val="20"/>
                <w:color w:val="auto"/>
              </w:rPr>
            </w:pPr>
            <w:r>
              <w:rPr>
                <w:rFonts w:ascii="Arial" w:cs="Arial" w:eastAsia="Arial" w:hAnsi="Arial"/>
                <w:sz w:val="16"/>
                <w:szCs w:val="16"/>
                <w:color w:val="auto"/>
                <w:w w:val="95"/>
              </w:rPr>
              <w:t>*</w:t>
            </w:r>
          </w:p>
        </w:tc>
        <w:tc>
          <w:tcPr>
            <w:tcW w:w="20" w:type="dxa"/>
            <w:vAlign w:val="bottom"/>
          </w:tcPr>
          <w:p>
            <w:pPr>
              <w:spacing w:after="0"/>
              <w:rPr>
                <w:sz w:val="24"/>
                <w:szCs w:val="24"/>
                <w:color w:val="auto"/>
              </w:rPr>
            </w:pPr>
          </w:p>
        </w:tc>
        <w:tc>
          <w:tcPr>
            <w:tcW w:w="4980" w:type="dxa"/>
            <w:vAlign w:val="bottom"/>
          </w:tcPr>
          <w:p>
            <w:pPr>
              <w:ind w:left="380"/>
              <w:spacing w:after="0"/>
              <w:rPr>
                <w:sz w:val="20"/>
                <w:szCs w:val="20"/>
                <w:color w:val="auto"/>
              </w:rPr>
            </w:pPr>
            <w:r>
              <w:rPr>
                <w:rFonts w:ascii="Arial" w:cs="Arial" w:eastAsia="Arial" w:hAnsi="Arial"/>
                <w:sz w:val="16"/>
                <w:szCs w:val="16"/>
                <w:color w:val="auto"/>
              </w:rPr>
              <w:t>Represents less than 1% of the outstanding common stock.</w:t>
            </w:r>
          </w:p>
        </w:tc>
        <w:tc>
          <w:tcPr>
            <w:tcW w:w="2420" w:type="dxa"/>
            <w:vAlign w:val="bottom"/>
          </w:tcPr>
          <w:p>
            <w:pPr>
              <w:spacing w:after="0"/>
              <w:rPr>
                <w:sz w:val="24"/>
                <w:szCs w:val="24"/>
                <w:color w:val="auto"/>
              </w:rPr>
            </w:pPr>
          </w:p>
        </w:tc>
        <w:tc>
          <w:tcPr>
            <w:tcW w:w="1160" w:type="dxa"/>
            <w:vAlign w:val="bottom"/>
          </w:tcPr>
          <w:p>
            <w:pPr>
              <w:spacing w:after="0"/>
              <w:rPr>
                <w:sz w:val="24"/>
                <w:szCs w:val="24"/>
                <w:color w:val="auto"/>
              </w:rPr>
            </w:pPr>
          </w:p>
        </w:tc>
      </w:tr>
    </w:tbl>
    <w:p>
      <w:pPr>
        <w:spacing w:after="0" w:line="234"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99695</wp:posOffset>
            </wp:positionV>
            <wp:extent cx="7263765" cy="2032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42" w:name="page43"/>
    <w:bookmarkEnd w:id="42"/>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75" w:lineRule="exact"/>
        <w:rPr>
          <w:sz w:val="20"/>
          <w:szCs w:val="20"/>
          <w:color w:val="auto"/>
        </w:rPr>
      </w:pPr>
    </w:p>
    <w:p>
      <w:pPr>
        <w:ind w:left="1860" w:right="380" w:hanging="1403"/>
        <w:spacing w:after="0" w:line="267" w:lineRule="auto"/>
        <w:rPr>
          <w:sz w:val="20"/>
          <w:szCs w:val="20"/>
          <w:color w:val="auto"/>
        </w:rPr>
      </w:pPr>
      <w:r>
        <w:rPr>
          <w:rFonts w:ascii="Arial" w:cs="Arial" w:eastAsia="Arial" w:hAnsi="Arial"/>
          <w:sz w:val="25"/>
          <w:szCs w:val="25"/>
          <w:b w:val="1"/>
          <w:bCs w:val="1"/>
          <w:color w:val="FFFFFE"/>
          <w:vertAlign w:val="subscript"/>
        </w:rPr>
        <w:t>STOCK MATTERS</w:t>
      </w:r>
      <w:r>
        <w:rPr>
          <w:rFonts w:ascii="Arial" w:cs="Arial" w:eastAsia="Arial" w:hAnsi="Arial"/>
          <w:sz w:val="15"/>
          <w:szCs w:val="15"/>
          <w:color w:val="auto"/>
        </w:rPr>
        <w:t xml:space="preserve"> (1) Includes vested Supplemental RSUs (as defined later in the CD&amp;A) for the Named Executive Officers; vested restricted stock units ("RSUs") and stock units ("SU") payable in stock for the directors; and associated dividends payable in stock;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-234315</wp:posOffset>
            </wp:positionV>
            <wp:extent cx="1035685" cy="15557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035685" cy="155575"/>
                    </a:xfrm>
                    <a:prstGeom prst="rect">
                      <a:avLst/>
                    </a:prstGeom>
                    <a:noFill/>
                  </pic:spPr>
                </pic:pic>
              </a:graphicData>
            </a:graphic>
          </wp:anchor>
        </w:drawing>
      </w:r>
    </w:p>
    <w:p>
      <w:pPr>
        <w:ind w:left="1860" w:right="20"/>
        <w:spacing w:after="0"/>
        <w:rPr>
          <w:sz w:val="20"/>
          <w:szCs w:val="20"/>
          <w:color w:val="auto"/>
        </w:rPr>
      </w:pPr>
      <w:r>
        <w:rPr>
          <w:rFonts w:ascii="Arial" w:cs="Arial" w:eastAsia="Arial" w:hAnsi="Arial"/>
          <w:sz w:val="16"/>
          <w:szCs w:val="16"/>
          <w:color w:val="auto"/>
        </w:rPr>
        <w:t>Mr. Brandt — 26,498; Mr. Edington — 14,719; Mr. Falck — 7,365; Mr. Hatfield — 7,365; Mr. Schiavoni — 7,365; Mr. Gallagher — 5,820; Dr. Klein — 11,663; Dr. Herberger — 4,016; and Ms. Munro — 9,237. The following shares are held jointly: Dr. Klein — 100; and Mr. Nordstrom — 30,490. The following shares are held in joint trusts: Dr. Cortese — 14,025; Mr. Edington — 38,913;</w:t>
      </w:r>
    </w:p>
    <w:p>
      <w:pPr>
        <w:ind w:left="1860" w:right="980"/>
        <w:spacing w:after="0" w:line="253" w:lineRule="auto"/>
        <w:rPr>
          <w:sz w:val="20"/>
          <w:szCs w:val="20"/>
          <w:color w:val="auto"/>
        </w:rPr>
      </w:pPr>
      <w:r>
        <w:rPr>
          <w:rFonts w:ascii="Arial" w:cs="Arial" w:eastAsia="Arial" w:hAnsi="Arial"/>
          <w:sz w:val="16"/>
          <w:szCs w:val="16"/>
          <w:color w:val="auto"/>
        </w:rPr>
        <w:t>Mr. Gallagher — 24,171; Mr. Hatfield — 48,695; Dr. Herberger — 19,529; Mr. Lopez — 62,641; Ms. Munro — 22,673; and Mr. Wagener — 5,891.</w:t>
      </w:r>
    </w:p>
    <w:p>
      <w:pPr>
        <w:spacing w:after="0" w:line="156" w:lineRule="exact"/>
        <w:rPr>
          <w:sz w:val="20"/>
          <w:szCs w:val="20"/>
          <w:color w:val="auto"/>
        </w:rPr>
      </w:pPr>
    </w:p>
    <w:p>
      <w:pPr>
        <w:ind w:left="1860" w:hanging="490"/>
        <w:spacing w:after="0"/>
        <w:tabs>
          <w:tab w:leader="none" w:pos="1860" w:val="left"/>
        </w:tabs>
        <w:numPr>
          <w:ilvl w:val="0"/>
          <w:numId w:val="55"/>
        </w:numPr>
        <w:rPr>
          <w:rFonts w:ascii="Arial" w:cs="Arial" w:eastAsia="Arial" w:hAnsi="Arial"/>
          <w:sz w:val="16"/>
          <w:szCs w:val="16"/>
          <w:color w:val="auto"/>
        </w:rPr>
      </w:pPr>
      <w:r>
        <w:rPr>
          <w:rFonts w:ascii="Arial" w:cs="Arial" w:eastAsia="Arial" w:hAnsi="Arial"/>
          <w:sz w:val="16"/>
          <w:szCs w:val="16"/>
          <w:color w:val="auto"/>
        </w:rPr>
        <w:t>The Company makes no representations as to the accuracy or completeness of the information in the filings reported in footnotes 3-5.</w:t>
      </w:r>
    </w:p>
    <w:p>
      <w:pPr>
        <w:spacing w:after="0" w:line="183" w:lineRule="exact"/>
        <w:rPr>
          <w:rFonts w:ascii="Arial" w:cs="Arial" w:eastAsia="Arial" w:hAnsi="Arial"/>
          <w:sz w:val="16"/>
          <w:szCs w:val="16"/>
          <w:color w:val="auto"/>
        </w:rPr>
      </w:pPr>
    </w:p>
    <w:p>
      <w:pPr>
        <w:jc w:val="both"/>
        <w:ind w:left="1860" w:right="440" w:hanging="490"/>
        <w:spacing w:after="0" w:line="314" w:lineRule="auto"/>
        <w:tabs>
          <w:tab w:leader="none" w:pos="1860" w:val="left"/>
        </w:tabs>
        <w:numPr>
          <w:ilvl w:val="0"/>
          <w:numId w:val="55"/>
        </w:numPr>
        <w:rPr>
          <w:rFonts w:ascii="Arial" w:cs="Arial" w:eastAsia="Arial" w:hAnsi="Arial"/>
          <w:sz w:val="15"/>
          <w:szCs w:val="15"/>
          <w:color w:val="auto"/>
        </w:rPr>
      </w:pPr>
      <w:r>
        <w:rPr>
          <w:rFonts w:ascii="Arial" w:cs="Arial" w:eastAsia="Arial" w:hAnsi="Arial"/>
          <w:sz w:val="15"/>
          <w:szCs w:val="15"/>
          <w:color w:val="auto"/>
        </w:rPr>
        <w:t>BlackRock, Inc. Schedule 13G/A filing, dated January 22, 2016, a parent holding company and certain affiliates, reports beneficial ownership of 9,967,430 shares, with sole voting power as to 8,982,985 shares and sole dispositive power as to 9,967,430 shares.</w:t>
      </w:r>
    </w:p>
    <w:p>
      <w:pPr>
        <w:spacing w:after="0" w:line="100" w:lineRule="exact"/>
        <w:rPr>
          <w:rFonts w:ascii="Arial" w:cs="Arial" w:eastAsia="Arial" w:hAnsi="Arial"/>
          <w:sz w:val="15"/>
          <w:szCs w:val="15"/>
          <w:color w:val="auto"/>
        </w:rPr>
      </w:pPr>
    </w:p>
    <w:p>
      <w:pPr>
        <w:ind w:left="1860" w:right="360" w:hanging="490"/>
        <w:spacing w:after="0" w:line="285" w:lineRule="auto"/>
        <w:tabs>
          <w:tab w:leader="none" w:pos="1860" w:val="left"/>
        </w:tabs>
        <w:numPr>
          <w:ilvl w:val="0"/>
          <w:numId w:val="55"/>
        </w:numPr>
        <w:rPr>
          <w:rFonts w:ascii="Arial" w:cs="Arial" w:eastAsia="Arial" w:hAnsi="Arial"/>
          <w:sz w:val="15"/>
          <w:szCs w:val="15"/>
          <w:color w:val="auto"/>
        </w:rPr>
      </w:pPr>
      <w:r>
        <w:rPr>
          <w:rFonts w:ascii="Arial" w:cs="Arial" w:eastAsia="Arial" w:hAnsi="Arial"/>
          <w:sz w:val="15"/>
          <w:szCs w:val="15"/>
          <w:color w:val="auto"/>
        </w:rPr>
        <w:t>State Street Corporation Schedule 13G filing, dated February 12, 2016, a parent holding company and certain affiliates, reports beneficial ownership of 5,803,655 shares, with shared voting and dispositive power. The Company maintains normal commercial relationships with State Street Corporation and its subsidiaries. The Company does not consider these relationships to be material.</w:t>
      </w:r>
    </w:p>
    <w:p>
      <w:pPr>
        <w:spacing w:after="0" w:line="133" w:lineRule="exact"/>
        <w:rPr>
          <w:rFonts w:ascii="Arial" w:cs="Arial" w:eastAsia="Arial" w:hAnsi="Arial"/>
          <w:sz w:val="15"/>
          <w:szCs w:val="15"/>
          <w:color w:val="auto"/>
        </w:rPr>
      </w:pPr>
    </w:p>
    <w:p>
      <w:pPr>
        <w:jc w:val="both"/>
        <w:ind w:left="1860" w:right="280" w:hanging="490"/>
        <w:spacing w:after="0" w:line="253" w:lineRule="auto"/>
        <w:tabs>
          <w:tab w:leader="none" w:pos="1860" w:val="left"/>
        </w:tabs>
        <w:numPr>
          <w:ilvl w:val="0"/>
          <w:numId w:val="55"/>
        </w:numPr>
        <w:rPr>
          <w:rFonts w:ascii="Arial" w:cs="Arial" w:eastAsia="Arial" w:hAnsi="Arial"/>
          <w:sz w:val="16"/>
          <w:szCs w:val="16"/>
          <w:color w:val="auto"/>
        </w:rPr>
      </w:pPr>
      <w:r>
        <w:rPr>
          <w:rFonts w:ascii="Arial" w:cs="Arial" w:eastAsia="Arial" w:hAnsi="Arial"/>
          <w:sz w:val="16"/>
          <w:szCs w:val="16"/>
          <w:color w:val="auto"/>
        </w:rPr>
        <w:t>The Vanguard Group, Inc. Schedule 13G/A, dated February 10, 2016, reports beneficial ownership of 9,550,910 shares with shared voting power as to 10,100 shares, sole voting power as to 209,610 shares, shared dispositive power as to 211,310 shares, and sole dispositive power as to 9,339,600 shares; Vanguard Fiduciary Trust Company as beneficial owner of 171,610 shares; and Vanguard Investments Australia, Ltd., as beneficial owner of 77,700 shares.</w:t>
      </w:r>
    </w:p>
    <w:p>
      <w:pPr>
        <w:spacing w:after="0" w:line="140"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Section 16(a) Beneficial Ownership Reporting Compliance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180"/>
        <w:spacing w:after="0" w:line="239" w:lineRule="auto"/>
        <w:rPr>
          <w:sz w:val="20"/>
          <w:szCs w:val="20"/>
          <w:color w:val="auto"/>
        </w:rPr>
      </w:pPr>
      <w:r>
        <w:rPr>
          <w:rFonts w:ascii="Arial" w:cs="Arial" w:eastAsia="Arial" w:hAnsi="Arial"/>
          <w:sz w:val="20"/>
          <w:szCs w:val="20"/>
          <w:color w:val="auto"/>
        </w:rPr>
        <w:t>Section 16(a) of the Securities Exchange Act of 1934, as amended, requires the Company's directors and executive officers, and persons who own more than 10% of the Company's common stock to file reports of ownership and changes of ownership with the SEC. Based solely on the Company's review of these reports, the Company believes that its directors, executive officers, and greater than 10% beneficial owners complied with their respective Section 16(a) reporting requirements for fiscal year 2015 on a timely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164465</wp:posOffset>
            </wp:positionV>
            <wp:extent cx="841375" cy="16383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34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43" w:name="page44"/>
    <w:bookmarkEnd w:id="43"/>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6045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18"/>
        <w:spacing w:after="0"/>
        <w:rPr>
          <w:sz w:val="20"/>
          <w:szCs w:val="20"/>
          <w:color w:val="auto"/>
        </w:rPr>
      </w:pPr>
      <w:r>
        <w:rPr>
          <w:rFonts w:ascii="Arial" w:cs="Arial" w:eastAsia="Arial" w:hAnsi="Arial"/>
          <w:sz w:val="39"/>
          <w:szCs w:val="39"/>
          <w:b w:val="1"/>
          <w:bCs w:val="1"/>
          <w:color w:val="3A5575"/>
        </w:rPr>
        <w:t>Related Party Transactions</w:t>
      </w:r>
    </w:p>
    <w:p>
      <w:pPr>
        <w:spacing w:after="0" w:line="200" w:lineRule="exact"/>
        <w:rPr>
          <w:sz w:val="20"/>
          <w:szCs w:val="20"/>
          <w:color w:val="auto"/>
        </w:rPr>
      </w:pPr>
    </w:p>
    <w:p>
      <w:pPr>
        <w:spacing w:after="0" w:line="260" w:lineRule="exact"/>
        <w:rPr>
          <w:sz w:val="20"/>
          <w:szCs w:val="20"/>
          <w:color w:val="auto"/>
        </w:rPr>
      </w:pPr>
    </w:p>
    <w:p>
      <w:pPr>
        <w:ind w:left="2" w:right="20"/>
        <w:spacing w:after="0" w:line="237" w:lineRule="auto"/>
        <w:rPr>
          <w:sz w:val="20"/>
          <w:szCs w:val="20"/>
          <w:color w:val="auto"/>
        </w:rPr>
      </w:pPr>
      <w:r>
        <w:rPr>
          <w:rFonts w:ascii="Arial" w:cs="Arial" w:eastAsia="Arial" w:hAnsi="Arial"/>
          <w:sz w:val="20"/>
          <w:szCs w:val="20"/>
          <w:color w:val="auto"/>
        </w:rPr>
        <w:t>The Corporate Governance Committee is responsible for reviewing and approving all transactions with any related party, which consists of any of our directors, director nominees, executive officers, shareholders owning more than 5% of the Company's common stock and, with respect to each of them, their immediate family members and certain entities in which they are an officer or a shareholder, partner, member or other participant who, directly or indirectly, has a substantial ownership interest in or otherwise substantially controls or shares control of such entity (a "Related Party"). This obligation is set forth in writing in our Statement of Policy Regarding Related Party Transactions (the "Policy").</w:t>
      </w:r>
    </w:p>
    <w:p>
      <w:pPr>
        <w:spacing w:after="0" w:line="158" w:lineRule="exact"/>
        <w:rPr>
          <w:sz w:val="20"/>
          <w:szCs w:val="20"/>
          <w:color w:val="auto"/>
        </w:rPr>
      </w:pPr>
    </w:p>
    <w:p>
      <w:pPr>
        <w:ind w:left="2" w:right="20"/>
        <w:spacing w:after="0" w:line="235" w:lineRule="auto"/>
        <w:rPr>
          <w:sz w:val="20"/>
          <w:szCs w:val="20"/>
          <w:color w:val="auto"/>
        </w:rPr>
      </w:pPr>
      <w:r>
        <w:rPr>
          <w:rFonts w:ascii="Arial" w:cs="Arial" w:eastAsia="Arial" w:hAnsi="Arial"/>
          <w:sz w:val="20"/>
          <w:szCs w:val="20"/>
          <w:color w:val="auto"/>
        </w:rPr>
        <w:t>To identify Related Party Transactions, as defined in the Policy, each year the Company requires our directors and officers to complete director and officer questionnaires identifying any transactions with the Company in which a Related Party has an interest. We review Related Party Transactions due to the potential for a conflict of interest. A conflict of interest occurs when an individual's private interest interferes, or appears to interfere, in any way with our interests. The Code of Ethics requires all directors, officers, and employees who may have a potential or apparent conflict of interest to notify the Company's management. In addition, the Policy specifically provides that any Related Party Transaction must be approved or ratified by the Corporate Governance Committee. A "Related Party Transaction" is any transaction or a series of similar transactions in which the Company or any of its subsidiaries is or was a participant, where the amount involved exceeds $120,000 in the aggregate, and in which any Related Party has a direct or indirect material interest, other than:</w:t>
      </w:r>
    </w:p>
    <w:p>
      <w:pPr>
        <w:spacing w:after="0" w:line="144" w:lineRule="exact"/>
        <w:rPr>
          <w:sz w:val="20"/>
          <w:szCs w:val="20"/>
          <w:color w:val="auto"/>
        </w:rPr>
      </w:pPr>
    </w:p>
    <w:p>
      <w:pPr>
        <w:ind w:left="482" w:right="860" w:hanging="482"/>
        <w:spacing w:after="0" w:line="265" w:lineRule="auto"/>
        <w:tabs>
          <w:tab w:leader="none" w:pos="482" w:val="left"/>
        </w:tabs>
        <w:numPr>
          <w:ilvl w:val="0"/>
          <w:numId w:val="56"/>
        </w:numPr>
        <w:rPr>
          <w:rFonts w:ascii="Arial" w:cs="Arial" w:eastAsia="Arial" w:hAnsi="Arial"/>
          <w:sz w:val="20"/>
          <w:szCs w:val="20"/>
          <w:color w:val="3A5575"/>
        </w:rPr>
      </w:pPr>
      <w:r>
        <w:rPr>
          <w:rFonts w:ascii="Arial" w:cs="Arial" w:eastAsia="Arial" w:hAnsi="Arial"/>
          <w:sz w:val="20"/>
          <w:szCs w:val="20"/>
          <w:color w:val="auto"/>
        </w:rPr>
        <w:t>Transactions in which rates or charges are fixed in conformity with law or governmental authority (such as APS rates approved by the ACC);</w:t>
      </w:r>
    </w:p>
    <w:p>
      <w:pPr>
        <w:spacing w:after="0" w:line="154" w:lineRule="exact"/>
        <w:rPr>
          <w:rFonts w:ascii="Arial" w:cs="Arial" w:eastAsia="Arial" w:hAnsi="Arial"/>
          <w:sz w:val="20"/>
          <w:szCs w:val="20"/>
          <w:color w:val="3A5575"/>
        </w:rPr>
      </w:pPr>
    </w:p>
    <w:p>
      <w:pPr>
        <w:ind w:left="482" w:hanging="482"/>
        <w:spacing w:after="0"/>
        <w:tabs>
          <w:tab w:leader="none" w:pos="482" w:val="left"/>
        </w:tabs>
        <w:numPr>
          <w:ilvl w:val="0"/>
          <w:numId w:val="56"/>
        </w:numPr>
        <w:rPr>
          <w:rFonts w:ascii="Arial" w:cs="Arial" w:eastAsia="Arial" w:hAnsi="Arial"/>
          <w:sz w:val="20"/>
          <w:szCs w:val="20"/>
          <w:color w:val="3A5575"/>
        </w:rPr>
      </w:pPr>
      <w:r>
        <w:rPr>
          <w:rFonts w:ascii="Arial" w:cs="Arial" w:eastAsia="Arial" w:hAnsi="Arial"/>
          <w:sz w:val="20"/>
          <w:szCs w:val="20"/>
          <w:color w:val="auto"/>
        </w:rPr>
        <w:t>Transactions in which the rates or charges are determined by competitive bid; or</w:t>
      </w:r>
    </w:p>
    <w:p>
      <w:pPr>
        <w:spacing w:after="0" w:line="199" w:lineRule="exact"/>
        <w:rPr>
          <w:rFonts w:ascii="Arial" w:cs="Arial" w:eastAsia="Arial" w:hAnsi="Arial"/>
          <w:sz w:val="20"/>
          <w:szCs w:val="20"/>
          <w:color w:val="3A5575"/>
        </w:rPr>
      </w:pPr>
    </w:p>
    <w:p>
      <w:pPr>
        <w:ind w:left="2" w:right="1520" w:hanging="2"/>
        <w:spacing w:after="0" w:line="399" w:lineRule="auto"/>
        <w:tabs>
          <w:tab w:leader="none" w:pos="492" w:val="left"/>
        </w:tabs>
        <w:numPr>
          <w:ilvl w:val="0"/>
          <w:numId w:val="56"/>
        </w:numPr>
        <w:rPr>
          <w:rFonts w:ascii="Arial" w:cs="Arial" w:eastAsia="Arial" w:hAnsi="Arial"/>
          <w:sz w:val="20"/>
          <w:szCs w:val="20"/>
          <w:color w:val="3A5575"/>
        </w:rPr>
      </w:pPr>
      <w:r>
        <w:rPr>
          <w:rFonts w:ascii="Arial" w:cs="Arial" w:eastAsia="Arial" w:hAnsi="Arial"/>
          <w:sz w:val="20"/>
          <w:szCs w:val="20"/>
          <w:color w:val="auto"/>
        </w:rPr>
        <w:t>The payment of compensation by the Company to the executive officers, directors, or nominees for directors. Based on the Policy, SEC rules, and our review, we had no Related Party Transactions in 2015.</w:t>
      </w:r>
    </w:p>
    <w:p>
      <w:pPr>
        <w:spacing w:after="0" w:line="2"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44" w:name="page45"/>
    <w:bookmarkEnd w:id="44"/>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39"/>
          <w:szCs w:val="39"/>
          <w:b w:val="1"/>
          <w:bCs w:val="1"/>
          <w:color w:val="3A5575"/>
        </w:rPr>
        <w:t>Report of the Human Resources Committee</w:t>
      </w:r>
    </w:p>
    <w:p>
      <w:pPr>
        <w:spacing w:after="0" w:line="200" w:lineRule="exact"/>
        <w:rPr>
          <w:sz w:val="20"/>
          <w:szCs w:val="20"/>
          <w:color w:val="auto"/>
        </w:rPr>
      </w:pPr>
    </w:p>
    <w:p>
      <w:pPr>
        <w:spacing w:after="0" w:line="260" w:lineRule="exact"/>
        <w:rPr>
          <w:sz w:val="20"/>
          <w:szCs w:val="20"/>
          <w:color w:val="auto"/>
        </w:rPr>
      </w:pPr>
    </w:p>
    <w:p>
      <w:pPr>
        <w:spacing w:after="0"/>
        <w:rPr>
          <w:sz w:val="20"/>
          <w:szCs w:val="20"/>
          <w:color w:val="auto"/>
        </w:rPr>
      </w:pPr>
      <w:r>
        <w:rPr>
          <w:rFonts w:ascii="Arial" w:cs="Arial" w:eastAsia="Arial" w:hAnsi="Arial"/>
          <w:sz w:val="20"/>
          <w:szCs w:val="20"/>
          <w:color w:val="auto"/>
        </w:rPr>
        <w:t>The Human Resources Committee submitted the following report:</w:t>
      </w:r>
    </w:p>
    <w:p>
      <w:pPr>
        <w:spacing w:after="0" w:line="187" w:lineRule="exact"/>
        <w:rPr>
          <w:sz w:val="20"/>
          <w:szCs w:val="20"/>
          <w:color w:val="auto"/>
        </w:rPr>
      </w:pPr>
    </w:p>
    <w:p>
      <w:pPr>
        <w:ind w:right="440"/>
        <w:spacing w:after="0" w:line="265" w:lineRule="auto"/>
        <w:rPr>
          <w:sz w:val="20"/>
          <w:szCs w:val="20"/>
          <w:color w:val="auto"/>
        </w:rPr>
      </w:pPr>
      <w:r>
        <w:rPr>
          <w:rFonts w:ascii="Arial" w:cs="Arial" w:eastAsia="Arial" w:hAnsi="Arial"/>
          <w:sz w:val="20"/>
          <w:szCs w:val="20"/>
          <w:color w:val="auto"/>
        </w:rPr>
        <w:t>The Human Resources Committee is composed of non-employee directors, each of whom is independent as defined by NYSE rules and the Company's Director Independence Standards.</w:t>
      </w:r>
    </w:p>
    <w:p>
      <w:pPr>
        <w:spacing w:after="0" w:line="130" w:lineRule="exact"/>
        <w:rPr>
          <w:sz w:val="20"/>
          <w:szCs w:val="20"/>
          <w:color w:val="auto"/>
        </w:rPr>
      </w:pPr>
    </w:p>
    <w:p>
      <w:pPr>
        <w:ind w:right="280"/>
        <w:spacing w:after="0" w:line="247" w:lineRule="auto"/>
        <w:rPr>
          <w:sz w:val="20"/>
          <w:szCs w:val="20"/>
          <w:color w:val="auto"/>
        </w:rPr>
      </w:pPr>
      <w:r>
        <w:rPr>
          <w:rFonts w:ascii="Arial" w:cs="Arial" w:eastAsia="Arial" w:hAnsi="Arial"/>
          <w:sz w:val="20"/>
          <w:szCs w:val="20"/>
          <w:color w:val="auto"/>
        </w:rPr>
        <w:t>In accordance with SEC rules, the Human Resources Committee discussed and reviewed the Compensation Discussion and Analysis with management and, based on those discussions and review, the Human Resources Committee recommended to the Board that the Compensation Discussion and Analysis be included in this Proxy Statement.</w:t>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860" w:type="dxa"/>
            <w:vAlign w:val="bottom"/>
            <w:gridSpan w:val="3"/>
          </w:tcPr>
          <w:p>
            <w:pPr>
              <w:spacing w:after="0"/>
              <w:rPr>
                <w:sz w:val="20"/>
                <w:szCs w:val="20"/>
                <w:color w:val="auto"/>
              </w:rPr>
            </w:pPr>
            <w:r>
              <w:rPr>
                <w:rFonts w:ascii="Arial" w:cs="Arial" w:eastAsia="Arial" w:hAnsi="Arial"/>
                <w:sz w:val="20"/>
                <w:szCs w:val="20"/>
                <w:color w:val="auto"/>
              </w:rPr>
              <w:t>HUMAN RESOURCES COMMITTEE CHAIR</w:t>
            </w:r>
          </w:p>
        </w:tc>
        <w:tc>
          <w:tcPr>
            <w:tcW w:w="6560" w:type="dxa"/>
            <w:vAlign w:val="bottom"/>
          </w:tcPr>
          <w:p>
            <w:pPr>
              <w:ind w:left="860"/>
              <w:spacing w:after="0"/>
              <w:rPr>
                <w:sz w:val="20"/>
                <w:szCs w:val="20"/>
                <w:color w:val="auto"/>
              </w:rPr>
            </w:pPr>
            <w:r>
              <w:rPr>
                <w:rFonts w:ascii="Arial" w:cs="Arial" w:eastAsia="Arial" w:hAnsi="Arial"/>
                <w:sz w:val="20"/>
                <w:szCs w:val="20"/>
                <w:color w:val="auto"/>
              </w:rPr>
              <w:t>HUMAN RESOURCES COMMITTEE MEMBERS</w:t>
            </w:r>
          </w:p>
        </w:tc>
        <w:tc>
          <w:tcPr>
            <w:tcW w:w="0" w:type="dxa"/>
            <w:vAlign w:val="bottom"/>
          </w:tcPr>
          <w:p>
            <w:pPr>
              <w:spacing w:after="0"/>
              <w:rPr>
                <w:sz w:val="1"/>
                <w:szCs w:val="1"/>
                <w:color w:val="auto"/>
              </w:rPr>
            </w:pPr>
          </w:p>
        </w:tc>
      </w:tr>
      <w:tr>
        <w:trPr>
          <w:trHeight w:val="221"/>
        </w:trPr>
        <w:tc>
          <w:tcPr>
            <w:tcW w:w="2420" w:type="dxa"/>
            <w:vAlign w:val="bottom"/>
            <w:gridSpan w:val="2"/>
          </w:tcPr>
          <w:p>
            <w:pPr>
              <w:spacing w:after="0" w:line="221" w:lineRule="exact"/>
              <w:rPr>
                <w:sz w:val="20"/>
                <w:szCs w:val="20"/>
                <w:color w:val="auto"/>
              </w:rPr>
            </w:pPr>
            <w:r>
              <w:rPr>
                <w:rFonts w:ascii="Arial" w:cs="Arial" w:eastAsia="Arial" w:hAnsi="Arial"/>
                <w:sz w:val="20"/>
                <w:szCs w:val="20"/>
                <w:color w:val="auto"/>
                <w:w w:val="95"/>
              </w:rPr>
              <w:t>Roy A. Herberger, Jr., Ph.D.</w:t>
            </w:r>
          </w:p>
        </w:tc>
        <w:tc>
          <w:tcPr>
            <w:tcW w:w="2440" w:type="dxa"/>
            <w:vAlign w:val="bottom"/>
          </w:tcPr>
          <w:p>
            <w:pPr>
              <w:spacing w:after="0"/>
              <w:rPr>
                <w:sz w:val="19"/>
                <w:szCs w:val="19"/>
                <w:color w:val="auto"/>
              </w:rPr>
            </w:pPr>
          </w:p>
        </w:tc>
        <w:tc>
          <w:tcPr>
            <w:tcW w:w="6560" w:type="dxa"/>
            <w:vAlign w:val="bottom"/>
          </w:tcPr>
          <w:p>
            <w:pPr>
              <w:ind w:left="860"/>
              <w:spacing w:after="0" w:line="221" w:lineRule="exact"/>
              <w:rPr>
                <w:sz w:val="20"/>
                <w:szCs w:val="20"/>
                <w:color w:val="auto"/>
              </w:rPr>
            </w:pPr>
            <w:r>
              <w:rPr>
                <w:rFonts w:ascii="Arial" w:cs="Arial" w:eastAsia="Arial" w:hAnsi="Arial"/>
                <w:sz w:val="20"/>
                <w:szCs w:val="20"/>
                <w:color w:val="auto"/>
              </w:rPr>
              <w:t>Denis A. Cortese, M.D.</w:t>
            </w:r>
          </w:p>
        </w:tc>
        <w:tc>
          <w:tcPr>
            <w:tcW w:w="0" w:type="dxa"/>
            <w:vAlign w:val="bottom"/>
          </w:tcPr>
          <w:p>
            <w:pPr>
              <w:spacing w:after="0"/>
              <w:rPr>
                <w:sz w:val="1"/>
                <w:szCs w:val="1"/>
                <w:color w:val="auto"/>
              </w:rPr>
            </w:pPr>
          </w:p>
        </w:tc>
      </w:tr>
      <w:tr>
        <w:trPr>
          <w:trHeight w:val="221"/>
        </w:trPr>
        <w:tc>
          <w:tcPr>
            <w:tcW w:w="120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6560" w:type="dxa"/>
            <w:vAlign w:val="bottom"/>
          </w:tcPr>
          <w:p>
            <w:pPr>
              <w:ind w:left="860"/>
              <w:spacing w:after="0" w:line="221" w:lineRule="exact"/>
              <w:rPr>
                <w:sz w:val="20"/>
                <w:szCs w:val="20"/>
                <w:color w:val="auto"/>
              </w:rPr>
            </w:pPr>
            <w:r>
              <w:rPr>
                <w:rFonts w:ascii="Arial" w:cs="Arial" w:eastAsia="Arial" w:hAnsi="Arial"/>
                <w:sz w:val="20"/>
                <w:szCs w:val="20"/>
                <w:color w:val="auto"/>
              </w:rPr>
              <w:t>Richard P. Fox</w:t>
            </w:r>
          </w:p>
        </w:tc>
        <w:tc>
          <w:tcPr>
            <w:tcW w:w="0" w:type="dxa"/>
            <w:vAlign w:val="bottom"/>
          </w:tcPr>
          <w:p>
            <w:pPr>
              <w:spacing w:after="0"/>
              <w:rPr>
                <w:sz w:val="1"/>
                <w:szCs w:val="1"/>
                <w:color w:val="auto"/>
              </w:rPr>
            </w:pPr>
          </w:p>
        </w:tc>
      </w:tr>
      <w:tr>
        <w:trPr>
          <w:trHeight w:val="221"/>
        </w:trPr>
        <w:tc>
          <w:tcPr>
            <w:tcW w:w="120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6560" w:type="dxa"/>
            <w:vAlign w:val="bottom"/>
          </w:tcPr>
          <w:p>
            <w:pPr>
              <w:ind w:left="860"/>
              <w:spacing w:after="0" w:line="221" w:lineRule="exact"/>
              <w:rPr>
                <w:sz w:val="20"/>
                <w:szCs w:val="20"/>
                <w:color w:val="auto"/>
              </w:rPr>
            </w:pPr>
            <w:r>
              <w:rPr>
                <w:rFonts w:ascii="Arial" w:cs="Arial" w:eastAsia="Arial" w:hAnsi="Arial"/>
                <w:sz w:val="20"/>
                <w:szCs w:val="20"/>
                <w:color w:val="auto"/>
              </w:rPr>
              <w:t>Humberto S. Lopez</w:t>
            </w:r>
          </w:p>
        </w:tc>
        <w:tc>
          <w:tcPr>
            <w:tcW w:w="0" w:type="dxa"/>
            <w:vAlign w:val="bottom"/>
          </w:tcPr>
          <w:p>
            <w:pPr>
              <w:spacing w:after="0"/>
              <w:rPr>
                <w:sz w:val="1"/>
                <w:szCs w:val="1"/>
                <w:color w:val="auto"/>
              </w:rPr>
            </w:pPr>
          </w:p>
        </w:tc>
      </w:tr>
      <w:tr>
        <w:trPr>
          <w:trHeight w:val="264"/>
        </w:trPr>
        <w:tc>
          <w:tcPr>
            <w:tcW w:w="120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2440" w:type="dxa"/>
            <w:vAlign w:val="bottom"/>
          </w:tcPr>
          <w:p>
            <w:pPr>
              <w:spacing w:after="0"/>
              <w:rPr>
                <w:sz w:val="22"/>
                <w:szCs w:val="22"/>
                <w:color w:val="auto"/>
              </w:rPr>
            </w:pPr>
          </w:p>
        </w:tc>
        <w:tc>
          <w:tcPr>
            <w:tcW w:w="6560" w:type="dxa"/>
            <w:vAlign w:val="bottom"/>
          </w:tcPr>
          <w:p>
            <w:pPr>
              <w:ind w:left="860"/>
              <w:spacing w:after="0"/>
              <w:rPr>
                <w:sz w:val="20"/>
                <w:szCs w:val="20"/>
                <w:color w:val="auto"/>
              </w:rPr>
            </w:pPr>
            <w:r>
              <w:rPr>
                <w:rFonts w:ascii="Arial" w:cs="Arial" w:eastAsia="Arial" w:hAnsi="Arial"/>
                <w:sz w:val="20"/>
                <w:szCs w:val="20"/>
                <w:color w:val="auto"/>
              </w:rPr>
              <w:t>Kathryn L. Munro</w:t>
            </w:r>
          </w:p>
        </w:tc>
        <w:tc>
          <w:tcPr>
            <w:tcW w:w="0" w:type="dxa"/>
            <w:vAlign w:val="bottom"/>
          </w:tcPr>
          <w:p>
            <w:pPr>
              <w:spacing w:after="0"/>
              <w:rPr>
                <w:sz w:val="1"/>
                <w:szCs w:val="1"/>
                <w:color w:val="auto"/>
              </w:rPr>
            </w:pPr>
          </w:p>
        </w:tc>
      </w:tr>
      <w:tr>
        <w:trPr>
          <w:trHeight w:val="499"/>
        </w:trPr>
        <w:tc>
          <w:tcPr>
            <w:tcW w:w="1200" w:type="dxa"/>
            <w:vAlign w:val="bottom"/>
          </w:tcPr>
          <w:p>
            <w:pPr>
              <w:jc w:val="right"/>
              <w:ind w:right="888"/>
              <w:spacing w:after="0"/>
              <w:rPr>
                <w:sz w:val="20"/>
                <w:szCs w:val="20"/>
                <w:color w:val="auto"/>
              </w:rPr>
            </w:pPr>
            <w:r>
              <w:rPr>
                <w:rFonts w:ascii="Arial" w:cs="Arial" w:eastAsia="Arial" w:hAnsi="Arial"/>
                <w:sz w:val="16"/>
                <w:szCs w:val="16"/>
                <w:b w:val="1"/>
                <w:bCs w:val="1"/>
                <w:color w:val="auto"/>
              </w:rPr>
              <w:t>36</w:t>
            </w:r>
          </w:p>
        </w:tc>
        <w:tc>
          <w:tcPr>
            <w:tcW w:w="1220" w:type="dxa"/>
            <w:vAlign w:val="bottom"/>
            <w:vMerge w:val="restart"/>
          </w:tcPr>
          <w:p>
            <w:pPr>
              <w:jc w:val="right"/>
              <w:ind w:right="138"/>
              <w:spacing w:after="0"/>
              <w:rPr>
                <w:sz w:val="20"/>
                <w:szCs w:val="20"/>
                <w:color w:val="auto"/>
              </w:rPr>
            </w:pPr>
            <w:r>
              <w:rPr>
                <w:rFonts w:ascii="Arial" w:cs="Arial" w:eastAsia="Arial" w:hAnsi="Arial"/>
                <w:sz w:val="16"/>
                <w:szCs w:val="16"/>
                <w:b w:val="1"/>
                <w:bCs w:val="1"/>
                <w:color w:val="3A5575"/>
              </w:rPr>
              <w:t>|</w:t>
            </w:r>
          </w:p>
        </w:tc>
        <w:tc>
          <w:tcPr>
            <w:tcW w:w="2440" w:type="dxa"/>
            <w:vAlign w:val="bottom"/>
          </w:tcPr>
          <w:p>
            <w:pPr>
              <w:spacing w:after="0"/>
              <w:rPr>
                <w:sz w:val="20"/>
                <w:szCs w:val="20"/>
                <w:color w:val="auto"/>
              </w:rPr>
            </w:pPr>
            <w:r>
              <w:rPr>
                <w:rFonts w:ascii="Arial" w:cs="Arial" w:eastAsia="Arial" w:hAnsi="Arial"/>
                <w:sz w:val="16"/>
                <w:szCs w:val="16"/>
                <w:color w:val="auto"/>
              </w:rPr>
              <w:t>2016 Proxy Statement</w:t>
            </w:r>
          </w:p>
        </w:tc>
        <w:tc>
          <w:tcPr>
            <w:tcW w:w="6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220" w:type="dxa"/>
            <w:vAlign w:val="bottom"/>
            <w:vMerge w:val="continue"/>
          </w:tcPr>
          <w:p>
            <w:pPr>
              <w:spacing w:after="0"/>
              <w:rPr>
                <w:sz w:val="5"/>
                <w:szCs w:val="5"/>
                <w:color w:val="auto"/>
              </w:rPr>
            </w:pPr>
          </w:p>
        </w:tc>
        <w:tc>
          <w:tcPr>
            <w:tcW w:w="2440" w:type="dxa"/>
            <w:vAlign w:val="bottom"/>
          </w:tcPr>
          <w:p>
            <w:pPr>
              <w:spacing w:after="0"/>
              <w:rPr>
                <w:sz w:val="5"/>
                <w:szCs w:val="5"/>
                <w:color w:val="auto"/>
              </w:rPr>
            </w:pPr>
          </w:p>
        </w:tc>
        <w:tc>
          <w:tcPr>
            <w:tcW w:w="6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220" w:type="dxa"/>
            <w:vAlign w:val="bottom"/>
            <w:tcBorders>
              <w:bottom w:val="single" w:sz="8" w:color="808080"/>
            </w:tcBorders>
          </w:tcPr>
          <w:p>
            <w:pPr>
              <w:spacing w:after="0"/>
              <w:rPr>
                <w:sz w:val="11"/>
                <w:szCs w:val="11"/>
                <w:color w:val="auto"/>
              </w:rPr>
            </w:pPr>
          </w:p>
        </w:tc>
        <w:tc>
          <w:tcPr>
            <w:tcW w:w="2440" w:type="dxa"/>
            <w:vAlign w:val="bottom"/>
            <w:tcBorders>
              <w:bottom w:val="single" w:sz="8" w:color="808080"/>
            </w:tcBorders>
          </w:tcPr>
          <w:p>
            <w:pPr>
              <w:spacing w:after="0"/>
              <w:rPr>
                <w:sz w:val="11"/>
                <w:szCs w:val="11"/>
                <w:color w:val="auto"/>
              </w:rPr>
            </w:pPr>
          </w:p>
        </w:tc>
        <w:tc>
          <w:tcPr>
            <w:tcW w:w="656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318135</wp:posOffset>
            </wp:positionH>
            <wp:positionV relativeFrom="paragraph">
              <wp:posOffset>-281940</wp:posOffset>
            </wp:positionV>
            <wp:extent cx="841375" cy="16383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45" w:name="page46"/>
    <w:bookmarkEnd w:id="45"/>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60452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18"/>
        <w:spacing w:after="0"/>
        <w:rPr>
          <w:sz w:val="20"/>
          <w:szCs w:val="20"/>
          <w:color w:val="auto"/>
        </w:rPr>
      </w:pPr>
      <w:r>
        <w:rPr>
          <w:rFonts w:ascii="Arial" w:cs="Arial" w:eastAsia="Arial" w:hAnsi="Arial"/>
          <w:sz w:val="39"/>
          <w:szCs w:val="39"/>
          <w:b w:val="1"/>
          <w:bCs w:val="1"/>
          <w:color w:val="3A5575"/>
        </w:rPr>
        <w:t>Executive Compensation</w:t>
      </w:r>
    </w:p>
    <w:p>
      <w:pPr>
        <w:spacing w:after="0" w:line="200" w:lineRule="exact"/>
        <w:rPr>
          <w:sz w:val="20"/>
          <w:szCs w:val="20"/>
          <w:color w:val="auto"/>
        </w:rPr>
      </w:pPr>
    </w:p>
    <w:p>
      <w:pPr>
        <w:spacing w:after="0" w:line="257"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Compensation Discussion and Analysis ("CD&amp;A")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24130</wp:posOffset>
            </wp:positionV>
            <wp:extent cx="7259320" cy="762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6" w:lineRule="exact"/>
        <w:rPr>
          <w:sz w:val="20"/>
          <w:szCs w:val="20"/>
          <w:color w:val="auto"/>
        </w:rPr>
      </w:pPr>
    </w:p>
    <w:p>
      <w:pPr>
        <w:ind w:left="2"/>
        <w:spacing w:after="0"/>
        <w:tabs>
          <w:tab w:leader="none" w:pos="3121" w:val="left"/>
        </w:tabs>
        <w:rPr>
          <w:sz w:val="20"/>
          <w:szCs w:val="20"/>
          <w:color w:val="auto"/>
        </w:rPr>
      </w:pPr>
      <w:r>
        <w:rPr>
          <w:rFonts w:ascii="Arial" w:cs="Arial" w:eastAsia="Arial" w:hAnsi="Arial"/>
          <w:sz w:val="16"/>
          <w:szCs w:val="16"/>
          <w:i w:val="1"/>
          <w:iCs w:val="1"/>
          <w:color w:val="3A5575"/>
        </w:rPr>
        <w:t>Our Named Executive Officers are:</w:t>
      </w:r>
      <w:r>
        <w:rPr>
          <w:sz w:val="20"/>
          <w:szCs w:val="20"/>
          <w:color w:val="auto"/>
        </w:rPr>
        <w:tab/>
      </w:r>
      <w:r>
        <w:rPr>
          <w:rFonts w:ascii="Arial" w:cs="Arial" w:eastAsia="Arial" w:hAnsi="Arial"/>
          <w:sz w:val="15"/>
          <w:szCs w:val="15"/>
          <w:b w:val="1"/>
          <w:bCs w:val="1"/>
          <w:i w:val="1"/>
          <w:iCs w:val="1"/>
          <w:color w:val="auto"/>
        </w:rPr>
        <w:t>Executive Summary</w:t>
      </w:r>
    </w:p>
    <w:p>
      <w:pPr>
        <w:sectPr>
          <w:pgSz w:w="11900" w:h="16838" w:orient="portrait"/>
          <w:cols w:equalWidth="0" w:num="1">
            <w:col w:w="11442"/>
          </w:cols>
          <w:pgMar w:left="238" w:top="110" w:right="219" w:bottom="1440" w:gutter="0" w:footer="0" w:header="0"/>
        </w:sectPr>
      </w:pPr>
    </w:p>
    <w:p>
      <w:pPr>
        <w:spacing w:after="0" w:line="208" w:lineRule="exact"/>
        <w:rPr>
          <w:sz w:val="20"/>
          <w:szCs w:val="20"/>
          <w:color w:val="auto"/>
        </w:rPr>
      </w:pPr>
    </w:p>
    <w:p>
      <w:pPr>
        <w:ind w:left="302" w:right="40" w:hanging="302"/>
        <w:spacing w:after="0" w:line="259" w:lineRule="auto"/>
        <w:tabs>
          <w:tab w:leader="none" w:pos="302" w:val="left"/>
        </w:tabs>
        <w:numPr>
          <w:ilvl w:val="0"/>
          <w:numId w:val="57"/>
        </w:numPr>
        <w:rPr>
          <w:rFonts w:ascii="Arial" w:cs="Arial" w:eastAsia="Arial" w:hAnsi="Arial"/>
          <w:sz w:val="19"/>
          <w:szCs w:val="19"/>
          <w:color w:val="3A5575"/>
        </w:rPr>
      </w:pPr>
      <w:r>
        <w:rPr>
          <w:rFonts w:ascii="Arial" w:cs="Arial" w:eastAsia="Arial" w:hAnsi="Arial"/>
          <w:sz w:val="19"/>
          <w:szCs w:val="19"/>
          <w:b w:val="1"/>
          <w:bCs w:val="1"/>
          <w:i w:val="1"/>
          <w:iCs w:val="1"/>
          <w:color w:val="3A5575"/>
        </w:rPr>
        <w:t>Donald E. Brandt</w:t>
      </w:r>
      <w:r>
        <w:rPr>
          <w:rFonts w:ascii="Arial" w:cs="Arial" w:eastAsia="Arial" w:hAnsi="Arial"/>
          <w:sz w:val="19"/>
          <w:szCs w:val="19"/>
          <w:i w:val="1"/>
          <w:iCs w:val="1"/>
          <w:color w:val="053582"/>
        </w:rPr>
        <w:t>, Chairman</w:t>
      </w:r>
      <w:r>
        <w:rPr>
          <w:rFonts w:ascii="Arial" w:cs="Arial" w:eastAsia="Arial" w:hAnsi="Arial"/>
          <w:sz w:val="19"/>
          <w:szCs w:val="19"/>
          <w:b w:val="1"/>
          <w:bCs w:val="1"/>
          <w:i w:val="1"/>
          <w:iCs w:val="1"/>
          <w:color w:val="3A5575"/>
        </w:rPr>
        <w:t xml:space="preserve"> </w:t>
      </w:r>
      <w:r>
        <w:rPr>
          <w:rFonts w:ascii="Arial" w:cs="Arial" w:eastAsia="Arial" w:hAnsi="Arial"/>
          <w:sz w:val="19"/>
          <w:szCs w:val="19"/>
          <w:i w:val="1"/>
          <w:iCs w:val="1"/>
          <w:color w:val="053582"/>
        </w:rPr>
        <w:t>of the Board, President and Chief Executive Officer of PNW and APS;</w:t>
      </w:r>
    </w:p>
    <w:p>
      <w:pPr>
        <w:spacing w:after="0" w:line="160" w:lineRule="exact"/>
        <w:rPr>
          <w:rFonts w:ascii="Arial" w:cs="Arial" w:eastAsia="Arial" w:hAnsi="Arial"/>
          <w:sz w:val="19"/>
          <w:szCs w:val="19"/>
          <w:color w:val="3A5575"/>
        </w:rPr>
      </w:pPr>
    </w:p>
    <w:p>
      <w:pPr>
        <w:ind w:left="302" w:hanging="302"/>
        <w:spacing w:after="0" w:line="242" w:lineRule="auto"/>
        <w:tabs>
          <w:tab w:leader="none" w:pos="302" w:val="left"/>
        </w:tabs>
        <w:numPr>
          <w:ilvl w:val="0"/>
          <w:numId w:val="57"/>
        </w:numPr>
        <w:rPr>
          <w:rFonts w:ascii="Arial" w:cs="Arial" w:eastAsia="Arial" w:hAnsi="Arial"/>
          <w:sz w:val="20"/>
          <w:szCs w:val="20"/>
          <w:color w:val="3A5575"/>
        </w:rPr>
      </w:pPr>
      <w:r>
        <w:rPr>
          <w:rFonts w:ascii="Arial" w:cs="Arial" w:eastAsia="Arial" w:hAnsi="Arial"/>
          <w:sz w:val="20"/>
          <w:szCs w:val="20"/>
          <w:b w:val="1"/>
          <w:bCs w:val="1"/>
          <w:i w:val="1"/>
          <w:iCs w:val="1"/>
          <w:color w:val="3A5575"/>
        </w:rPr>
        <w:t>James R. Hatfield</w:t>
      </w:r>
      <w:r>
        <w:rPr>
          <w:rFonts w:ascii="Arial" w:cs="Arial" w:eastAsia="Arial" w:hAnsi="Arial"/>
          <w:sz w:val="20"/>
          <w:szCs w:val="20"/>
          <w:i w:val="1"/>
          <w:iCs w:val="1"/>
          <w:color w:val="053582"/>
        </w:rPr>
        <w:t>, Executive</w:t>
      </w:r>
      <w:r>
        <w:rPr>
          <w:rFonts w:ascii="Arial" w:cs="Arial" w:eastAsia="Arial" w:hAnsi="Arial"/>
          <w:sz w:val="20"/>
          <w:szCs w:val="20"/>
          <w:b w:val="1"/>
          <w:bCs w:val="1"/>
          <w:i w:val="1"/>
          <w:iCs w:val="1"/>
          <w:color w:val="3A5575"/>
        </w:rPr>
        <w:t xml:space="preserve"> </w:t>
      </w:r>
      <w:r>
        <w:rPr>
          <w:rFonts w:ascii="Arial" w:cs="Arial" w:eastAsia="Arial" w:hAnsi="Arial"/>
          <w:sz w:val="20"/>
          <w:szCs w:val="20"/>
          <w:i w:val="1"/>
          <w:iCs w:val="1"/>
          <w:color w:val="053582"/>
        </w:rPr>
        <w:t>Vice President and Chief Financial Officer of PNW and APS;</w:t>
      </w:r>
    </w:p>
    <w:p>
      <w:pPr>
        <w:spacing w:after="0" w:line="176" w:lineRule="exact"/>
        <w:rPr>
          <w:rFonts w:ascii="Arial" w:cs="Arial" w:eastAsia="Arial" w:hAnsi="Arial"/>
          <w:sz w:val="20"/>
          <w:szCs w:val="20"/>
          <w:color w:val="3A5575"/>
        </w:rPr>
      </w:pPr>
    </w:p>
    <w:p>
      <w:pPr>
        <w:ind w:left="302" w:right="40" w:hanging="302"/>
        <w:spacing w:after="0" w:line="267" w:lineRule="auto"/>
        <w:tabs>
          <w:tab w:leader="none" w:pos="302" w:val="left"/>
        </w:tabs>
        <w:numPr>
          <w:ilvl w:val="0"/>
          <w:numId w:val="57"/>
        </w:numPr>
        <w:rPr>
          <w:rFonts w:ascii="Arial" w:cs="Arial" w:eastAsia="Arial" w:hAnsi="Arial"/>
          <w:sz w:val="19"/>
          <w:szCs w:val="19"/>
          <w:color w:val="3A5575"/>
        </w:rPr>
      </w:pPr>
      <w:r>
        <w:rPr>
          <w:rFonts w:ascii="Arial" w:cs="Arial" w:eastAsia="Arial" w:hAnsi="Arial"/>
          <w:sz w:val="19"/>
          <w:szCs w:val="19"/>
          <w:b w:val="1"/>
          <w:bCs w:val="1"/>
          <w:i w:val="1"/>
          <w:iCs w:val="1"/>
          <w:color w:val="3A5575"/>
        </w:rPr>
        <w:t>Randall K. Edington</w:t>
      </w:r>
      <w:r>
        <w:rPr>
          <w:rFonts w:ascii="Arial" w:cs="Arial" w:eastAsia="Arial" w:hAnsi="Arial"/>
          <w:sz w:val="19"/>
          <w:szCs w:val="19"/>
          <w:i w:val="1"/>
          <w:iCs w:val="1"/>
          <w:color w:val="053582"/>
        </w:rPr>
        <w:t>,</w:t>
      </w:r>
      <w:r>
        <w:rPr>
          <w:rFonts w:ascii="Arial" w:cs="Arial" w:eastAsia="Arial" w:hAnsi="Arial"/>
          <w:sz w:val="19"/>
          <w:szCs w:val="19"/>
          <w:b w:val="1"/>
          <w:bCs w:val="1"/>
          <w:i w:val="1"/>
          <w:iCs w:val="1"/>
          <w:color w:val="3A5575"/>
        </w:rPr>
        <w:t xml:space="preserve"> </w:t>
      </w:r>
      <w:r>
        <w:rPr>
          <w:rFonts w:ascii="Arial" w:cs="Arial" w:eastAsia="Arial" w:hAnsi="Arial"/>
          <w:sz w:val="19"/>
          <w:szCs w:val="19"/>
          <w:i w:val="1"/>
          <w:iCs w:val="1"/>
          <w:color w:val="053582"/>
        </w:rPr>
        <w:t>Executive Vice President and Chief Nuclear Officer of APS;</w:t>
      </w:r>
    </w:p>
    <w:p>
      <w:pPr>
        <w:spacing w:after="0" w:line="153" w:lineRule="exact"/>
        <w:rPr>
          <w:rFonts w:ascii="Arial" w:cs="Arial" w:eastAsia="Arial" w:hAnsi="Arial"/>
          <w:sz w:val="19"/>
          <w:szCs w:val="19"/>
          <w:color w:val="3A5575"/>
        </w:rPr>
      </w:pPr>
    </w:p>
    <w:p>
      <w:pPr>
        <w:ind w:left="302" w:right="200" w:hanging="302"/>
        <w:spacing w:after="0" w:line="242" w:lineRule="auto"/>
        <w:tabs>
          <w:tab w:leader="none" w:pos="302" w:val="left"/>
        </w:tabs>
        <w:numPr>
          <w:ilvl w:val="0"/>
          <w:numId w:val="57"/>
        </w:numPr>
        <w:rPr>
          <w:rFonts w:ascii="Arial" w:cs="Arial" w:eastAsia="Arial" w:hAnsi="Arial"/>
          <w:sz w:val="20"/>
          <w:szCs w:val="20"/>
          <w:color w:val="3A5575"/>
        </w:rPr>
      </w:pPr>
      <w:r>
        <w:rPr>
          <w:rFonts w:ascii="Arial" w:cs="Arial" w:eastAsia="Arial" w:hAnsi="Arial"/>
          <w:sz w:val="20"/>
          <w:szCs w:val="20"/>
          <w:b w:val="1"/>
          <w:bCs w:val="1"/>
          <w:i w:val="1"/>
          <w:iCs w:val="1"/>
          <w:color w:val="3A5575"/>
        </w:rPr>
        <w:t>David P. Falck</w:t>
      </w:r>
      <w:r>
        <w:rPr>
          <w:rFonts w:ascii="Arial" w:cs="Arial" w:eastAsia="Arial" w:hAnsi="Arial"/>
          <w:sz w:val="20"/>
          <w:szCs w:val="20"/>
          <w:i w:val="1"/>
          <w:iCs w:val="1"/>
          <w:color w:val="053582"/>
        </w:rPr>
        <w:t>, Executive</w:t>
      </w:r>
      <w:r>
        <w:rPr>
          <w:rFonts w:ascii="Arial" w:cs="Arial" w:eastAsia="Arial" w:hAnsi="Arial"/>
          <w:sz w:val="20"/>
          <w:szCs w:val="20"/>
          <w:b w:val="1"/>
          <w:bCs w:val="1"/>
          <w:i w:val="1"/>
          <w:iCs w:val="1"/>
          <w:color w:val="3A5575"/>
        </w:rPr>
        <w:t xml:space="preserve"> </w:t>
      </w:r>
      <w:r>
        <w:rPr>
          <w:rFonts w:ascii="Arial" w:cs="Arial" w:eastAsia="Arial" w:hAnsi="Arial"/>
          <w:sz w:val="20"/>
          <w:szCs w:val="20"/>
          <w:i w:val="1"/>
          <w:iCs w:val="1"/>
          <w:color w:val="053582"/>
        </w:rPr>
        <w:t>Vice President and General Counsel of PNW and APS; and</w:t>
      </w:r>
    </w:p>
    <w:p>
      <w:pPr>
        <w:spacing w:after="0" w:line="20" w:lineRule="exact"/>
        <w:rPr>
          <w:sz w:val="20"/>
          <w:szCs w:val="20"/>
          <w:color w:val="auto"/>
        </w:rPr>
      </w:pPr>
      <w:r>
        <w:rPr>
          <w:sz w:val="20"/>
          <w:szCs w:val="20"/>
          <w:color w:val="auto"/>
        </w:rPr>
        <w:br w:type="column"/>
      </w:r>
    </w:p>
    <w:p>
      <w:pPr>
        <w:spacing w:after="0" w:line="163" w:lineRule="exact"/>
        <w:rPr>
          <w:sz w:val="20"/>
          <w:szCs w:val="20"/>
          <w:color w:val="auto"/>
        </w:rPr>
      </w:pPr>
    </w:p>
    <w:p>
      <w:pPr>
        <w:ind w:left="2" w:right="300"/>
        <w:spacing w:after="0" w:line="267" w:lineRule="auto"/>
        <w:rPr>
          <w:sz w:val="20"/>
          <w:szCs w:val="20"/>
          <w:color w:val="auto"/>
        </w:rPr>
      </w:pPr>
      <w:r>
        <w:rPr>
          <w:rFonts w:ascii="Arial" w:cs="Arial" w:eastAsia="Arial" w:hAnsi="Arial"/>
          <w:sz w:val="19"/>
          <w:szCs w:val="19"/>
          <w:b w:val="1"/>
          <w:bCs w:val="1"/>
          <w:i w:val="1"/>
          <w:iCs w:val="1"/>
          <w:color w:val="auto"/>
        </w:rPr>
        <w:t xml:space="preserve">Our Philosophy and Objectives. </w:t>
      </w:r>
      <w:r>
        <w:rPr>
          <w:rFonts w:ascii="Arial" w:cs="Arial" w:eastAsia="Arial" w:hAnsi="Arial"/>
          <w:sz w:val="19"/>
          <w:szCs w:val="19"/>
          <w:color w:val="auto"/>
        </w:rPr>
        <w:t>Our compensation program is designed to be transparent</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with a clear emphasis on putting pay at risk and retaining key executives. Our executive compensation philosophy incorporates the following core principles and objectives:</w:t>
      </w:r>
    </w:p>
    <w:p>
      <w:pPr>
        <w:spacing w:after="0" w:line="150" w:lineRule="exact"/>
        <w:rPr>
          <w:sz w:val="20"/>
          <w:szCs w:val="20"/>
          <w:color w:val="auto"/>
        </w:rPr>
      </w:pPr>
    </w:p>
    <w:p>
      <w:pPr>
        <w:ind w:left="302" w:right="20" w:hanging="302"/>
        <w:spacing w:after="0" w:line="238" w:lineRule="auto"/>
        <w:tabs>
          <w:tab w:leader="none" w:pos="302" w:val="left"/>
        </w:tabs>
        <w:numPr>
          <w:ilvl w:val="0"/>
          <w:numId w:val="58"/>
        </w:numPr>
        <w:rPr>
          <w:rFonts w:ascii="Arial" w:cs="Arial" w:eastAsia="Arial" w:hAnsi="Arial"/>
          <w:sz w:val="20"/>
          <w:szCs w:val="20"/>
          <w:color w:val="3A5575"/>
        </w:rPr>
      </w:pPr>
      <w:r>
        <w:rPr>
          <w:rFonts w:ascii="Arial" w:cs="Arial" w:eastAsia="Arial" w:hAnsi="Arial"/>
          <w:sz w:val="20"/>
          <w:szCs w:val="20"/>
          <w:b w:val="1"/>
          <w:bCs w:val="1"/>
          <w:color w:val="auto"/>
        </w:rPr>
        <w:t>Alignment with Shareholder Interests</w:t>
      </w:r>
      <w:r>
        <w:rPr>
          <w:rFonts w:ascii="Arial" w:cs="Arial" w:eastAsia="Arial" w:hAnsi="Arial"/>
          <w:sz w:val="20"/>
          <w:szCs w:val="20"/>
          <w:color w:val="auto"/>
        </w:rPr>
        <w:t>. We structure our annual cash and long-term equity</w:t>
      </w:r>
      <w:r>
        <w:rPr>
          <w:rFonts w:ascii="Arial" w:cs="Arial" w:eastAsia="Arial" w:hAnsi="Arial"/>
          <w:sz w:val="20"/>
          <w:szCs w:val="20"/>
          <w:b w:val="1"/>
          <w:bCs w:val="1"/>
          <w:color w:val="auto"/>
        </w:rPr>
        <w:t xml:space="preserve"> </w:t>
      </w:r>
      <w:r>
        <w:rPr>
          <w:rFonts w:ascii="Arial" w:cs="Arial" w:eastAsia="Arial" w:hAnsi="Arial"/>
          <w:sz w:val="20"/>
          <w:szCs w:val="20"/>
          <w:color w:val="auto"/>
        </w:rPr>
        <w:t>incentive compensation to put pay at risk and reward performance. Payouts under these plans are tied predominantly to the Company's total return to shareholders, earnings, and the achievement of measurable and sustainable business and individual goals, so that executives' interests are tied to the success of the Company and are aligned with those of our shareholders.</w:t>
      </w:r>
    </w:p>
    <w:p>
      <w:pPr>
        <w:spacing w:after="0" w:line="177" w:lineRule="exact"/>
        <w:rPr>
          <w:rFonts w:ascii="Arial" w:cs="Arial" w:eastAsia="Arial" w:hAnsi="Arial"/>
          <w:sz w:val="20"/>
          <w:szCs w:val="20"/>
          <w:color w:val="3A5575"/>
        </w:rPr>
      </w:pPr>
    </w:p>
    <w:p>
      <w:pPr>
        <w:ind w:left="302" w:right="120" w:hanging="302"/>
        <w:spacing w:after="0" w:line="260" w:lineRule="auto"/>
        <w:tabs>
          <w:tab w:leader="none" w:pos="302" w:val="left"/>
        </w:tabs>
        <w:numPr>
          <w:ilvl w:val="0"/>
          <w:numId w:val="58"/>
        </w:numPr>
        <w:rPr>
          <w:rFonts w:ascii="Arial" w:cs="Arial" w:eastAsia="Arial" w:hAnsi="Arial"/>
          <w:sz w:val="19"/>
          <w:szCs w:val="19"/>
          <w:color w:val="3A5575"/>
        </w:rPr>
      </w:pPr>
      <w:r>
        <w:rPr>
          <w:rFonts w:ascii="Arial" w:cs="Arial" w:eastAsia="Arial" w:hAnsi="Arial"/>
          <w:sz w:val="19"/>
          <w:szCs w:val="19"/>
          <w:b w:val="1"/>
          <w:bCs w:val="1"/>
          <w:color w:val="auto"/>
        </w:rPr>
        <w:t>Key Management Retention</w:t>
      </w:r>
      <w:r>
        <w:rPr>
          <w:rFonts w:ascii="Arial" w:cs="Arial" w:eastAsia="Arial" w:hAnsi="Arial"/>
          <w:sz w:val="19"/>
          <w:szCs w:val="19"/>
          <w:color w:val="auto"/>
        </w:rPr>
        <w:t>. We structure our program to provide compensation at levels</w:t>
      </w:r>
      <w:r>
        <w:rPr>
          <w:rFonts w:ascii="Arial" w:cs="Arial" w:eastAsia="Arial" w:hAnsi="Arial"/>
          <w:sz w:val="19"/>
          <w:szCs w:val="19"/>
          <w:b w:val="1"/>
          <w:bCs w:val="1"/>
          <w:color w:val="auto"/>
        </w:rPr>
        <w:t xml:space="preserve"> </w:t>
      </w:r>
      <w:r>
        <w:rPr>
          <w:rFonts w:ascii="Arial" w:cs="Arial" w:eastAsia="Arial" w:hAnsi="Arial"/>
          <w:sz w:val="19"/>
          <w:szCs w:val="19"/>
          <w:color w:val="auto"/>
        </w:rPr>
        <w:t>necessary to attract, engage and retain an experienced management team who have the skill sets to succeed in our complex operating and regulatory environment, including operating Palo Verde, and to provide consistently strong operating and financial results.</w:t>
      </w:r>
    </w:p>
    <w:p>
      <w:pPr>
        <w:spacing w:after="0" w:line="847" w:lineRule="exact"/>
        <w:rPr>
          <w:sz w:val="20"/>
          <w:szCs w:val="20"/>
          <w:color w:val="auto"/>
        </w:rPr>
      </w:pPr>
    </w:p>
    <w:p>
      <w:pPr>
        <w:sectPr>
          <w:pgSz w:w="11900" w:h="16838" w:orient="portrait"/>
          <w:cols w:equalWidth="0" w:num="2">
            <w:col w:w="2882" w:space="258"/>
            <w:col w:w="8302"/>
          </w:cols>
          <w:pgMar w:left="238" w:top="110" w:right="219" w:bottom="1440" w:gutter="0" w:footer="0" w:header="0"/>
          <w:type w:val="continuous"/>
        </w:sectPr>
      </w:pPr>
    </w:p>
    <w:p>
      <w:pPr>
        <w:ind w:left="302" w:right="8500" w:hanging="302"/>
        <w:spacing w:after="0" w:line="267" w:lineRule="auto"/>
        <w:tabs>
          <w:tab w:leader="none" w:pos="302" w:val="left"/>
        </w:tabs>
        <w:numPr>
          <w:ilvl w:val="0"/>
          <w:numId w:val="59"/>
        </w:numPr>
        <w:rPr>
          <w:rFonts w:ascii="Arial" w:cs="Arial" w:eastAsia="Arial" w:hAnsi="Arial"/>
          <w:sz w:val="19"/>
          <w:szCs w:val="19"/>
          <w:color w:val="3A5575"/>
        </w:rPr>
      </w:pPr>
      <w:r>
        <w:rPr>
          <w:rFonts w:ascii="Arial" w:cs="Arial" w:eastAsia="Arial" w:hAnsi="Arial"/>
          <w:sz w:val="19"/>
          <w:szCs w:val="19"/>
          <w:b w:val="1"/>
          <w:bCs w:val="1"/>
          <w:i w:val="1"/>
          <w:iCs w:val="1"/>
          <w:color w:val="3A5575"/>
        </w:rPr>
        <w:t>Mark A. Schiavoni</w:t>
      </w:r>
      <w:r>
        <w:rPr>
          <w:rFonts w:ascii="Arial" w:cs="Arial" w:eastAsia="Arial" w:hAnsi="Arial"/>
          <w:sz w:val="19"/>
          <w:szCs w:val="19"/>
          <w:i w:val="1"/>
          <w:iCs w:val="1"/>
          <w:color w:val="053582"/>
        </w:rPr>
        <w:t>, Executive</w:t>
      </w:r>
      <w:r>
        <w:rPr>
          <w:rFonts w:ascii="Arial" w:cs="Arial" w:eastAsia="Arial" w:hAnsi="Arial"/>
          <w:sz w:val="19"/>
          <w:szCs w:val="19"/>
          <w:b w:val="1"/>
          <w:bCs w:val="1"/>
          <w:i w:val="1"/>
          <w:iCs w:val="1"/>
          <w:color w:val="3A5575"/>
        </w:rPr>
        <w:t xml:space="preserve"> </w:t>
      </w:r>
      <w:r>
        <w:rPr>
          <w:rFonts w:ascii="Arial" w:cs="Arial" w:eastAsia="Arial" w:hAnsi="Arial"/>
          <w:sz w:val="19"/>
          <w:szCs w:val="19"/>
          <w:i w:val="1"/>
          <w:iCs w:val="1"/>
          <w:color w:val="053582"/>
        </w:rPr>
        <w:t>Vice President and Chief Operating Officer of APS.</w:t>
      </w:r>
    </w:p>
    <w:p>
      <w:pPr>
        <w:spacing w:after="0" w:line="129" w:lineRule="exact"/>
        <w:rPr>
          <w:sz w:val="20"/>
          <w:szCs w:val="20"/>
          <w:color w:val="auto"/>
        </w:rPr>
      </w:pPr>
    </w:p>
    <w:p>
      <w:pPr>
        <w:ind w:left="2"/>
        <w:spacing w:after="0"/>
        <w:rPr>
          <w:sz w:val="20"/>
          <w:szCs w:val="20"/>
          <w:color w:val="auto"/>
        </w:rPr>
      </w:pPr>
      <w:r>
        <w:rPr>
          <w:rFonts w:ascii="Arial" w:cs="Arial" w:eastAsia="Arial" w:hAnsi="Arial"/>
          <w:sz w:val="20"/>
          <w:szCs w:val="20"/>
          <w:b w:val="1"/>
          <w:bCs w:val="1"/>
          <w:i w:val="1"/>
          <w:iCs w:val="1"/>
          <w:color w:val="auto"/>
        </w:rPr>
        <w:t>Highlights of our Compensation Program:</w:t>
      </w:r>
    </w:p>
    <w:p>
      <w:pPr>
        <w:spacing w:after="0" w:line="171" w:lineRule="exact"/>
        <w:rPr>
          <w:sz w:val="20"/>
          <w:szCs w:val="20"/>
          <w:color w:val="auto"/>
        </w:rPr>
      </w:pPr>
    </w:p>
    <w:p>
      <w:pPr>
        <w:ind w:left="482" w:right="160" w:hanging="482"/>
        <w:spacing w:after="0" w:line="269" w:lineRule="auto"/>
        <w:tabs>
          <w:tab w:leader="none" w:pos="482" w:val="left"/>
        </w:tabs>
        <w:numPr>
          <w:ilvl w:val="0"/>
          <w:numId w:val="60"/>
        </w:numPr>
        <w:rPr>
          <w:rFonts w:ascii="Arial" w:cs="Arial" w:eastAsia="Arial" w:hAnsi="Arial"/>
          <w:sz w:val="19"/>
          <w:szCs w:val="19"/>
          <w:color w:val="3A5575"/>
        </w:rPr>
      </w:pPr>
      <w:r>
        <w:rPr>
          <w:rFonts w:ascii="Arial" w:cs="Arial" w:eastAsia="Arial" w:hAnsi="Arial"/>
          <w:sz w:val="19"/>
          <w:szCs w:val="19"/>
          <w:b w:val="1"/>
          <w:bCs w:val="1"/>
          <w:color w:val="auto"/>
        </w:rPr>
        <w:t xml:space="preserve">Pay for Performance </w:t>
      </w:r>
      <w:r>
        <w:rPr>
          <w:rFonts w:ascii="Arial" w:cs="Arial" w:eastAsia="Arial" w:hAnsi="Arial"/>
          <w:sz w:val="19"/>
          <w:szCs w:val="19"/>
          <w:color w:val="auto"/>
        </w:rPr>
        <w:t>— a significant portion of our Named Executive Officers' compensation is at risk and based on</w:t>
      </w:r>
      <w:r>
        <w:rPr>
          <w:rFonts w:ascii="Arial" w:cs="Arial" w:eastAsia="Arial" w:hAnsi="Arial"/>
          <w:sz w:val="19"/>
          <w:szCs w:val="19"/>
          <w:b w:val="1"/>
          <w:bCs w:val="1"/>
          <w:color w:val="auto"/>
        </w:rPr>
        <w:t xml:space="preserve"> </w:t>
      </w:r>
      <w:r>
        <w:rPr>
          <w:rFonts w:ascii="Arial" w:cs="Arial" w:eastAsia="Arial" w:hAnsi="Arial"/>
          <w:sz w:val="19"/>
          <w:szCs w:val="19"/>
          <w:color w:val="auto"/>
        </w:rPr>
        <w:t>performance — our annual cash incentive plans are 100% tied directly to earnings, business unit performance and individual performance, and our performance shares are based on total shareholder return and value-driving business metrics;</w:t>
      </w:r>
    </w:p>
    <w:p>
      <w:pPr>
        <w:spacing w:after="0" w:line="148" w:lineRule="exact"/>
        <w:rPr>
          <w:rFonts w:ascii="Arial" w:cs="Arial" w:eastAsia="Arial" w:hAnsi="Arial"/>
          <w:sz w:val="19"/>
          <w:szCs w:val="19"/>
          <w:color w:val="3A5575"/>
        </w:rPr>
      </w:pPr>
    </w:p>
    <w:p>
      <w:pPr>
        <w:ind w:left="482" w:hanging="482"/>
        <w:spacing w:after="0"/>
        <w:tabs>
          <w:tab w:leader="none" w:pos="482" w:val="left"/>
        </w:tabs>
        <w:numPr>
          <w:ilvl w:val="0"/>
          <w:numId w:val="60"/>
        </w:numPr>
        <w:rPr>
          <w:rFonts w:ascii="Arial" w:cs="Arial" w:eastAsia="Arial" w:hAnsi="Arial"/>
          <w:sz w:val="20"/>
          <w:szCs w:val="20"/>
          <w:color w:val="3A5575"/>
        </w:rPr>
      </w:pPr>
      <w:r>
        <w:rPr>
          <w:rFonts w:ascii="Arial" w:cs="Arial" w:eastAsia="Arial" w:hAnsi="Arial"/>
          <w:sz w:val="20"/>
          <w:szCs w:val="20"/>
          <w:b w:val="1"/>
          <w:bCs w:val="1"/>
          <w:color w:val="auto"/>
        </w:rPr>
        <w:t xml:space="preserve">Limited Perquisites — </w:t>
      </w:r>
      <w:r>
        <w:rPr>
          <w:rFonts w:ascii="Arial" w:cs="Arial" w:eastAsia="Arial" w:hAnsi="Arial"/>
          <w:sz w:val="20"/>
          <w:szCs w:val="20"/>
          <w:color w:val="auto"/>
        </w:rPr>
        <w:t>we offer limited perquisites; and</w:t>
      </w:r>
    </w:p>
    <w:p>
      <w:pPr>
        <w:spacing w:after="0" w:line="199" w:lineRule="exact"/>
        <w:rPr>
          <w:rFonts w:ascii="Arial" w:cs="Arial" w:eastAsia="Arial" w:hAnsi="Arial"/>
          <w:sz w:val="20"/>
          <w:szCs w:val="20"/>
          <w:color w:val="3A5575"/>
        </w:rPr>
      </w:pPr>
    </w:p>
    <w:p>
      <w:pPr>
        <w:ind w:left="482" w:right="340" w:hanging="482"/>
        <w:spacing w:after="0" w:line="269" w:lineRule="auto"/>
        <w:tabs>
          <w:tab w:leader="none" w:pos="482" w:val="left"/>
        </w:tabs>
        <w:numPr>
          <w:ilvl w:val="0"/>
          <w:numId w:val="60"/>
        </w:numPr>
        <w:rPr>
          <w:rFonts w:ascii="Arial" w:cs="Arial" w:eastAsia="Arial" w:hAnsi="Arial"/>
          <w:sz w:val="20"/>
          <w:szCs w:val="20"/>
          <w:color w:val="3A5575"/>
        </w:rPr>
      </w:pPr>
      <w:r>
        <w:rPr>
          <w:rFonts w:ascii="Arial" w:cs="Arial" w:eastAsia="Arial" w:hAnsi="Arial"/>
          <w:sz w:val="20"/>
          <w:szCs w:val="20"/>
          <w:b w:val="1"/>
          <w:bCs w:val="1"/>
          <w:color w:val="auto"/>
        </w:rPr>
        <w:t xml:space="preserve">No Excessive Risk-Taking </w:t>
      </w:r>
      <w:r>
        <w:rPr>
          <w:rFonts w:ascii="Arial" w:cs="Arial" w:eastAsia="Arial" w:hAnsi="Arial"/>
          <w:sz w:val="20"/>
          <w:szCs w:val="20"/>
          <w:color w:val="auto"/>
        </w:rPr>
        <w:t>— we use multiple business performance metrics, capped payouts and other features that are</w:t>
      </w:r>
      <w:r>
        <w:rPr>
          <w:rFonts w:ascii="Arial" w:cs="Arial" w:eastAsia="Arial" w:hAnsi="Arial"/>
          <w:sz w:val="20"/>
          <w:szCs w:val="20"/>
          <w:b w:val="1"/>
          <w:bCs w:val="1"/>
          <w:color w:val="auto"/>
        </w:rPr>
        <w:t xml:space="preserve"> </w:t>
      </w:r>
      <w:r>
        <w:rPr>
          <w:rFonts w:ascii="Arial" w:cs="Arial" w:eastAsia="Arial" w:hAnsi="Arial"/>
          <w:sz w:val="20"/>
          <w:szCs w:val="20"/>
          <w:color w:val="auto"/>
        </w:rPr>
        <w:t>intended to reward performance but not encourage unacceptable risk taking.</w:t>
      </w:r>
    </w:p>
    <w:p>
      <w:pPr>
        <w:spacing w:after="0" w:line="59"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46" w:name="page47"/>
    <w:bookmarkEnd w:id="46"/>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462"/>
        <w:spacing w:after="0"/>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b w:val="1"/>
          <w:bCs w:val="1"/>
          <w:i w:val="1"/>
          <w:iCs w:val="1"/>
          <w:color w:val="000000"/>
        </w:rPr>
        <w:t>Key Changes made to our Compensation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-119380</wp:posOffset>
            </wp:positionV>
            <wp:extent cx="1487805" cy="15557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179" w:lineRule="exact"/>
        <w:rPr>
          <w:sz w:val="20"/>
          <w:szCs w:val="20"/>
          <w:color w:val="auto"/>
        </w:rPr>
      </w:pPr>
    </w:p>
    <w:p>
      <w:pPr>
        <w:ind w:left="2"/>
        <w:spacing w:after="0" w:line="242" w:lineRule="auto"/>
        <w:rPr>
          <w:sz w:val="20"/>
          <w:szCs w:val="20"/>
          <w:color w:val="auto"/>
        </w:rPr>
      </w:pPr>
      <w:r>
        <w:rPr>
          <w:rFonts w:ascii="Arial" w:cs="Arial" w:eastAsia="Arial" w:hAnsi="Arial"/>
          <w:sz w:val="20"/>
          <w:szCs w:val="20"/>
          <w:color w:val="auto"/>
        </w:rPr>
        <w:t>At the 2015 Annual Meeting, our shareholders approved the compensation of our executive officers. Following the Annual Meeting, the Human Resources Committee (for purposes of the CD&amp;A, the "Committee") reviewed and discussed developments in executive compensation practices and the feedback we received from our shareholders. The Committee approved the following changes to our compensation program:</w:t>
      </w:r>
    </w:p>
    <w:p>
      <w:pPr>
        <w:spacing w:after="0" w:line="140" w:lineRule="exact"/>
        <w:rPr>
          <w:sz w:val="20"/>
          <w:szCs w:val="20"/>
          <w:color w:val="auto"/>
        </w:rPr>
      </w:pPr>
    </w:p>
    <w:p>
      <w:pPr>
        <w:ind w:left="482" w:right="260" w:hanging="482"/>
        <w:spacing w:after="0" w:line="265" w:lineRule="auto"/>
        <w:tabs>
          <w:tab w:leader="none" w:pos="482" w:val="left"/>
        </w:tabs>
        <w:numPr>
          <w:ilvl w:val="0"/>
          <w:numId w:val="61"/>
        </w:numPr>
        <w:rPr>
          <w:rFonts w:ascii="Arial" w:cs="Arial" w:eastAsia="Arial" w:hAnsi="Arial"/>
          <w:sz w:val="20"/>
          <w:szCs w:val="20"/>
          <w:color w:val="3A5575"/>
        </w:rPr>
      </w:pPr>
      <w:r>
        <w:rPr>
          <w:rFonts w:ascii="Arial" w:cs="Arial" w:eastAsia="Arial" w:hAnsi="Arial"/>
          <w:sz w:val="20"/>
          <w:szCs w:val="20"/>
          <w:color w:val="auto"/>
        </w:rPr>
        <w:t>Changed the allocation of long-term equity grants from 55% performance-based and 45% time-based to 60% performance-based and 40% time-based beginning with the awards made in 2016;</w:t>
      </w:r>
    </w:p>
    <w:p>
      <w:pPr>
        <w:spacing w:after="0" w:line="154" w:lineRule="exact"/>
        <w:rPr>
          <w:rFonts w:ascii="Arial" w:cs="Arial" w:eastAsia="Arial" w:hAnsi="Arial"/>
          <w:sz w:val="20"/>
          <w:szCs w:val="20"/>
          <w:color w:val="3A5575"/>
        </w:rPr>
      </w:pPr>
    </w:p>
    <w:p>
      <w:pPr>
        <w:ind w:left="482" w:hanging="482"/>
        <w:spacing w:after="0" w:line="292" w:lineRule="auto"/>
        <w:tabs>
          <w:tab w:leader="none" w:pos="482" w:val="left"/>
        </w:tabs>
        <w:numPr>
          <w:ilvl w:val="0"/>
          <w:numId w:val="61"/>
        </w:numPr>
        <w:rPr>
          <w:rFonts w:ascii="Arial" w:cs="Arial" w:eastAsia="Arial" w:hAnsi="Arial"/>
          <w:sz w:val="19"/>
          <w:szCs w:val="19"/>
          <w:color w:val="3A5575"/>
        </w:rPr>
      </w:pPr>
      <w:r>
        <w:rPr>
          <w:rFonts w:ascii="Arial" w:cs="Arial" w:eastAsia="Arial" w:hAnsi="Arial"/>
          <w:sz w:val="19"/>
          <w:szCs w:val="19"/>
          <w:color w:val="auto"/>
        </w:rPr>
        <w:t>Starting with the 2015 CEO Incentive Plan and continuing with the Pinnacle West 2016 Annual CEO Incentive Award Plan, we limit the use of discretion solely to the occurrence of unanticipated events that might arise during the performance period;</w:t>
      </w:r>
    </w:p>
    <w:p>
      <w:pPr>
        <w:spacing w:after="0" w:line="118" w:lineRule="exact"/>
        <w:rPr>
          <w:rFonts w:ascii="Arial" w:cs="Arial" w:eastAsia="Arial" w:hAnsi="Arial"/>
          <w:sz w:val="19"/>
          <w:szCs w:val="19"/>
          <w:color w:val="3A5575"/>
        </w:rPr>
      </w:pPr>
    </w:p>
    <w:p>
      <w:pPr>
        <w:ind w:left="482" w:right="500" w:hanging="482"/>
        <w:spacing w:after="0" w:line="265" w:lineRule="auto"/>
        <w:tabs>
          <w:tab w:leader="none" w:pos="482" w:val="left"/>
        </w:tabs>
        <w:numPr>
          <w:ilvl w:val="0"/>
          <w:numId w:val="61"/>
        </w:numPr>
        <w:rPr>
          <w:rFonts w:ascii="Arial" w:cs="Arial" w:eastAsia="Arial" w:hAnsi="Arial"/>
          <w:sz w:val="20"/>
          <w:szCs w:val="20"/>
          <w:color w:val="3A5575"/>
        </w:rPr>
      </w:pPr>
      <w:r>
        <w:rPr>
          <w:rFonts w:ascii="Arial" w:cs="Arial" w:eastAsia="Arial" w:hAnsi="Arial"/>
          <w:sz w:val="20"/>
          <w:szCs w:val="20"/>
          <w:color w:val="auto"/>
        </w:rPr>
        <w:t>Added clawback provisions to our cash incentive plans and performance share award agreements that make the awards subject to potential forfeiture or recovery; and</w:t>
      </w:r>
    </w:p>
    <w:p>
      <w:pPr>
        <w:spacing w:after="0" w:line="142" w:lineRule="exact"/>
        <w:rPr>
          <w:rFonts w:ascii="Arial" w:cs="Arial" w:eastAsia="Arial" w:hAnsi="Arial"/>
          <w:sz w:val="20"/>
          <w:szCs w:val="20"/>
          <w:color w:val="3A5575"/>
        </w:rPr>
      </w:pPr>
    </w:p>
    <w:p>
      <w:pPr>
        <w:ind w:left="482" w:hanging="482"/>
        <w:spacing w:after="0"/>
        <w:tabs>
          <w:tab w:leader="none" w:pos="482" w:val="left"/>
        </w:tabs>
        <w:numPr>
          <w:ilvl w:val="0"/>
          <w:numId w:val="61"/>
        </w:numPr>
        <w:rPr>
          <w:rFonts w:ascii="Arial" w:cs="Arial" w:eastAsia="Arial" w:hAnsi="Arial"/>
          <w:sz w:val="20"/>
          <w:szCs w:val="20"/>
          <w:color w:val="3A5575"/>
        </w:rPr>
      </w:pPr>
      <w:r>
        <w:rPr>
          <w:rFonts w:ascii="Arial" w:cs="Arial" w:eastAsia="Arial" w:hAnsi="Arial"/>
          <w:sz w:val="20"/>
          <w:szCs w:val="20"/>
          <w:color w:val="auto"/>
        </w:rPr>
        <w:t>Increased the stock ownership guideline for the CEO.</w:t>
      </w:r>
    </w:p>
    <w:p>
      <w:pPr>
        <w:spacing w:after="0" w:line="187" w:lineRule="exact"/>
        <w:rPr>
          <w:sz w:val="20"/>
          <w:szCs w:val="20"/>
          <w:color w:val="auto"/>
        </w:rPr>
      </w:pPr>
    </w:p>
    <w:p>
      <w:pPr>
        <w:ind w:left="2" w:right="200"/>
        <w:spacing w:after="0" w:line="292" w:lineRule="auto"/>
        <w:rPr>
          <w:sz w:val="20"/>
          <w:szCs w:val="20"/>
          <w:color w:val="auto"/>
        </w:rPr>
      </w:pPr>
      <w:r>
        <w:rPr>
          <w:rFonts w:ascii="Arial" w:cs="Arial" w:eastAsia="Arial" w:hAnsi="Arial"/>
          <w:sz w:val="19"/>
          <w:szCs w:val="19"/>
          <w:b w:val="1"/>
          <w:bCs w:val="1"/>
          <w:i w:val="1"/>
          <w:iCs w:val="1"/>
          <w:color w:val="auto"/>
        </w:rPr>
        <w:t xml:space="preserve">Overview of 2015 Company Performance. </w:t>
      </w:r>
      <w:r>
        <w:rPr>
          <w:rFonts w:ascii="Arial" w:cs="Arial" w:eastAsia="Arial" w:hAnsi="Arial"/>
          <w:sz w:val="19"/>
          <w:szCs w:val="19"/>
          <w:color w:val="auto"/>
        </w:rPr>
        <w:t>Pinnacle West is a holding company that derives essentially all of its revenues and</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earnings from our wholly-owned subsidiary, APS, a vertically-integrated electric utility. Our 2015 accomplishments included:</w:t>
      </w:r>
    </w:p>
    <w:p>
      <w:pPr>
        <w:spacing w:after="0" w:line="106" w:lineRule="exact"/>
        <w:rPr>
          <w:sz w:val="20"/>
          <w:szCs w:val="20"/>
          <w:color w:val="auto"/>
        </w:rPr>
      </w:pPr>
    </w:p>
    <w:p>
      <w:pPr>
        <w:ind w:left="482" w:hanging="482"/>
        <w:spacing w:after="0"/>
        <w:tabs>
          <w:tab w:leader="none" w:pos="482" w:val="left"/>
        </w:tabs>
        <w:numPr>
          <w:ilvl w:val="0"/>
          <w:numId w:val="62"/>
        </w:numPr>
        <w:rPr>
          <w:rFonts w:ascii="Arial" w:cs="Arial" w:eastAsia="Arial" w:hAnsi="Arial"/>
          <w:sz w:val="20"/>
          <w:szCs w:val="20"/>
          <w:color w:val="3A5575"/>
        </w:rPr>
      </w:pPr>
      <w:r>
        <w:rPr>
          <w:rFonts w:ascii="Arial" w:cs="Arial" w:eastAsia="Arial" w:hAnsi="Arial"/>
          <w:sz w:val="20"/>
          <w:szCs w:val="20"/>
          <w:color w:val="auto"/>
        </w:rPr>
        <w:t>Pinnacle West increased the dividend for the fourth straight year by 5.0%;</w:t>
      </w:r>
    </w:p>
    <w:p>
      <w:pPr>
        <w:spacing w:after="0" w:line="199" w:lineRule="exact"/>
        <w:rPr>
          <w:rFonts w:ascii="Arial" w:cs="Arial" w:eastAsia="Arial" w:hAnsi="Arial"/>
          <w:sz w:val="20"/>
          <w:szCs w:val="20"/>
          <w:color w:val="3A5575"/>
        </w:rPr>
      </w:pPr>
    </w:p>
    <w:p>
      <w:pPr>
        <w:ind w:left="482" w:hanging="482"/>
        <w:spacing w:after="0"/>
        <w:tabs>
          <w:tab w:leader="none" w:pos="482" w:val="left"/>
        </w:tabs>
        <w:numPr>
          <w:ilvl w:val="0"/>
          <w:numId w:val="62"/>
        </w:numPr>
        <w:rPr>
          <w:rFonts w:ascii="Arial" w:cs="Arial" w:eastAsia="Arial" w:hAnsi="Arial"/>
          <w:sz w:val="20"/>
          <w:szCs w:val="20"/>
          <w:color w:val="3A5575"/>
        </w:rPr>
      </w:pPr>
      <w:r>
        <w:rPr>
          <w:rFonts w:ascii="Arial" w:cs="Arial" w:eastAsia="Arial" w:hAnsi="Arial"/>
          <w:sz w:val="20"/>
          <w:szCs w:val="20"/>
          <w:color w:val="auto"/>
        </w:rPr>
        <w:t>Pinnacle West share price reached a new all-time high and new 52-week intraday highs on four trading days;</w:t>
      </w:r>
    </w:p>
    <w:p>
      <w:pPr>
        <w:spacing w:after="0" w:line="199" w:lineRule="exact"/>
        <w:rPr>
          <w:rFonts w:ascii="Arial" w:cs="Arial" w:eastAsia="Arial" w:hAnsi="Arial"/>
          <w:sz w:val="20"/>
          <w:szCs w:val="20"/>
          <w:color w:val="3A5575"/>
        </w:rPr>
      </w:pPr>
    </w:p>
    <w:p>
      <w:pPr>
        <w:ind w:left="482" w:hanging="482"/>
        <w:spacing w:after="0"/>
        <w:tabs>
          <w:tab w:leader="none" w:pos="482" w:val="left"/>
        </w:tabs>
        <w:numPr>
          <w:ilvl w:val="0"/>
          <w:numId w:val="62"/>
        </w:numPr>
        <w:rPr>
          <w:rFonts w:ascii="Arial" w:cs="Arial" w:eastAsia="Arial" w:hAnsi="Arial"/>
          <w:sz w:val="19"/>
          <w:szCs w:val="19"/>
          <w:color w:val="3A5575"/>
        </w:rPr>
      </w:pPr>
      <w:r>
        <w:rPr>
          <w:rFonts w:ascii="Arial" w:cs="Arial" w:eastAsia="Arial" w:hAnsi="Arial"/>
          <w:sz w:val="19"/>
          <w:szCs w:val="19"/>
          <w:color w:val="auto"/>
        </w:rPr>
        <w:t>Pinnacle West's earnings of $437 million, or $3.92 per share, represented an increase of 9.5% over 2014 earnings per share;</w:t>
      </w:r>
    </w:p>
    <w:p>
      <w:pPr>
        <w:spacing w:after="0" w:line="223" w:lineRule="exact"/>
        <w:rPr>
          <w:rFonts w:ascii="Arial" w:cs="Arial" w:eastAsia="Arial" w:hAnsi="Arial"/>
          <w:sz w:val="19"/>
          <w:szCs w:val="19"/>
          <w:color w:val="3A5575"/>
        </w:rPr>
      </w:pPr>
    </w:p>
    <w:p>
      <w:pPr>
        <w:ind w:left="482" w:hanging="482"/>
        <w:spacing w:after="0"/>
        <w:tabs>
          <w:tab w:leader="none" w:pos="482" w:val="left"/>
        </w:tabs>
        <w:numPr>
          <w:ilvl w:val="0"/>
          <w:numId w:val="62"/>
        </w:numPr>
        <w:rPr>
          <w:rFonts w:ascii="Arial" w:cs="Arial" w:eastAsia="Arial" w:hAnsi="Arial"/>
          <w:sz w:val="20"/>
          <w:szCs w:val="20"/>
          <w:color w:val="3A5575"/>
        </w:rPr>
      </w:pPr>
      <w:r>
        <w:rPr>
          <w:rFonts w:ascii="Arial" w:cs="Arial" w:eastAsia="Arial" w:hAnsi="Arial"/>
          <w:sz w:val="20"/>
          <w:szCs w:val="20"/>
          <w:color w:val="auto"/>
        </w:rPr>
        <w:t>APS operates Palo Verde, the largest nuclear generating station in the United States. In 2015:</w:t>
      </w:r>
    </w:p>
    <w:p>
      <w:pPr>
        <w:spacing w:after="0" w:line="396" w:lineRule="exact"/>
        <w:rPr>
          <w:sz w:val="20"/>
          <w:szCs w:val="20"/>
          <w:color w:val="auto"/>
        </w:rPr>
      </w:pPr>
    </w:p>
    <w:p>
      <w:pPr>
        <w:ind w:left="1482" w:right="200" w:hanging="501"/>
        <w:spacing w:after="0" w:line="273" w:lineRule="auto"/>
        <w:tabs>
          <w:tab w:leader="none" w:pos="1482" w:val="left"/>
        </w:tabs>
        <w:numPr>
          <w:ilvl w:val="1"/>
          <w:numId w:val="63"/>
        </w:numPr>
        <w:rPr>
          <w:rFonts w:ascii="Courier New" w:cs="Courier New" w:eastAsia="Courier New" w:hAnsi="Courier New"/>
          <w:sz w:val="19"/>
          <w:szCs w:val="19"/>
          <w:color w:val="053582"/>
        </w:rPr>
      </w:pPr>
      <w:r>
        <w:rPr>
          <w:rFonts w:ascii="Arial" w:cs="Arial" w:eastAsia="Arial" w:hAnsi="Arial"/>
          <w:sz w:val="19"/>
          <w:szCs w:val="19"/>
          <w:color w:val="auto"/>
        </w:rPr>
        <w:t>Palo Verde generated more electricity than in any year since it began operating in 1986, 32.5 million megawatt-hours, and it remains the only U.S. generating station to produce more than 30 million megawatt-hours in a year;</w:t>
      </w:r>
    </w:p>
    <w:p>
      <w:pPr>
        <w:spacing w:after="0" w:line="133" w:lineRule="exact"/>
        <w:rPr>
          <w:rFonts w:ascii="Courier New" w:cs="Courier New" w:eastAsia="Courier New" w:hAnsi="Courier New"/>
          <w:sz w:val="19"/>
          <w:szCs w:val="19"/>
          <w:color w:val="053582"/>
        </w:rPr>
      </w:pPr>
    </w:p>
    <w:p>
      <w:pPr>
        <w:ind w:left="1482" w:right="760" w:hanging="501"/>
        <w:spacing w:after="0" w:line="247" w:lineRule="auto"/>
        <w:tabs>
          <w:tab w:leader="none" w:pos="1482" w:val="left"/>
        </w:tabs>
        <w:numPr>
          <w:ilvl w:val="1"/>
          <w:numId w:val="63"/>
        </w:numPr>
        <w:rPr>
          <w:rFonts w:ascii="Courier New" w:cs="Courier New" w:eastAsia="Courier New" w:hAnsi="Courier New"/>
          <w:sz w:val="20"/>
          <w:szCs w:val="20"/>
          <w:color w:val="053582"/>
        </w:rPr>
      </w:pPr>
      <w:r>
        <w:rPr>
          <w:rFonts w:ascii="Arial" w:cs="Arial" w:eastAsia="Arial" w:hAnsi="Arial"/>
          <w:sz w:val="20"/>
          <w:szCs w:val="20"/>
          <w:color w:val="auto"/>
        </w:rPr>
        <w:t>Palo Verde achieved a capacity factor of 94.3% and a record capacity factor of 100.2% between June and September; and</w:t>
      </w:r>
    </w:p>
    <w:p>
      <w:pPr>
        <w:spacing w:after="0" w:line="367" w:lineRule="exact"/>
        <w:rPr>
          <w:rFonts w:ascii="Courier New" w:cs="Courier New" w:eastAsia="Courier New" w:hAnsi="Courier New"/>
          <w:sz w:val="20"/>
          <w:szCs w:val="20"/>
          <w:color w:val="053582"/>
        </w:rPr>
      </w:pPr>
    </w:p>
    <w:p>
      <w:pPr>
        <w:jc w:val="both"/>
        <w:ind w:left="482" w:right="540" w:hanging="482"/>
        <w:spacing w:after="0" w:line="247" w:lineRule="auto"/>
        <w:tabs>
          <w:tab w:leader="none" w:pos="482" w:val="left"/>
        </w:tabs>
        <w:numPr>
          <w:ilvl w:val="0"/>
          <w:numId w:val="63"/>
        </w:numPr>
        <w:rPr>
          <w:rFonts w:ascii="Arial" w:cs="Arial" w:eastAsia="Arial" w:hAnsi="Arial"/>
          <w:sz w:val="20"/>
          <w:szCs w:val="20"/>
          <w:color w:val="3A5575"/>
        </w:rPr>
      </w:pPr>
      <w:r>
        <w:rPr>
          <w:rFonts w:ascii="Arial" w:cs="Arial" w:eastAsia="Arial" w:hAnsi="Arial"/>
          <w:sz w:val="20"/>
          <w:szCs w:val="20"/>
          <w:color w:val="auto"/>
        </w:rPr>
        <w:t>APS had its second lowest number of OSHA recordables and expects to remain within the top decile for electric utilities; additionally, APS continued to implement physical enhancements and cyber security defenses to protect our people and assets.</w:t>
      </w:r>
    </w:p>
    <w:p>
      <w:pPr>
        <w:spacing w:after="0" w:line="145"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Setting Executive Compensation</w:t>
      </w:r>
    </w:p>
    <w:p>
      <w:pPr>
        <w:spacing w:after="0" w:line="191" w:lineRule="exact"/>
        <w:rPr>
          <w:sz w:val="20"/>
          <w:szCs w:val="20"/>
          <w:color w:val="auto"/>
        </w:rPr>
      </w:pPr>
    </w:p>
    <w:p>
      <w:pPr>
        <w:ind w:left="2" w:right="60"/>
        <w:spacing w:after="0" w:line="239" w:lineRule="auto"/>
        <w:rPr>
          <w:sz w:val="20"/>
          <w:szCs w:val="20"/>
          <w:color w:val="auto"/>
        </w:rPr>
      </w:pPr>
      <w:r>
        <w:rPr>
          <w:rFonts w:ascii="Arial" w:cs="Arial" w:eastAsia="Arial" w:hAnsi="Arial"/>
          <w:sz w:val="20"/>
          <w:szCs w:val="20"/>
          <w:b w:val="1"/>
          <w:bCs w:val="1"/>
          <w:i w:val="1"/>
          <w:iCs w:val="1"/>
          <w:color w:val="auto"/>
        </w:rPr>
        <w:t xml:space="preserve">The Human Resources Committee. </w:t>
      </w:r>
      <w:r>
        <w:rPr>
          <w:rFonts w:ascii="Arial" w:cs="Arial" w:eastAsia="Arial" w:hAnsi="Arial"/>
          <w:sz w:val="20"/>
          <w:szCs w:val="20"/>
          <w:color w:val="auto"/>
        </w:rPr>
        <w:t>The Committee monitors executive officer compensation throughout the year and</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undertakes a thorough analysis of our executive officer compensation each Fall. This review includes consideration of competitive positions relative to specified labor markets, the mix of compensation components, performance requirements, the portion of pay at risk and tied to performance, and individual performance evaluations. From December through February, the Committee considers and approves executive officer compensation, including salary and cash and non-cash incentives.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164465</wp:posOffset>
            </wp:positionV>
            <wp:extent cx="841375" cy="16383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38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47" w:name="page48"/>
    <w:bookmarkEnd w:id="47"/>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460"/>
        <w:spacing w:after="0" w:line="255" w:lineRule="auto"/>
        <w:rPr>
          <w:sz w:val="20"/>
          <w:szCs w:val="20"/>
          <w:color w:val="auto"/>
        </w:rPr>
      </w:pPr>
      <w:r>
        <w:rPr>
          <w:rFonts w:ascii="Arial" w:cs="Arial" w:eastAsia="Arial" w:hAnsi="Arial"/>
          <w:sz w:val="19"/>
          <w:szCs w:val="19"/>
          <w:b w:val="1"/>
          <w:bCs w:val="1"/>
          <w:i w:val="1"/>
          <w:iCs w:val="1"/>
          <w:color w:val="auto"/>
        </w:rPr>
        <w:t xml:space="preserve">Role of Executive Officers in Determining Executive Compensation. </w:t>
      </w:r>
      <w:r>
        <w:rPr>
          <w:rFonts w:ascii="Arial" w:cs="Arial" w:eastAsia="Arial" w:hAnsi="Arial"/>
          <w:sz w:val="19"/>
          <w:szCs w:val="19"/>
          <w:color w:val="auto"/>
        </w:rPr>
        <w:t>The Committee makes all</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compensation decisions relating to our CEO's compensation, makes awards under the 2012 Long-Term</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60"/>
        <w:spacing w:after="0" w:line="232" w:lineRule="auto"/>
        <w:rPr>
          <w:sz w:val="20"/>
          <w:szCs w:val="20"/>
          <w:color w:val="auto"/>
        </w:rPr>
      </w:pPr>
      <w:r>
        <w:rPr>
          <w:rFonts w:ascii="Arial" w:cs="Arial" w:eastAsia="Arial" w:hAnsi="Arial"/>
          <w:sz w:val="20"/>
          <w:szCs w:val="20"/>
          <w:color w:val="auto"/>
        </w:rPr>
        <w:t>Incentive Plan (the "2012 Plan"), and determines the awards under the 2015 Incentive Plans, as defined later in this CD&amp;A. The Committee recommends other executive officer compensation decisions, which are approved by the Board for Pinnacle West officers and the Board of Directors of APS for APS officers. Management works with the Committee in establishing the agenda for Committee meetings and in preparing meeting information. Management conducts evaluations and provides information on the performance of the executive officers for the Committee's consideration and provides such other information as the Committee may request. Management also assists the Committee in recommending: salary levels; annual incentive plan structure and design, including earnings and business unit performance targets or other goals; long-term incentive plan structure and design, including award levels; and the type, structure, and amount of other awards. The executive officers are available to the Committee's compensation consultant to provide information as requested by the consultant. At the request of the Chair of the Committee, the CEO or other officers may attend and participate in portions of the Committee's meetings.</w:t>
      </w:r>
    </w:p>
    <w:p>
      <w:pPr>
        <w:spacing w:after="0" w:line="157" w:lineRule="exact"/>
        <w:rPr>
          <w:rFonts w:ascii="Arial" w:cs="Arial" w:eastAsia="Arial" w:hAnsi="Arial"/>
          <w:sz w:val="13"/>
          <w:szCs w:val="13"/>
          <w:b w:val="1"/>
          <w:bCs w:val="1"/>
          <w:color w:val="FFFFFE"/>
        </w:rPr>
      </w:pPr>
    </w:p>
    <w:p>
      <w:pPr>
        <w:ind w:right="60"/>
        <w:spacing w:after="0" w:line="235" w:lineRule="auto"/>
        <w:rPr>
          <w:sz w:val="20"/>
          <w:szCs w:val="20"/>
          <w:color w:val="auto"/>
        </w:rPr>
      </w:pPr>
      <w:r>
        <w:rPr>
          <w:rFonts w:ascii="Arial" w:cs="Arial" w:eastAsia="Arial" w:hAnsi="Arial"/>
          <w:sz w:val="20"/>
          <w:szCs w:val="20"/>
          <w:b w:val="1"/>
          <w:bCs w:val="1"/>
          <w:i w:val="1"/>
          <w:iCs w:val="1"/>
          <w:color w:val="auto"/>
        </w:rPr>
        <w:t xml:space="preserve">Role of Compensation Consultants. </w:t>
      </w:r>
      <w:r>
        <w:rPr>
          <w:rFonts w:ascii="Arial" w:cs="Arial" w:eastAsia="Arial" w:hAnsi="Arial"/>
          <w:sz w:val="20"/>
          <w:szCs w:val="20"/>
          <w:color w:val="auto"/>
        </w:rPr>
        <w:t>The Committee's charter gives the Committee the sole authority to retain and terminate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any consulting firm used by the Committee in evaluating non-employee director and officer compensation. The Committee engaged Frederick W. Cook &amp; Co. to assist the Committee in its evaluation of 2015 compensation for our executive officers (the "Consultant"). The Consultant does not provide any other services to the Company or its affiliates. The Committee has assessed the independence of the Consultant and has concluded that the Consultant is an independent consultant to the Committee as determined under the NYSE rules. The Committee instructed the Consultant to prepare a competitive analysis of the compensation of the executive officers of the Company and of APS, and to make recommendations for changes to the existing compensation program, if warranted.</w:t>
      </w:r>
    </w:p>
    <w:p>
      <w:pPr>
        <w:spacing w:after="0" w:line="161" w:lineRule="exact"/>
        <w:rPr>
          <w:rFonts w:ascii="Arial" w:cs="Arial" w:eastAsia="Arial" w:hAnsi="Arial"/>
          <w:sz w:val="13"/>
          <w:szCs w:val="13"/>
          <w:b w:val="1"/>
          <w:bCs w:val="1"/>
          <w:color w:val="FFFFFE"/>
        </w:rPr>
      </w:pPr>
    </w:p>
    <w:p>
      <w:pPr>
        <w:ind w:right="100"/>
        <w:spacing w:after="0" w:line="235" w:lineRule="auto"/>
        <w:rPr>
          <w:sz w:val="20"/>
          <w:szCs w:val="20"/>
          <w:color w:val="auto"/>
        </w:rPr>
      </w:pPr>
      <w:r>
        <w:rPr>
          <w:rFonts w:ascii="Arial" w:cs="Arial" w:eastAsia="Arial" w:hAnsi="Arial"/>
          <w:sz w:val="20"/>
          <w:szCs w:val="20"/>
          <w:b w:val="1"/>
          <w:bCs w:val="1"/>
          <w:i w:val="1"/>
          <w:iCs w:val="1"/>
          <w:color w:val="auto"/>
        </w:rPr>
        <w:t xml:space="preserve">Determining The Peer Group. </w:t>
      </w:r>
      <w:r>
        <w:rPr>
          <w:rFonts w:ascii="Arial" w:cs="Arial" w:eastAsia="Arial" w:hAnsi="Arial"/>
          <w:sz w:val="20"/>
          <w:szCs w:val="20"/>
          <w:color w:val="auto"/>
        </w:rPr>
        <w:t>As a regular part of the executive compensation review process, the Committee reviews the peer</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group annually for its continued appropriateness. As a result of such review, the Committee made changes to the peer group that was used in setting 2015 executive compensation. The Committee removed Entergy Corporation and NextEra Energy, Inc. due to their focus on unregulated operations and also removed NV Energy, Inc. and Progress Energy, Inc., which had been acquired and ceased to be public companies. The removed companies were replaced with Edison International, Consolidated Edison, NiSource Inc. and Hawaiian Electric Industries, each of which was more comparable to the Company based on several factors including being highly or mostly regulated, nuclear ownership, comparable regulatory environment and headquartered in a major metropolitan area.</w:t>
      </w:r>
    </w:p>
    <w:p>
      <w:pPr>
        <w:spacing w:after="0" w:line="161" w:lineRule="exact"/>
        <w:rPr>
          <w:rFonts w:ascii="Arial" w:cs="Arial" w:eastAsia="Arial" w:hAnsi="Arial"/>
          <w:sz w:val="13"/>
          <w:szCs w:val="13"/>
          <w:b w:val="1"/>
          <w:bCs w:val="1"/>
          <w:color w:val="FFFFFE"/>
        </w:rPr>
      </w:pPr>
    </w:p>
    <w:p>
      <w:pPr>
        <w:ind w:right="40"/>
        <w:spacing w:after="0" w:line="239" w:lineRule="auto"/>
        <w:rPr>
          <w:sz w:val="20"/>
          <w:szCs w:val="20"/>
          <w:color w:val="auto"/>
        </w:rPr>
      </w:pPr>
      <w:r>
        <w:rPr>
          <w:rFonts w:ascii="Arial" w:cs="Arial" w:eastAsia="Arial" w:hAnsi="Arial"/>
          <w:sz w:val="20"/>
          <w:szCs w:val="20"/>
          <w:color w:val="auto"/>
        </w:rPr>
        <w:t>The utility industry has been in a period of consolidation for several years. Corporate transactions such as acquisitions and mergers can have the effect of compromising the comparability of Pinnacle West's performance versus a number of the firms in the peer group in a given period. Over the last 3-year period, companies which appeared in the peer group were involved in acquisition or merger transactions, several of which involved companies with market capitalizations similar to Pinnacle West. These companies were no longer included in the peer group subsequent to the completion of the transactions.</w:t>
      </w:r>
    </w:p>
    <w:p>
      <w:pPr>
        <w:spacing w:after="0" w:line="87"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39</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48" w:name="page49"/>
    <w:bookmarkEnd w:id="48"/>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2" w:right="60"/>
        <w:spacing w:after="0" w:line="255" w:lineRule="auto"/>
        <w:rPr>
          <w:sz w:val="20"/>
          <w:szCs w:val="20"/>
          <w:color w:val="auto"/>
        </w:rPr>
      </w:pPr>
      <w:r>
        <w:rPr>
          <w:rFonts w:ascii="Arial" w:cs="Arial" w:eastAsia="Arial" w:hAnsi="Arial"/>
          <w:sz w:val="19"/>
          <w:szCs w:val="19"/>
          <w:color w:val="auto"/>
        </w:rPr>
        <w:t>The Peer Group is broadly similar to the Company in scope and complexity of operations (taking into account nuclear operations, regulatory profile, and other quantitative and qualitative considerations) and</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0</wp:posOffset>
            </wp:positionH>
            <wp:positionV relativeFrom="paragraph">
              <wp:posOffset>-274955</wp:posOffset>
            </wp:positionV>
            <wp:extent cx="1487805" cy="15557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2" w:right="500"/>
        <w:spacing w:after="0"/>
        <w:rPr>
          <w:sz w:val="20"/>
          <w:szCs w:val="20"/>
          <w:color w:val="auto"/>
        </w:rPr>
      </w:pPr>
      <w:r>
        <w:rPr>
          <w:rFonts w:ascii="Arial" w:cs="Arial" w:eastAsia="Arial" w:hAnsi="Arial"/>
          <w:sz w:val="20"/>
          <w:szCs w:val="20"/>
          <w:color w:val="auto"/>
        </w:rPr>
        <w:t>positions the Company close to the median with respect to revenues (adjusted as explained below). For 2015, the Peer Group consisted of the following predominantly rate-regulated utilities (the "Peer Group"):</w:t>
      </w:r>
    </w:p>
    <w:p>
      <w:pPr>
        <w:spacing w:after="0" w:line="371" w:lineRule="exact"/>
        <w:rPr>
          <w:rFonts w:ascii="Arial" w:cs="Arial" w:eastAsia="Arial" w:hAnsi="Arial"/>
          <w:sz w:val="13"/>
          <w:szCs w:val="13"/>
          <w:b w:val="1"/>
          <w:bCs w:val="1"/>
          <w:color w:val="FFFFFE"/>
        </w:rPr>
      </w:pPr>
    </w:p>
    <w:p>
      <w:pPr>
        <w:jc w:val="center"/>
        <w:ind w:right="38"/>
        <w:spacing w:after="0"/>
        <w:rPr>
          <w:sz w:val="20"/>
          <w:szCs w:val="20"/>
          <w:color w:val="auto"/>
        </w:rPr>
      </w:pPr>
      <w:r>
        <w:rPr>
          <w:rFonts w:ascii="Arial" w:cs="Arial" w:eastAsia="Arial" w:hAnsi="Arial"/>
          <w:sz w:val="20"/>
          <w:szCs w:val="20"/>
          <w:b w:val="1"/>
          <w:bCs w:val="1"/>
          <w:color w:val="auto"/>
        </w:rPr>
        <w:t>Peer Group</w:t>
      </w:r>
    </w:p>
    <w:p>
      <w:pPr>
        <w:spacing w:after="0" w:line="201" w:lineRule="exact"/>
        <w:rPr>
          <w:rFonts w:ascii="Arial" w:cs="Arial" w:eastAsia="Arial" w:hAnsi="Arial"/>
          <w:sz w:val="13"/>
          <w:szCs w:val="13"/>
          <w:b w:val="1"/>
          <w:bCs w:val="1"/>
          <w:color w:val="FFFFFE"/>
        </w:rPr>
      </w:pPr>
    </w:p>
    <w:tbl>
      <w:tblPr>
        <w:tblLayout w:type="fixed"/>
        <w:tblInd w:w="2" w:type="dxa"/>
        <w:tblCellMar>
          <w:top w:w="0" w:type="dxa"/>
          <w:left w:w="0" w:type="dxa"/>
          <w:bottom w:w="0" w:type="dxa"/>
          <w:right w:w="0" w:type="dxa"/>
        </w:tblCellMar>
      </w:tblPr>
      <w:tr>
        <w:trPr>
          <w:trHeight w:val="179"/>
        </w:trPr>
        <w:tc>
          <w:tcPr>
            <w:tcW w:w="2660" w:type="dxa"/>
            <w:vAlign w:val="bottom"/>
            <w:tcBorders>
              <w:top w:val="single" w:sz="8" w:color="646466"/>
            </w:tcBorders>
            <w:shd w:val="clear" w:color="auto" w:fill="E3E5EB"/>
          </w:tcPr>
          <w:p>
            <w:pPr>
              <w:spacing w:after="0" w:line="179" w:lineRule="exact"/>
              <w:rPr>
                <w:sz w:val="20"/>
                <w:szCs w:val="20"/>
                <w:color w:val="auto"/>
              </w:rPr>
            </w:pPr>
            <w:r>
              <w:rPr>
                <w:rFonts w:ascii="Arial" w:cs="Arial" w:eastAsia="Arial" w:hAnsi="Arial"/>
                <w:sz w:val="16"/>
                <w:szCs w:val="16"/>
                <w:color w:val="auto"/>
              </w:rPr>
              <w:t>Alliant Energy Corporation</w:t>
            </w:r>
          </w:p>
        </w:tc>
        <w:tc>
          <w:tcPr>
            <w:tcW w:w="3200" w:type="dxa"/>
            <w:vAlign w:val="bottom"/>
            <w:tcBorders>
              <w:top w:val="single" w:sz="8" w:color="646466"/>
            </w:tcBorders>
            <w:shd w:val="clear" w:color="auto" w:fill="E3E5EB"/>
          </w:tcPr>
          <w:p>
            <w:pPr>
              <w:ind w:left="800"/>
              <w:spacing w:after="0" w:line="179" w:lineRule="exact"/>
              <w:rPr>
                <w:sz w:val="20"/>
                <w:szCs w:val="20"/>
                <w:color w:val="auto"/>
              </w:rPr>
            </w:pPr>
            <w:r>
              <w:rPr>
                <w:rFonts w:ascii="Arial" w:cs="Arial" w:eastAsia="Arial" w:hAnsi="Arial"/>
                <w:sz w:val="16"/>
                <w:szCs w:val="16"/>
                <w:color w:val="auto"/>
              </w:rPr>
              <w:t>Ameren Corporation</w:t>
            </w:r>
          </w:p>
        </w:tc>
        <w:tc>
          <w:tcPr>
            <w:tcW w:w="3060" w:type="dxa"/>
            <w:vAlign w:val="bottom"/>
            <w:tcBorders>
              <w:top w:val="single" w:sz="8" w:color="646466"/>
            </w:tcBorders>
            <w:shd w:val="clear" w:color="auto" w:fill="E3E5EB"/>
          </w:tcPr>
          <w:p>
            <w:pPr>
              <w:ind w:left="780"/>
              <w:spacing w:after="0" w:line="179" w:lineRule="exact"/>
              <w:rPr>
                <w:sz w:val="20"/>
                <w:szCs w:val="20"/>
                <w:color w:val="auto"/>
              </w:rPr>
            </w:pPr>
            <w:r>
              <w:rPr>
                <w:rFonts w:ascii="Arial" w:cs="Arial" w:eastAsia="Arial" w:hAnsi="Arial"/>
                <w:sz w:val="16"/>
                <w:szCs w:val="16"/>
                <w:color w:val="auto"/>
              </w:rPr>
              <w:t>Consolidated Edison,</w:t>
            </w:r>
          </w:p>
        </w:tc>
        <w:tc>
          <w:tcPr>
            <w:tcW w:w="2500" w:type="dxa"/>
            <w:vAlign w:val="bottom"/>
            <w:tcBorders>
              <w:top w:val="single" w:sz="8" w:color="646466"/>
            </w:tcBorders>
            <w:shd w:val="clear" w:color="auto" w:fill="E3E5EB"/>
          </w:tcPr>
          <w:p>
            <w:pPr>
              <w:ind w:left="780"/>
              <w:spacing w:after="0" w:line="179" w:lineRule="exact"/>
              <w:rPr>
                <w:sz w:val="20"/>
                <w:szCs w:val="20"/>
                <w:color w:val="auto"/>
              </w:rPr>
            </w:pPr>
            <w:r>
              <w:rPr>
                <w:rFonts w:ascii="Arial" w:cs="Arial" w:eastAsia="Arial" w:hAnsi="Arial"/>
                <w:sz w:val="16"/>
                <w:szCs w:val="16"/>
                <w:color w:val="auto"/>
              </w:rPr>
              <w:t>DTE Energy Company</w:t>
            </w:r>
          </w:p>
        </w:tc>
      </w:tr>
      <w:tr>
        <w:trPr>
          <w:trHeight w:val="201"/>
        </w:trPr>
        <w:tc>
          <w:tcPr>
            <w:tcW w:w="2660" w:type="dxa"/>
            <w:vAlign w:val="bottom"/>
            <w:shd w:val="clear" w:color="auto" w:fill="E3E5EB"/>
          </w:tcPr>
          <w:p>
            <w:pPr>
              <w:spacing w:after="0"/>
              <w:rPr>
                <w:sz w:val="17"/>
                <w:szCs w:val="17"/>
                <w:color w:val="auto"/>
              </w:rPr>
            </w:pPr>
          </w:p>
        </w:tc>
        <w:tc>
          <w:tcPr>
            <w:tcW w:w="3200" w:type="dxa"/>
            <w:vAlign w:val="bottom"/>
            <w:shd w:val="clear" w:color="auto" w:fill="E3E5EB"/>
          </w:tcPr>
          <w:p>
            <w:pPr>
              <w:spacing w:after="0"/>
              <w:rPr>
                <w:sz w:val="17"/>
                <w:szCs w:val="17"/>
                <w:color w:val="auto"/>
              </w:rPr>
            </w:pPr>
          </w:p>
        </w:tc>
        <w:tc>
          <w:tcPr>
            <w:tcW w:w="3060" w:type="dxa"/>
            <w:vAlign w:val="bottom"/>
            <w:shd w:val="clear" w:color="auto" w:fill="E3E5EB"/>
          </w:tcPr>
          <w:p>
            <w:pPr>
              <w:ind w:left="780"/>
              <w:spacing w:after="0"/>
              <w:rPr>
                <w:sz w:val="20"/>
                <w:szCs w:val="20"/>
                <w:color w:val="auto"/>
              </w:rPr>
            </w:pPr>
            <w:r>
              <w:rPr>
                <w:rFonts w:ascii="Arial" w:cs="Arial" w:eastAsia="Arial" w:hAnsi="Arial"/>
                <w:sz w:val="16"/>
                <w:szCs w:val="16"/>
                <w:color w:val="auto"/>
              </w:rPr>
              <w:t>Inc.</w:t>
            </w:r>
          </w:p>
        </w:tc>
        <w:tc>
          <w:tcPr>
            <w:tcW w:w="2500" w:type="dxa"/>
            <w:vAlign w:val="bottom"/>
            <w:shd w:val="clear" w:color="auto" w:fill="E3E5EB"/>
          </w:tcPr>
          <w:p>
            <w:pPr>
              <w:spacing w:after="0"/>
              <w:rPr>
                <w:sz w:val="17"/>
                <w:szCs w:val="17"/>
                <w:color w:val="auto"/>
              </w:rPr>
            </w:pPr>
          </w:p>
        </w:tc>
      </w:tr>
      <w:tr>
        <w:trPr>
          <w:trHeight w:val="167"/>
        </w:trPr>
        <w:tc>
          <w:tcPr>
            <w:tcW w:w="2660" w:type="dxa"/>
            <w:vAlign w:val="bottom"/>
          </w:tcPr>
          <w:p>
            <w:pPr>
              <w:spacing w:after="0" w:line="167" w:lineRule="exact"/>
              <w:rPr>
                <w:sz w:val="20"/>
                <w:szCs w:val="20"/>
                <w:color w:val="auto"/>
              </w:rPr>
            </w:pPr>
            <w:r>
              <w:rPr>
                <w:rFonts w:ascii="Arial" w:cs="Arial" w:eastAsia="Arial" w:hAnsi="Arial"/>
                <w:sz w:val="16"/>
                <w:szCs w:val="16"/>
                <w:color w:val="auto"/>
              </w:rPr>
              <w:t>Edison International</w:t>
            </w:r>
          </w:p>
        </w:tc>
        <w:tc>
          <w:tcPr>
            <w:tcW w:w="3200" w:type="dxa"/>
            <w:vAlign w:val="bottom"/>
          </w:tcPr>
          <w:p>
            <w:pPr>
              <w:ind w:left="800"/>
              <w:spacing w:after="0" w:line="167" w:lineRule="exact"/>
              <w:rPr>
                <w:sz w:val="20"/>
                <w:szCs w:val="20"/>
                <w:color w:val="auto"/>
              </w:rPr>
            </w:pPr>
            <w:r>
              <w:rPr>
                <w:rFonts w:ascii="Arial" w:cs="Arial" w:eastAsia="Arial" w:hAnsi="Arial"/>
                <w:sz w:val="16"/>
                <w:szCs w:val="16"/>
                <w:color w:val="auto"/>
              </w:rPr>
              <w:t>Hawaiian Electric</w:t>
            </w:r>
          </w:p>
        </w:tc>
        <w:tc>
          <w:tcPr>
            <w:tcW w:w="3060" w:type="dxa"/>
            <w:vAlign w:val="bottom"/>
          </w:tcPr>
          <w:p>
            <w:pPr>
              <w:ind w:left="780"/>
              <w:spacing w:after="0" w:line="167" w:lineRule="exact"/>
              <w:rPr>
                <w:sz w:val="20"/>
                <w:szCs w:val="20"/>
                <w:color w:val="auto"/>
              </w:rPr>
            </w:pPr>
            <w:r>
              <w:rPr>
                <w:rFonts w:ascii="Arial" w:cs="Arial" w:eastAsia="Arial" w:hAnsi="Arial"/>
                <w:sz w:val="16"/>
                <w:szCs w:val="16"/>
                <w:color w:val="auto"/>
              </w:rPr>
              <w:t>NiSource Inc.</w:t>
            </w:r>
          </w:p>
        </w:tc>
        <w:tc>
          <w:tcPr>
            <w:tcW w:w="2500" w:type="dxa"/>
            <w:vAlign w:val="bottom"/>
          </w:tcPr>
          <w:p>
            <w:pPr>
              <w:ind w:left="780"/>
              <w:spacing w:after="0" w:line="167" w:lineRule="exact"/>
              <w:rPr>
                <w:sz w:val="20"/>
                <w:szCs w:val="20"/>
                <w:color w:val="auto"/>
              </w:rPr>
            </w:pPr>
            <w:r>
              <w:rPr>
                <w:rFonts w:ascii="Arial" w:cs="Arial" w:eastAsia="Arial" w:hAnsi="Arial"/>
                <w:sz w:val="16"/>
                <w:szCs w:val="16"/>
                <w:color w:val="auto"/>
              </w:rPr>
              <w:t>Northeast Utilities (now</w:t>
            </w:r>
          </w:p>
        </w:tc>
      </w:tr>
      <w:tr>
        <w:trPr>
          <w:trHeight w:val="201"/>
        </w:trPr>
        <w:tc>
          <w:tcPr>
            <w:tcW w:w="2660" w:type="dxa"/>
            <w:vAlign w:val="bottom"/>
          </w:tcPr>
          <w:p>
            <w:pPr>
              <w:spacing w:after="0"/>
              <w:rPr>
                <w:sz w:val="17"/>
                <w:szCs w:val="17"/>
                <w:color w:val="auto"/>
              </w:rPr>
            </w:pPr>
          </w:p>
        </w:tc>
        <w:tc>
          <w:tcPr>
            <w:tcW w:w="3200" w:type="dxa"/>
            <w:vAlign w:val="bottom"/>
          </w:tcPr>
          <w:p>
            <w:pPr>
              <w:ind w:left="800"/>
              <w:spacing w:after="0"/>
              <w:rPr>
                <w:sz w:val="20"/>
                <w:szCs w:val="20"/>
                <w:color w:val="auto"/>
              </w:rPr>
            </w:pPr>
            <w:r>
              <w:rPr>
                <w:rFonts w:ascii="Arial" w:cs="Arial" w:eastAsia="Arial" w:hAnsi="Arial"/>
                <w:sz w:val="16"/>
                <w:szCs w:val="16"/>
                <w:color w:val="auto"/>
              </w:rPr>
              <w:t>Industries, Inc.</w:t>
            </w:r>
          </w:p>
        </w:tc>
        <w:tc>
          <w:tcPr>
            <w:tcW w:w="3060" w:type="dxa"/>
            <w:vAlign w:val="bottom"/>
          </w:tcPr>
          <w:p>
            <w:pPr>
              <w:spacing w:after="0"/>
              <w:rPr>
                <w:sz w:val="17"/>
                <w:szCs w:val="17"/>
                <w:color w:val="auto"/>
              </w:rPr>
            </w:pPr>
          </w:p>
        </w:tc>
        <w:tc>
          <w:tcPr>
            <w:tcW w:w="2500" w:type="dxa"/>
            <w:vAlign w:val="bottom"/>
          </w:tcPr>
          <w:p>
            <w:pPr>
              <w:ind w:left="780"/>
              <w:spacing w:after="0"/>
              <w:rPr>
                <w:sz w:val="20"/>
                <w:szCs w:val="20"/>
                <w:color w:val="auto"/>
              </w:rPr>
            </w:pPr>
            <w:r>
              <w:rPr>
                <w:rFonts w:ascii="Arial" w:cs="Arial" w:eastAsia="Arial" w:hAnsi="Arial"/>
                <w:sz w:val="16"/>
                <w:szCs w:val="16"/>
                <w:color w:val="auto"/>
              </w:rPr>
              <w:t>Eversource Energy)</w:t>
            </w:r>
          </w:p>
        </w:tc>
      </w:tr>
      <w:tr>
        <w:trPr>
          <w:trHeight w:val="184"/>
        </w:trPr>
        <w:tc>
          <w:tcPr>
            <w:tcW w:w="2660" w:type="dxa"/>
            <w:vAlign w:val="bottom"/>
            <w:shd w:val="clear" w:color="auto" w:fill="E3E5EB"/>
          </w:tcPr>
          <w:p>
            <w:pPr>
              <w:spacing w:after="0"/>
              <w:rPr>
                <w:sz w:val="20"/>
                <w:szCs w:val="20"/>
                <w:color w:val="auto"/>
              </w:rPr>
            </w:pPr>
            <w:r>
              <w:rPr>
                <w:rFonts w:ascii="Arial" w:cs="Arial" w:eastAsia="Arial" w:hAnsi="Arial"/>
                <w:sz w:val="16"/>
                <w:szCs w:val="16"/>
                <w:color w:val="auto"/>
              </w:rPr>
              <w:t>OGE Energy Corp.</w:t>
            </w:r>
          </w:p>
        </w:tc>
        <w:tc>
          <w:tcPr>
            <w:tcW w:w="3200" w:type="dxa"/>
            <w:vAlign w:val="bottom"/>
            <w:shd w:val="clear" w:color="auto" w:fill="E3E5EB"/>
          </w:tcPr>
          <w:p>
            <w:pPr>
              <w:ind w:left="800"/>
              <w:spacing w:after="0"/>
              <w:rPr>
                <w:sz w:val="20"/>
                <w:szCs w:val="20"/>
                <w:color w:val="auto"/>
              </w:rPr>
            </w:pPr>
            <w:r>
              <w:rPr>
                <w:rFonts w:ascii="Arial" w:cs="Arial" w:eastAsia="Arial" w:hAnsi="Arial"/>
                <w:sz w:val="16"/>
                <w:szCs w:val="16"/>
                <w:color w:val="auto"/>
              </w:rPr>
              <w:t>PPL Corporation</w:t>
            </w:r>
          </w:p>
        </w:tc>
        <w:tc>
          <w:tcPr>
            <w:tcW w:w="3060" w:type="dxa"/>
            <w:vAlign w:val="bottom"/>
            <w:shd w:val="clear" w:color="auto" w:fill="E3E5EB"/>
          </w:tcPr>
          <w:p>
            <w:pPr>
              <w:ind w:left="780"/>
              <w:spacing w:after="0"/>
              <w:rPr>
                <w:sz w:val="20"/>
                <w:szCs w:val="20"/>
                <w:color w:val="auto"/>
              </w:rPr>
            </w:pPr>
            <w:r>
              <w:rPr>
                <w:rFonts w:ascii="Arial" w:cs="Arial" w:eastAsia="Arial" w:hAnsi="Arial"/>
                <w:sz w:val="16"/>
                <w:szCs w:val="16"/>
                <w:color w:val="auto"/>
              </w:rPr>
              <w:t>SCANA Corporation</w:t>
            </w:r>
          </w:p>
        </w:tc>
        <w:tc>
          <w:tcPr>
            <w:tcW w:w="2500" w:type="dxa"/>
            <w:vAlign w:val="bottom"/>
            <w:shd w:val="clear" w:color="auto" w:fill="E3E5EB"/>
          </w:tcPr>
          <w:p>
            <w:pPr>
              <w:ind w:left="780"/>
              <w:spacing w:after="0"/>
              <w:rPr>
                <w:sz w:val="20"/>
                <w:szCs w:val="20"/>
                <w:color w:val="auto"/>
              </w:rPr>
            </w:pPr>
            <w:r>
              <w:rPr>
                <w:rFonts w:ascii="Arial" w:cs="Arial" w:eastAsia="Arial" w:hAnsi="Arial"/>
                <w:sz w:val="16"/>
                <w:szCs w:val="16"/>
                <w:color w:val="auto"/>
              </w:rPr>
              <w:t>The Southern Company</w:t>
            </w:r>
          </w:p>
        </w:tc>
      </w:tr>
      <w:tr>
        <w:trPr>
          <w:trHeight w:val="167"/>
        </w:trPr>
        <w:tc>
          <w:tcPr>
            <w:tcW w:w="2660" w:type="dxa"/>
            <w:vAlign w:val="bottom"/>
          </w:tcPr>
          <w:p>
            <w:pPr>
              <w:spacing w:after="0" w:line="167" w:lineRule="exact"/>
              <w:rPr>
                <w:sz w:val="20"/>
                <w:szCs w:val="20"/>
                <w:color w:val="auto"/>
              </w:rPr>
            </w:pPr>
            <w:r>
              <w:rPr>
                <w:rFonts w:ascii="Arial" w:cs="Arial" w:eastAsia="Arial" w:hAnsi="Arial"/>
                <w:sz w:val="16"/>
                <w:szCs w:val="16"/>
                <w:color w:val="auto"/>
              </w:rPr>
              <w:t>TECO Energy, Inc.</w:t>
            </w:r>
          </w:p>
        </w:tc>
        <w:tc>
          <w:tcPr>
            <w:tcW w:w="3200" w:type="dxa"/>
            <w:vAlign w:val="bottom"/>
          </w:tcPr>
          <w:p>
            <w:pPr>
              <w:ind w:left="800"/>
              <w:spacing w:after="0" w:line="167" w:lineRule="exact"/>
              <w:rPr>
                <w:sz w:val="20"/>
                <w:szCs w:val="20"/>
                <w:color w:val="auto"/>
              </w:rPr>
            </w:pPr>
            <w:r>
              <w:rPr>
                <w:rFonts w:ascii="Arial" w:cs="Arial" w:eastAsia="Arial" w:hAnsi="Arial"/>
                <w:sz w:val="16"/>
                <w:szCs w:val="16"/>
                <w:color w:val="auto"/>
              </w:rPr>
              <w:t>Wisconsin Energy</w:t>
            </w:r>
          </w:p>
        </w:tc>
        <w:tc>
          <w:tcPr>
            <w:tcW w:w="3060" w:type="dxa"/>
            <w:vAlign w:val="bottom"/>
          </w:tcPr>
          <w:p>
            <w:pPr>
              <w:ind w:left="780"/>
              <w:spacing w:after="0" w:line="167" w:lineRule="exact"/>
              <w:rPr>
                <w:sz w:val="20"/>
                <w:szCs w:val="20"/>
                <w:color w:val="auto"/>
              </w:rPr>
            </w:pPr>
            <w:r>
              <w:rPr>
                <w:rFonts w:ascii="Arial" w:cs="Arial" w:eastAsia="Arial" w:hAnsi="Arial"/>
                <w:sz w:val="16"/>
                <w:szCs w:val="16"/>
                <w:color w:val="auto"/>
              </w:rPr>
              <w:t>Xcel Energy, Inc.</w:t>
            </w:r>
          </w:p>
        </w:tc>
        <w:tc>
          <w:tcPr>
            <w:tcW w:w="2500" w:type="dxa"/>
            <w:vAlign w:val="bottom"/>
          </w:tcPr>
          <w:p>
            <w:pPr>
              <w:spacing w:after="0"/>
              <w:rPr>
                <w:sz w:val="14"/>
                <w:szCs w:val="14"/>
                <w:color w:val="auto"/>
              </w:rPr>
            </w:pPr>
          </w:p>
        </w:tc>
      </w:tr>
      <w:tr>
        <w:trPr>
          <w:trHeight w:val="184"/>
        </w:trPr>
        <w:tc>
          <w:tcPr>
            <w:tcW w:w="2660" w:type="dxa"/>
            <w:vAlign w:val="bottom"/>
          </w:tcPr>
          <w:p>
            <w:pPr>
              <w:spacing w:after="0"/>
              <w:rPr>
                <w:sz w:val="16"/>
                <w:szCs w:val="16"/>
                <w:color w:val="auto"/>
              </w:rPr>
            </w:pPr>
          </w:p>
        </w:tc>
        <w:tc>
          <w:tcPr>
            <w:tcW w:w="3200" w:type="dxa"/>
            <w:vAlign w:val="bottom"/>
          </w:tcPr>
          <w:p>
            <w:pPr>
              <w:ind w:left="800"/>
              <w:spacing w:after="0"/>
              <w:rPr>
                <w:sz w:val="20"/>
                <w:szCs w:val="20"/>
                <w:color w:val="auto"/>
              </w:rPr>
            </w:pPr>
            <w:r>
              <w:rPr>
                <w:rFonts w:ascii="Arial" w:cs="Arial" w:eastAsia="Arial" w:hAnsi="Arial"/>
                <w:sz w:val="16"/>
                <w:szCs w:val="16"/>
                <w:color w:val="auto"/>
              </w:rPr>
              <w:t>Corporation (now WEC</w:t>
            </w:r>
          </w:p>
        </w:tc>
        <w:tc>
          <w:tcPr>
            <w:tcW w:w="3060" w:type="dxa"/>
            <w:vAlign w:val="bottom"/>
          </w:tcPr>
          <w:p>
            <w:pPr>
              <w:spacing w:after="0"/>
              <w:rPr>
                <w:sz w:val="16"/>
                <w:szCs w:val="16"/>
                <w:color w:val="auto"/>
              </w:rPr>
            </w:pPr>
          </w:p>
        </w:tc>
        <w:tc>
          <w:tcPr>
            <w:tcW w:w="2500" w:type="dxa"/>
            <w:vAlign w:val="bottom"/>
          </w:tcPr>
          <w:p>
            <w:pPr>
              <w:spacing w:after="0"/>
              <w:rPr>
                <w:sz w:val="16"/>
                <w:szCs w:val="16"/>
                <w:color w:val="auto"/>
              </w:rPr>
            </w:pPr>
          </w:p>
        </w:tc>
      </w:tr>
      <w:tr>
        <w:trPr>
          <w:trHeight w:val="201"/>
        </w:trPr>
        <w:tc>
          <w:tcPr>
            <w:tcW w:w="2660" w:type="dxa"/>
            <w:vAlign w:val="bottom"/>
            <w:tcBorders>
              <w:bottom w:val="single" w:sz="8" w:color="395775"/>
            </w:tcBorders>
          </w:tcPr>
          <w:p>
            <w:pPr>
              <w:spacing w:after="0"/>
              <w:rPr>
                <w:sz w:val="17"/>
                <w:szCs w:val="17"/>
                <w:color w:val="auto"/>
              </w:rPr>
            </w:pPr>
          </w:p>
        </w:tc>
        <w:tc>
          <w:tcPr>
            <w:tcW w:w="3200" w:type="dxa"/>
            <w:vAlign w:val="bottom"/>
            <w:tcBorders>
              <w:bottom w:val="single" w:sz="8" w:color="395775"/>
            </w:tcBorders>
          </w:tcPr>
          <w:p>
            <w:pPr>
              <w:ind w:left="800"/>
              <w:spacing w:after="0"/>
              <w:rPr>
                <w:sz w:val="20"/>
                <w:szCs w:val="20"/>
                <w:color w:val="auto"/>
              </w:rPr>
            </w:pPr>
            <w:r>
              <w:rPr>
                <w:rFonts w:ascii="Arial" w:cs="Arial" w:eastAsia="Arial" w:hAnsi="Arial"/>
                <w:sz w:val="16"/>
                <w:szCs w:val="16"/>
                <w:color w:val="auto"/>
              </w:rPr>
              <w:t>Energy Group, Inc.)</w:t>
            </w:r>
          </w:p>
        </w:tc>
        <w:tc>
          <w:tcPr>
            <w:tcW w:w="3060" w:type="dxa"/>
            <w:vAlign w:val="bottom"/>
            <w:tcBorders>
              <w:bottom w:val="single" w:sz="8" w:color="395775"/>
            </w:tcBorders>
          </w:tcPr>
          <w:p>
            <w:pPr>
              <w:spacing w:after="0"/>
              <w:rPr>
                <w:sz w:val="17"/>
                <w:szCs w:val="17"/>
                <w:color w:val="auto"/>
              </w:rPr>
            </w:pPr>
          </w:p>
        </w:tc>
        <w:tc>
          <w:tcPr>
            <w:tcW w:w="2500" w:type="dxa"/>
            <w:vAlign w:val="bottom"/>
            <w:tcBorders>
              <w:bottom w:val="single" w:sz="8" w:color="395775"/>
            </w:tcBorders>
          </w:tcPr>
          <w:p>
            <w:pPr>
              <w:spacing w:after="0"/>
              <w:rPr>
                <w:sz w:val="17"/>
                <w:szCs w:val="17"/>
                <w:color w:val="auto"/>
              </w:rPr>
            </w:pPr>
          </w:p>
        </w:tc>
      </w:tr>
    </w:tbl>
    <w:p>
      <w:pPr>
        <w:spacing w:after="0" w:line="166" w:lineRule="exact"/>
        <w:rPr>
          <w:rFonts w:ascii="Arial" w:cs="Arial" w:eastAsia="Arial" w:hAnsi="Arial"/>
          <w:sz w:val="13"/>
          <w:szCs w:val="13"/>
          <w:b w:val="1"/>
          <w:bCs w:val="1"/>
          <w:color w:val="FFFFFE"/>
        </w:rPr>
      </w:pPr>
    </w:p>
    <w:p>
      <w:pPr>
        <w:jc w:val="both"/>
        <w:ind w:left="2" w:right="40"/>
        <w:spacing w:after="0" w:line="247" w:lineRule="auto"/>
        <w:rPr>
          <w:sz w:val="20"/>
          <w:szCs w:val="20"/>
          <w:color w:val="auto"/>
        </w:rPr>
      </w:pPr>
      <w:r>
        <w:rPr>
          <w:rFonts w:ascii="Arial" w:cs="Arial" w:eastAsia="Arial" w:hAnsi="Arial"/>
          <w:sz w:val="20"/>
          <w:szCs w:val="20"/>
          <w:color w:val="auto"/>
        </w:rPr>
        <w:t>In determining both the composition of the Peer Group and the Company's relative position to that group, the number used for APS revenues was adjusted to take revenues attributable to managed assets, in addition to owned assets, into account. This adjustment was based on the following:</w:t>
      </w:r>
    </w:p>
    <w:p>
      <w:pPr>
        <w:spacing w:after="0" w:line="136" w:lineRule="exact"/>
        <w:rPr>
          <w:rFonts w:ascii="Arial" w:cs="Arial" w:eastAsia="Arial" w:hAnsi="Arial"/>
          <w:sz w:val="13"/>
          <w:szCs w:val="13"/>
          <w:b w:val="1"/>
          <w:bCs w:val="1"/>
          <w:color w:val="FFFFFE"/>
        </w:rPr>
      </w:pPr>
    </w:p>
    <w:p>
      <w:pPr>
        <w:ind w:left="482" w:hanging="482"/>
        <w:spacing w:after="0"/>
        <w:tabs>
          <w:tab w:leader="none" w:pos="482" w:val="left"/>
        </w:tabs>
        <w:numPr>
          <w:ilvl w:val="0"/>
          <w:numId w:val="64"/>
        </w:numPr>
        <w:rPr>
          <w:rFonts w:ascii="Arial" w:cs="Arial" w:eastAsia="Arial" w:hAnsi="Arial"/>
          <w:sz w:val="20"/>
          <w:szCs w:val="20"/>
          <w:color w:val="3A5575"/>
        </w:rPr>
      </w:pPr>
      <w:r>
        <w:rPr>
          <w:rFonts w:ascii="Arial" w:cs="Arial" w:eastAsia="Arial" w:hAnsi="Arial"/>
          <w:sz w:val="20"/>
          <w:szCs w:val="20"/>
          <w:color w:val="auto"/>
        </w:rPr>
        <w:t>Palo Verde is the United States' largest nuclear generating facility, with a net generation rating of approximately</w:t>
      </w:r>
    </w:p>
    <w:p>
      <w:pPr>
        <w:spacing w:after="0" w:line="14" w:lineRule="exact"/>
        <w:rPr>
          <w:rFonts w:ascii="Arial" w:cs="Arial" w:eastAsia="Arial" w:hAnsi="Arial"/>
          <w:sz w:val="20"/>
          <w:szCs w:val="20"/>
          <w:color w:val="3A5575"/>
        </w:rPr>
      </w:pPr>
    </w:p>
    <w:p>
      <w:pPr>
        <w:ind w:left="482" w:right="240"/>
        <w:spacing w:after="0"/>
        <w:rPr>
          <w:rFonts w:ascii="Arial" w:cs="Arial" w:eastAsia="Arial" w:hAnsi="Arial"/>
          <w:sz w:val="20"/>
          <w:szCs w:val="20"/>
          <w:color w:val="3A5575"/>
        </w:rPr>
      </w:pPr>
      <w:r>
        <w:rPr>
          <w:rFonts w:ascii="Arial" w:cs="Arial" w:eastAsia="Arial" w:hAnsi="Arial"/>
          <w:sz w:val="20"/>
          <w:szCs w:val="20"/>
          <w:color w:val="auto"/>
        </w:rPr>
        <w:t>4,000 megawatts. Palo Verde has seven utility owners. APS owns or leases the largest share of the station (29.1%). APS is responsible for the operation of 100% of the facility.</w:t>
      </w:r>
    </w:p>
    <w:p>
      <w:pPr>
        <w:spacing w:after="0" w:line="178" w:lineRule="exact"/>
        <w:rPr>
          <w:rFonts w:ascii="Arial" w:cs="Arial" w:eastAsia="Arial" w:hAnsi="Arial"/>
          <w:sz w:val="20"/>
          <w:szCs w:val="20"/>
          <w:color w:val="3A5575"/>
        </w:rPr>
      </w:pPr>
    </w:p>
    <w:p>
      <w:pPr>
        <w:ind w:left="482" w:hanging="482"/>
        <w:spacing w:after="0"/>
        <w:tabs>
          <w:tab w:leader="none" w:pos="482" w:val="left"/>
        </w:tabs>
        <w:numPr>
          <w:ilvl w:val="0"/>
          <w:numId w:val="64"/>
        </w:numPr>
        <w:rPr>
          <w:rFonts w:ascii="Arial" w:cs="Arial" w:eastAsia="Arial" w:hAnsi="Arial"/>
          <w:sz w:val="20"/>
          <w:szCs w:val="20"/>
          <w:color w:val="3A5575"/>
        </w:rPr>
      </w:pPr>
      <w:r>
        <w:rPr>
          <w:rFonts w:ascii="Arial" w:cs="Arial" w:eastAsia="Arial" w:hAnsi="Arial"/>
          <w:sz w:val="20"/>
          <w:szCs w:val="20"/>
          <w:color w:val="auto"/>
        </w:rPr>
        <w:t>Four Corners is a 2-unit coal-fired plant located in New Mexico, with a net generation rating of approximately</w:t>
      </w:r>
    </w:p>
    <w:p>
      <w:pPr>
        <w:spacing w:after="0" w:line="14" w:lineRule="exact"/>
        <w:rPr>
          <w:rFonts w:ascii="Arial" w:cs="Arial" w:eastAsia="Arial" w:hAnsi="Arial"/>
          <w:sz w:val="20"/>
          <w:szCs w:val="20"/>
          <w:color w:val="3A5575"/>
        </w:rPr>
      </w:pPr>
    </w:p>
    <w:p>
      <w:pPr>
        <w:ind w:left="482"/>
        <w:spacing w:after="0"/>
        <w:rPr>
          <w:rFonts w:ascii="Arial" w:cs="Arial" w:eastAsia="Arial" w:hAnsi="Arial"/>
          <w:sz w:val="20"/>
          <w:szCs w:val="20"/>
          <w:color w:val="3A5575"/>
        </w:rPr>
      </w:pPr>
      <w:r>
        <w:rPr>
          <w:rFonts w:ascii="Arial" w:cs="Arial" w:eastAsia="Arial" w:hAnsi="Arial"/>
          <w:sz w:val="19"/>
          <w:szCs w:val="19"/>
          <w:color w:val="auto"/>
        </w:rPr>
        <w:t>1,540 megawatts, of which APS owns 63%. Similar to Palo Verde, APS is responsible for the operation of 100% of the facility.</w:t>
      </w:r>
    </w:p>
    <w:p>
      <w:pPr>
        <w:spacing w:after="0" w:line="186" w:lineRule="exact"/>
        <w:rPr>
          <w:rFonts w:ascii="Arial" w:cs="Arial" w:eastAsia="Arial" w:hAnsi="Arial"/>
          <w:sz w:val="20"/>
          <w:szCs w:val="20"/>
          <w:color w:val="3A5575"/>
        </w:rPr>
      </w:pPr>
    </w:p>
    <w:p>
      <w:pPr>
        <w:ind w:left="482" w:right="140" w:hanging="482"/>
        <w:spacing w:after="0" w:line="259" w:lineRule="auto"/>
        <w:tabs>
          <w:tab w:leader="none" w:pos="482" w:val="left"/>
        </w:tabs>
        <w:numPr>
          <w:ilvl w:val="0"/>
          <w:numId w:val="64"/>
        </w:numPr>
        <w:rPr>
          <w:rFonts w:ascii="Arial" w:cs="Arial" w:eastAsia="Arial" w:hAnsi="Arial"/>
          <w:sz w:val="19"/>
          <w:szCs w:val="19"/>
          <w:color w:val="3A5575"/>
        </w:rPr>
      </w:pPr>
      <w:r>
        <w:rPr>
          <w:rFonts w:ascii="Arial" w:cs="Arial" w:eastAsia="Arial" w:hAnsi="Arial"/>
          <w:sz w:val="19"/>
          <w:szCs w:val="19"/>
          <w:color w:val="auto"/>
        </w:rPr>
        <w:t>While APS contracts with the other owners of these power stations for reimbursement of costs attributable to their ownership shares, as the sole operator APS is subject to additional business and legal risks and operational requirements. Some of these risks and requirements include plant-wide procurement activities, legal and regulatory compliance, safety and security assurance and programs, and hiring and supervising the large workforces necessary to operate these facilities.</w:t>
      </w:r>
    </w:p>
    <w:p>
      <w:pPr>
        <w:spacing w:after="0" w:line="136" w:lineRule="exact"/>
        <w:rPr>
          <w:rFonts w:ascii="Arial" w:cs="Arial" w:eastAsia="Arial" w:hAnsi="Arial"/>
          <w:sz w:val="13"/>
          <w:szCs w:val="13"/>
          <w:b w:val="1"/>
          <w:bCs w:val="1"/>
          <w:color w:val="FFFFFE"/>
        </w:rPr>
      </w:pPr>
    </w:p>
    <w:p>
      <w:pPr>
        <w:ind w:left="2" w:right="60"/>
        <w:spacing w:after="0" w:line="239" w:lineRule="auto"/>
        <w:rPr>
          <w:sz w:val="20"/>
          <w:szCs w:val="20"/>
          <w:color w:val="auto"/>
        </w:rPr>
      </w:pPr>
      <w:r>
        <w:rPr>
          <w:rFonts w:ascii="Arial" w:cs="Arial" w:eastAsia="Arial" w:hAnsi="Arial"/>
          <w:sz w:val="20"/>
          <w:szCs w:val="20"/>
          <w:color w:val="auto"/>
        </w:rPr>
        <w:t>To reflect this expanded scope of responsibility and risk, APS used a number of $5.5 billion compared to its reported twelve months ending June 30, 2014 revenues of $3.4 billion for determining the Peer Group and its position in the Peer Group. The adjustment placed APS near the median of the Peer Group for revenues. The Committee believes that the senior executives of the Company face challenges in the operation of Palo Verde that require skill sets similar to those of executives at larger Peer Group companies with significant nuclear operations.</w:t>
      </w:r>
    </w:p>
    <w:p>
      <w:pPr>
        <w:spacing w:after="0" w:line="155" w:lineRule="exact"/>
        <w:rPr>
          <w:rFonts w:ascii="Arial" w:cs="Arial" w:eastAsia="Arial" w:hAnsi="Arial"/>
          <w:sz w:val="13"/>
          <w:szCs w:val="13"/>
          <w:b w:val="1"/>
          <w:bCs w:val="1"/>
          <w:color w:val="FFFFFE"/>
        </w:rPr>
      </w:pPr>
    </w:p>
    <w:p>
      <w:pPr>
        <w:ind w:left="2" w:right="160"/>
        <w:spacing w:after="0" w:line="265" w:lineRule="auto"/>
        <w:rPr>
          <w:sz w:val="20"/>
          <w:szCs w:val="20"/>
          <w:color w:val="auto"/>
        </w:rPr>
      </w:pPr>
      <w:r>
        <w:rPr>
          <w:rFonts w:ascii="Arial" w:cs="Arial" w:eastAsia="Arial" w:hAnsi="Arial"/>
          <w:sz w:val="20"/>
          <w:szCs w:val="20"/>
          <w:b w:val="1"/>
          <w:bCs w:val="1"/>
          <w:i w:val="1"/>
          <w:iCs w:val="1"/>
          <w:color w:val="auto"/>
        </w:rPr>
        <w:t xml:space="preserve">Consultant's Report. </w:t>
      </w:r>
      <w:r>
        <w:rPr>
          <w:rFonts w:ascii="Arial" w:cs="Arial" w:eastAsia="Arial" w:hAnsi="Arial"/>
          <w:sz w:val="20"/>
          <w:szCs w:val="20"/>
          <w:color w:val="auto"/>
        </w:rPr>
        <w:t>The Consultant reviewed our executive compensation practices and considered the extent to which these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practices support our executive compensation objectives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319405</wp:posOffset>
            </wp:positionH>
            <wp:positionV relativeFrom="paragraph">
              <wp:posOffset>156210</wp:posOffset>
            </wp:positionV>
            <wp:extent cx="841375" cy="16383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rFonts w:ascii="Arial" w:cs="Arial" w:eastAsia="Arial" w:hAnsi="Arial"/>
          <w:sz w:val="13"/>
          <w:szCs w:val="13"/>
          <w:b w:val="1"/>
          <w:bCs w:val="1"/>
          <w:color w:val="FFFFFE"/>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40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49" w:name="page50"/>
    <w:bookmarkEnd w:id="49"/>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
        <w:spacing w:after="0" w:line="265" w:lineRule="auto"/>
        <w:rPr>
          <w:sz w:val="20"/>
          <w:szCs w:val="20"/>
          <w:color w:val="auto"/>
        </w:rPr>
      </w:pPr>
      <w:r>
        <w:rPr>
          <w:rFonts w:ascii="Arial" w:cs="Arial" w:eastAsia="Arial" w:hAnsi="Arial"/>
          <w:sz w:val="20"/>
          <w:szCs w:val="20"/>
          <w:color w:val="auto"/>
        </w:rPr>
        <w:t>and philosophy. As part of this study, the Consultant performed competitive pay comparisons for our executive officers based 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2" w:lineRule="exact"/>
        <w:rPr>
          <w:sz w:val="20"/>
          <w:szCs w:val="20"/>
          <w:color w:val="auto"/>
        </w:rPr>
      </w:pPr>
    </w:p>
    <w:p>
      <w:pPr>
        <w:jc w:val="center"/>
        <w:ind w:right="460"/>
        <w:spacing w:after="0"/>
        <w:rPr>
          <w:sz w:val="20"/>
          <w:szCs w:val="20"/>
          <w:color w:val="auto"/>
        </w:rPr>
      </w:pPr>
      <w:r>
        <w:rPr>
          <w:rFonts w:ascii="Arial" w:cs="Arial" w:eastAsia="Arial" w:hAnsi="Arial"/>
          <w:sz w:val="13"/>
          <w:szCs w:val="13"/>
          <w:b w:val="1"/>
          <w:bCs w:val="1"/>
          <w:color w:val="FFFFFE"/>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-116840</wp:posOffset>
            </wp:positionV>
            <wp:extent cx="1487805" cy="15557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411" w:lineRule="exact"/>
        <w:rPr>
          <w:sz w:val="20"/>
          <w:szCs w:val="20"/>
          <w:color w:val="auto"/>
        </w:rPr>
      </w:pPr>
    </w:p>
    <w:p>
      <w:pPr>
        <w:sectPr>
          <w:pgSz w:w="11900" w:h="16838" w:orient="portrait"/>
          <w:cols w:equalWidth="0" w:num="2">
            <w:col w:w="8662" w:space="480"/>
            <w:col w:w="2300"/>
          </w:cols>
          <w:pgMar w:left="238" w:top="110" w:right="219" w:bottom="1440" w:gutter="0" w:footer="0" w:header="0"/>
        </w:sectPr>
      </w:pPr>
    </w:p>
    <w:p>
      <w:pPr>
        <w:ind w:left="482" w:hanging="482"/>
        <w:spacing w:after="0"/>
        <w:tabs>
          <w:tab w:leader="none" w:pos="482" w:val="left"/>
        </w:tabs>
        <w:numPr>
          <w:ilvl w:val="0"/>
          <w:numId w:val="65"/>
        </w:numPr>
        <w:rPr>
          <w:rFonts w:ascii="Arial" w:cs="Arial" w:eastAsia="Arial" w:hAnsi="Arial"/>
          <w:sz w:val="20"/>
          <w:szCs w:val="20"/>
          <w:color w:val="3A5575"/>
        </w:rPr>
      </w:pPr>
      <w:r>
        <w:rPr>
          <w:rFonts w:ascii="Arial" w:cs="Arial" w:eastAsia="Arial" w:hAnsi="Arial"/>
          <w:sz w:val="20"/>
          <w:szCs w:val="20"/>
          <w:color w:val="auto"/>
        </w:rPr>
        <w:t>2013 compensation information as disclosed in 2014 SEC filings for the Peer Group;</w:t>
      </w:r>
    </w:p>
    <w:p>
      <w:pPr>
        <w:spacing w:after="0" w:line="211" w:lineRule="exact"/>
        <w:rPr>
          <w:rFonts w:ascii="Arial" w:cs="Arial" w:eastAsia="Arial" w:hAnsi="Arial"/>
          <w:sz w:val="20"/>
          <w:szCs w:val="20"/>
          <w:color w:val="3A5575"/>
        </w:rPr>
      </w:pPr>
    </w:p>
    <w:p>
      <w:pPr>
        <w:ind w:left="482" w:right="160" w:hanging="482"/>
        <w:spacing w:after="0" w:line="247" w:lineRule="auto"/>
        <w:tabs>
          <w:tab w:leader="none" w:pos="482" w:val="left"/>
        </w:tabs>
        <w:numPr>
          <w:ilvl w:val="0"/>
          <w:numId w:val="65"/>
        </w:numPr>
        <w:rPr>
          <w:rFonts w:ascii="Arial" w:cs="Arial" w:eastAsia="Arial" w:hAnsi="Arial"/>
          <w:sz w:val="20"/>
          <w:szCs w:val="20"/>
          <w:color w:val="3A5575"/>
        </w:rPr>
      </w:pPr>
      <w:r>
        <w:rPr>
          <w:rFonts w:ascii="Arial" w:cs="Arial" w:eastAsia="Arial" w:hAnsi="Arial"/>
          <w:sz w:val="20"/>
          <w:szCs w:val="20"/>
          <w:color w:val="auto"/>
        </w:rPr>
        <w:t>General industry data based on surveys published by Aon Hewitt (averaging data for companies in the $2.5 — $5 billion revenue bracket and the $5 — $10 billion revenue bracket) and Towers Watson &amp; Co. ("Towers Watson") (averaging data for companies in the $3 — $6 billion revenue bracket and the $6 — $10 billion revenue bracket); and</w:t>
      </w:r>
    </w:p>
    <w:p>
      <w:pPr>
        <w:spacing w:after="0" w:line="160" w:lineRule="exact"/>
        <w:rPr>
          <w:rFonts w:ascii="Arial" w:cs="Arial" w:eastAsia="Arial" w:hAnsi="Arial"/>
          <w:sz w:val="20"/>
          <w:szCs w:val="20"/>
          <w:color w:val="3A5575"/>
        </w:rPr>
      </w:pPr>
    </w:p>
    <w:p>
      <w:pPr>
        <w:ind w:left="482" w:right="600" w:hanging="482"/>
        <w:spacing w:after="0" w:line="265" w:lineRule="auto"/>
        <w:tabs>
          <w:tab w:leader="none" w:pos="482" w:val="left"/>
        </w:tabs>
        <w:numPr>
          <w:ilvl w:val="0"/>
          <w:numId w:val="65"/>
        </w:numPr>
        <w:rPr>
          <w:rFonts w:ascii="Arial" w:cs="Arial" w:eastAsia="Arial" w:hAnsi="Arial"/>
          <w:sz w:val="20"/>
          <w:szCs w:val="20"/>
          <w:color w:val="3A5575"/>
        </w:rPr>
      </w:pPr>
      <w:r>
        <w:rPr>
          <w:rFonts w:ascii="Arial" w:cs="Arial" w:eastAsia="Arial" w:hAnsi="Arial"/>
          <w:sz w:val="20"/>
          <w:szCs w:val="20"/>
          <w:color w:val="auto"/>
        </w:rPr>
        <w:t>Industry-specific survey data from the Towers Watson Energy Services Industry Survey (reflecting the average between companies in the $3 — $6 billion revenue bracket and companies with revenues greater than $6 billion).</w:t>
      </w:r>
    </w:p>
    <w:p>
      <w:pPr>
        <w:spacing w:after="0" w:line="130" w:lineRule="exact"/>
        <w:rPr>
          <w:sz w:val="20"/>
          <w:szCs w:val="20"/>
          <w:color w:val="auto"/>
        </w:rPr>
      </w:pPr>
    </w:p>
    <w:p>
      <w:pPr>
        <w:ind w:left="2" w:right="320"/>
        <w:spacing w:after="0" w:line="237" w:lineRule="auto"/>
        <w:rPr>
          <w:sz w:val="20"/>
          <w:szCs w:val="20"/>
          <w:color w:val="auto"/>
        </w:rPr>
      </w:pPr>
      <w:r>
        <w:rPr>
          <w:rFonts w:ascii="Arial" w:cs="Arial" w:eastAsia="Arial" w:hAnsi="Arial"/>
          <w:sz w:val="20"/>
          <w:szCs w:val="20"/>
          <w:color w:val="auto"/>
        </w:rPr>
        <w:t>From these sources, the Consultant developed a consensus in which the competitive industry comparison for Messrs. Brandt, Hatfield, Falck, and Schiavoni reflects one-third proxy statement data, one-third Energy Services Industry Survey, and one-third general industry surveys. Mr. Edington did not have a general industry survey match, so his competitive industry comparison reflects one-half proxy statement data and one-half Energy Services Industry Survey. Compensation levels were updated to July 2015 using a 3% annual growth factor that the Consultant indicated reflected projected executive-level market movement from major salary-planning surveys selected by the Consultant.</w:t>
      </w:r>
    </w:p>
    <w:p>
      <w:pPr>
        <w:spacing w:after="0" w:line="158" w:lineRule="exact"/>
        <w:rPr>
          <w:sz w:val="20"/>
          <w:szCs w:val="20"/>
          <w:color w:val="auto"/>
        </w:rPr>
      </w:pPr>
    </w:p>
    <w:p>
      <w:pPr>
        <w:ind w:left="2" w:right="560"/>
        <w:spacing w:after="0" w:line="259" w:lineRule="auto"/>
        <w:rPr>
          <w:sz w:val="20"/>
          <w:szCs w:val="20"/>
          <w:color w:val="auto"/>
        </w:rPr>
      </w:pPr>
      <w:r>
        <w:rPr>
          <w:rFonts w:ascii="Arial" w:cs="Arial" w:eastAsia="Arial" w:hAnsi="Arial"/>
          <w:sz w:val="19"/>
          <w:szCs w:val="19"/>
          <w:color w:val="auto"/>
        </w:rPr>
        <w:t>In providing information to the Committee with respect to setting 2015 compensation, the Consultant reviewed the total compensation of the Named Executive Officers and presented its analysis in October 2014. The Consultant also reviewed the individual elements of compensation, including the type of annual incentives and long-term incentives, and evaluated the competitiveness of the individual elements of compensation of each such officer based on the survey data discussed above.</w:t>
      </w:r>
    </w:p>
    <w:p>
      <w:pPr>
        <w:spacing w:after="0" w:line="69"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50" w:name="page51"/>
    <w:bookmarkEnd w:id="50"/>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342" w:right="120" w:hanging="1884"/>
        <w:spacing w:after="0" w:line="212" w:lineRule="auto"/>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color w:val="000000"/>
        </w:rPr>
        <w:t>In its analysis, the Consultant looked at competitive findings for base salary, annual incentive, and long-term equity incentives to the Named Executive Officers as compared to the 25</w:t>
      </w:r>
      <w:r>
        <w:rPr>
          <w:rFonts w:ascii="Arial" w:cs="Arial" w:eastAsia="Arial" w:hAnsi="Arial"/>
          <w:sz w:val="32"/>
          <w:szCs w:val="32"/>
          <w:color w:val="000000"/>
          <w:vertAlign w:val="superscript"/>
        </w:rPr>
        <w:t>th</w:t>
      </w:r>
      <w:r>
        <w:rPr>
          <w:rFonts w:ascii="Arial" w:cs="Arial" w:eastAsia="Arial" w:hAnsi="Arial"/>
          <w:sz w:val="19"/>
          <w:szCs w:val="19"/>
          <w:color w:val="000000"/>
        </w:rPr>
        <w:t>, 50</w:t>
      </w:r>
      <w:r>
        <w:rPr>
          <w:rFonts w:ascii="Arial" w:cs="Arial" w:eastAsia="Arial" w:hAnsi="Arial"/>
          <w:sz w:val="32"/>
          <w:szCs w:val="32"/>
          <w:color w:val="000000"/>
          <w:vertAlign w:val="superscript"/>
        </w:rPr>
        <w:t>th</w:t>
      </w:r>
      <w:r>
        <w:rPr>
          <w:rFonts w:ascii="Arial" w:cs="Arial" w:eastAsia="Arial" w:hAnsi="Arial"/>
          <w:sz w:val="19"/>
          <w:szCs w:val="19"/>
          <w:color w:val="000000"/>
        </w:rPr>
        <w:t xml:space="preserve"> and 75</w:t>
      </w:r>
      <w:r>
        <w:rPr>
          <w:rFonts w:ascii="Arial" w:cs="Arial" w:eastAsia="Arial" w:hAnsi="Arial"/>
          <w:sz w:val="32"/>
          <w:szCs w:val="32"/>
          <w:color w:val="000000"/>
          <w:vertAlign w:val="superscript"/>
        </w:rPr>
        <w:t>th</w:t>
      </w:r>
      <w:r>
        <w:rPr>
          <w:rFonts w:ascii="Arial" w:cs="Arial" w:eastAsia="Arial" w:hAnsi="Arial"/>
          <w:sz w:val="19"/>
          <w:szCs w:val="19"/>
          <w:color w:val="000000"/>
        </w:rPr>
        <w:t xml:space="preserve"> percentile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-309245</wp:posOffset>
            </wp:positionV>
            <wp:extent cx="1487805" cy="15557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2" w:right="200"/>
        <w:spacing w:after="0" w:line="202" w:lineRule="auto"/>
        <w:rPr>
          <w:sz w:val="20"/>
          <w:szCs w:val="20"/>
          <w:color w:val="auto"/>
        </w:rPr>
      </w:pPr>
      <w:r>
        <w:rPr>
          <w:rFonts w:ascii="Arial" w:cs="Arial" w:eastAsia="Arial" w:hAnsi="Arial"/>
          <w:sz w:val="20"/>
          <w:szCs w:val="20"/>
          <w:color w:val="auto"/>
        </w:rPr>
        <w:t>(compensation data was treated at the 25</w:t>
      </w:r>
      <w:r>
        <w:rPr>
          <w:rFonts w:ascii="Arial" w:cs="Arial" w:eastAsia="Arial" w:hAnsi="Arial"/>
          <w:sz w:val="32"/>
          <w:szCs w:val="32"/>
          <w:color w:val="auto"/>
          <w:vertAlign w:val="superscript"/>
        </w:rPr>
        <w:t>th</w:t>
      </w:r>
      <w:r>
        <w:rPr>
          <w:rFonts w:ascii="Arial" w:cs="Arial" w:eastAsia="Arial" w:hAnsi="Arial"/>
          <w:sz w:val="20"/>
          <w:szCs w:val="20"/>
          <w:color w:val="auto"/>
        </w:rPr>
        <w:t>, 50</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or the 75</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percentile if it was within +/– 10%). The conclusions of the report as to competitive pay comparisons of the Named Executive Officers for these three compensation elements are as follows:</w:t>
      </w:r>
    </w:p>
    <w:p>
      <w:pPr>
        <w:spacing w:after="0" w:line="200" w:lineRule="exact"/>
        <w:rPr>
          <w:sz w:val="20"/>
          <w:szCs w:val="20"/>
          <w:color w:val="auto"/>
        </w:rPr>
      </w:pPr>
    </w:p>
    <w:p>
      <w:pPr>
        <w:spacing w:after="0" w:line="285" w:lineRule="exact"/>
        <w:rPr>
          <w:sz w:val="20"/>
          <w:szCs w:val="20"/>
          <w:color w:val="auto"/>
        </w:rPr>
      </w:pPr>
    </w:p>
    <w:tbl>
      <w:tblPr>
        <w:tblLayout w:type="fixed"/>
        <w:tblInd w:w="102" w:type="dxa"/>
        <w:tblCellMar>
          <w:top w:w="0" w:type="dxa"/>
          <w:left w:w="0" w:type="dxa"/>
          <w:bottom w:w="0" w:type="dxa"/>
          <w:right w:w="0" w:type="dxa"/>
        </w:tblCellMar>
      </w:tblPr>
      <w:tr>
        <w:trPr>
          <w:trHeight w:val="230"/>
        </w:trPr>
        <w:tc>
          <w:tcPr>
            <w:tcW w:w="2680" w:type="dxa"/>
            <w:vAlign w:val="bottom"/>
          </w:tcPr>
          <w:p>
            <w:pPr>
              <w:spacing w:after="0"/>
              <w:rPr>
                <w:sz w:val="19"/>
                <w:szCs w:val="19"/>
                <w:color w:val="auto"/>
              </w:rPr>
            </w:pPr>
          </w:p>
        </w:tc>
        <w:tc>
          <w:tcPr>
            <w:tcW w:w="2800" w:type="dxa"/>
            <w:vAlign w:val="bottom"/>
          </w:tcPr>
          <w:p>
            <w:pPr>
              <w:spacing w:after="0"/>
              <w:rPr>
                <w:sz w:val="19"/>
                <w:szCs w:val="19"/>
                <w:color w:val="auto"/>
              </w:rPr>
            </w:pPr>
          </w:p>
        </w:tc>
        <w:tc>
          <w:tcPr>
            <w:tcW w:w="2920" w:type="dxa"/>
            <w:vAlign w:val="bottom"/>
          </w:tcPr>
          <w:p>
            <w:pPr>
              <w:jc w:val="center"/>
              <w:ind w:left="127"/>
              <w:spacing w:after="0"/>
              <w:rPr>
                <w:sz w:val="20"/>
                <w:szCs w:val="20"/>
                <w:color w:val="auto"/>
              </w:rPr>
            </w:pPr>
            <w:r>
              <w:rPr>
                <w:rFonts w:ascii="Arial" w:cs="Arial" w:eastAsia="Arial" w:hAnsi="Arial"/>
                <w:sz w:val="20"/>
                <w:szCs w:val="20"/>
                <w:b w:val="1"/>
                <w:bCs w:val="1"/>
                <w:color w:val="3A5575"/>
                <w:w w:val="98"/>
              </w:rPr>
              <w:t>2013 ACTUAL</w:t>
            </w:r>
          </w:p>
        </w:tc>
        <w:tc>
          <w:tcPr>
            <w:tcW w:w="3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2680" w:type="dxa"/>
            <w:vAlign w:val="bottom"/>
          </w:tcPr>
          <w:p>
            <w:pPr>
              <w:spacing w:after="0"/>
              <w:rPr>
                <w:sz w:val="19"/>
                <w:szCs w:val="19"/>
                <w:color w:val="auto"/>
              </w:rPr>
            </w:pPr>
          </w:p>
        </w:tc>
        <w:tc>
          <w:tcPr>
            <w:tcW w:w="2800" w:type="dxa"/>
            <w:vAlign w:val="bottom"/>
          </w:tcPr>
          <w:p>
            <w:pPr>
              <w:spacing w:after="0"/>
              <w:rPr>
                <w:sz w:val="19"/>
                <w:szCs w:val="19"/>
                <w:color w:val="auto"/>
              </w:rPr>
            </w:pPr>
          </w:p>
        </w:tc>
        <w:tc>
          <w:tcPr>
            <w:tcW w:w="2920" w:type="dxa"/>
            <w:vAlign w:val="bottom"/>
          </w:tcPr>
          <w:p>
            <w:pPr>
              <w:jc w:val="center"/>
              <w:ind w:left="147"/>
              <w:spacing w:after="0" w:line="221" w:lineRule="exact"/>
              <w:rPr>
                <w:sz w:val="20"/>
                <w:szCs w:val="20"/>
                <w:color w:val="auto"/>
              </w:rPr>
            </w:pPr>
            <w:r>
              <w:rPr>
                <w:rFonts w:ascii="Arial" w:cs="Arial" w:eastAsia="Arial" w:hAnsi="Arial"/>
                <w:sz w:val="20"/>
                <w:szCs w:val="20"/>
                <w:b w:val="1"/>
                <w:bCs w:val="1"/>
                <w:color w:val="3A5575"/>
                <w:w w:val="97"/>
              </w:rPr>
              <w:t>ANNUAL INCENTIVE</w:t>
            </w:r>
          </w:p>
        </w:tc>
        <w:tc>
          <w:tcPr>
            <w:tcW w:w="3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268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7"/>
              </w:rPr>
              <w:t>OFFICER</w:t>
            </w:r>
          </w:p>
        </w:tc>
        <w:tc>
          <w:tcPr>
            <w:tcW w:w="2800" w:type="dxa"/>
            <w:vAlign w:val="bottom"/>
            <w:vMerge w:val="restart"/>
          </w:tcPr>
          <w:p>
            <w:pPr>
              <w:jc w:val="center"/>
              <w:ind w:left="68"/>
              <w:spacing w:after="0"/>
              <w:rPr>
                <w:sz w:val="20"/>
                <w:szCs w:val="20"/>
                <w:color w:val="auto"/>
              </w:rPr>
            </w:pPr>
            <w:r>
              <w:rPr>
                <w:rFonts w:ascii="Arial" w:cs="Arial" w:eastAsia="Arial" w:hAnsi="Arial"/>
                <w:sz w:val="20"/>
                <w:szCs w:val="20"/>
                <w:b w:val="1"/>
                <w:bCs w:val="1"/>
                <w:color w:val="3A5575"/>
                <w:w w:val="97"/>
              </w:rPr>
              <w:t>BASE SALARY</w:t>
            </w:r>
          </w:p>
        </w:tc>
        <w:tc>
          <w:tcPr>
            <w:tcW w:w="2920" w:type="dxa"/>
            <w:vAlign w:val="bottom"/>
          </w:tcPr>
          <w:p>
            <w:pPr>
              <w:jc w:val="center"/>
              <w:ind w:left="147"/>
              <w:spacing w:after="0" w:line="221" w:lineRule="exact"/>
              <w:rPr>
                <w:sz w:val="20"/>
                <w:szCs w:val="20"/>
                <w:color w:val="auto"/>
              </w:rPr>
            </w:pPr>
            <w:r>
              <w:rPr>
                <w:rFonts w:ascii="Arial" w:cs="Arial" w:eastAsia="Arial" w:hAnsi="Arial"/>
                <w:sz w:val="20"/>
                <w:szCs w:val="20"/>
                <w:b w:val="1"/>
                <w:bCs w:val="1"/>
                <w:color w:val="3A5575"/>
                <w:w w:val="97"/>
              </w:rPr>
              <w:t>AS A PERCENTAGE</w:t>
            </w:r>
          </w:p>
        </w:tc>
        <w:tc>
          <w:tcPr>
            <w:tcW w:w="3020" w:type="dxa"/>
            <w:vAlign w:val="bottom"/>
            <w:vMerge w:val="restart"/>
          </w:tcPr>
          <w:p>
            <w:pPr>
              <w:jc w:val="center"/>
              <w:ind w:left="128"/>
              <w:spacing w:after="0"/>
              <w:rPr>
                <w:sz w:val="20"/>
                <w:szCs w:val="20"/>
                <w:color w:val="auto"/>
              </w:rPr>
            </w:pPr>
            <w:r>
              <w:rPr>
                <w:rFonts w:ascii="Arial" w:cs="Arial" w:eastAsia="Arial" w:hAnsi="Arial"/>
                <w:sz w:val="20"/>
                <w:szCs w:val="20"/>
                <w:b w:val="1"/>
                <w:bCs w:val="1"/>
                <w:color w:val="3A5575"/>
                <w:w w:val="95"/>
              </w:rPr>
              <w:t>LONG-TERM INCENTIVE</w:t>
            </w:r>
            <w:r>
              <w:rPr>
                <w:rFonts w:ascii="Arial" w:cs="Arial" w:eastAsia="Arial" w:hAnsi="Arial"/>
                <w:sz w:val="32"/>
                <w:szCs w:val="32"/>
                <w:b w:val="1"/>
                <w:bCs w:val="1"/>
                <w:color w:val="3A5575"/>
                <w:w w:val="95"/>
                <w:vertAlign w:val="superscript"/>
              </w:rPr>
              <w:t>(1)</w:t>
            </w:r>
          </w:p>
        </w:tc>
        <w:tc>
          <w:tcPr>
            <w:tcW w:w="0" w:type="dxa"/>
            <w:vAlign w:val="bottom"/>
          </w:tcPr>
          <w:p>
            <w:pPr>
              <w:spacing w:after="0"/>
              <w:rPr>
                <w:sz w:val="1"/>
                <w:szCs w:val="1"/>
                <w:color w:val="auto"/>
              </w:rPr>
            </w:pPr>
          </w:p>
        </w:tc>
      </w:tr>
      <w:tr>
        <w:trPr>
          <w:trHeight w:val="255"/>
        </w:trPr>
        <w:tc>
          <w:tcPr>
            <w:tcW w:w="2680" w:type="dxa"/>
            <w:vAlign w:val="bottom"/>
            <w:tcBorders>
              <w:bottom w:val="single" w:sz="8" w:color="646466"/>
            </w:tcBorders>
            <w:vMerge w:val="continue"/>
          </w:tcPr>
          <w:p>
            <w:pPr>
              <w:spacing w:after="0"/>
              <w:rPr>
                <w:sz w:val="22"/>
                <w:szCs w:val="22"/>
                <w:color w:val="auto"/>
              </w:rPr>
            </w:pPr>
          </w:p>
        </w:tc>
        <w:tc>
          <w:tcPr>
            <w:tcW w:w="2800" w:type="dxa"/>
            <w:vAlign w:val="bottom"/>
            <w:tcBorders>
              <w:bottom w:val="single" w:sz="8" w:color="646466"/>
            </w:tcBorders>
            <w:vMerge w:val="continue"/>
          </w:tcPr>
          <w:p>
            <w:pPr>
              <w:spacing w:after="0"/>
              <w:rPr>
                <w:sz w:val="22"/>
                <w:szCs w:val="22"/>
                <w:color w:val="auto"/>
              </w:rPr>
            </w:pPr>
          </w:p>
        </w:tc>
        <w:tc>
          <w:tcPr>
            <w:tcW w:w="2920" w:type="dxa"/>
            <w:vAlign w:val="bottom"/>
            <w:tcBorders>
              <w:bottom w:val="single" w:sz="8" w:color="646466"/>
            </w:tcBorders>
          </w:tcPr>
          <w:p>
            <w:pPr>
              <w:jc w:val="center"/>
              <w:ind w:left="147"/>
              <w:spacing w:after="0"/>
              <w:rPr>
                <w:sz w:val="20"/>
                <w:szCs w:val="20"/>
                <w:color w:val="auto"/>
              </w:rPr>
            </w:pPr>
            <w:r>
              <w:rPr>
                <w:rFonts w:ascii="Arial" w:cs="Arial" w:eastAsia="Arial" w:hAnsi="Arial"/>
                <w:sz w:val="20"/>
                <w:szCs w:val="20"/>
                <w:b w:val="1"/>
                <w:bCs w:val="1"/>
                <w:color w:val="3A5575"/>
                <w:w w:val="97"/>
              </w:rPr>
              <w:t>OF BASE SALARY</w:t>
            </w:r>
          </w:p>
        </w:tc>
        <w:tc>
          <w:tcPr>
            <w:tcW w:w="3020" w:type="dxa"/>
            <w:vAlign w:val="bottom"/>
            <w:tcBorders>
              <w:bottom w:val="single" w:sz="8" w:color="646466"/>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32"/>
        </w:trPr>
        <w:tc>
          <w:tcPr>
            <w:tcW w:w="2680" w:type="dxa"/>
            <w:vAlign w:val="bottom"/>
            <w:shd w:val="clear" w:color="auto" w:fill="E3E5EB"/>
          </w:tcPr>
          <w:p>
            <w:pPr>
              <w:jc w:val="center"/>
              <w:spacing w:after="0"/>
              <w:rPr>
                <w:sz w:val="20"/>
                <w:szCs w:val="20"/>
                <w:color w:val="auto"/>
              </w:rPr>
            </w:pPr>
            <w:r>
              <w:rPr>
                <w:rFonts w:ascii="Arial" w:cs="Arial" w:eastAsia="Arial" w:hAnsi="Arial"/>
                <w:sz w:val="20"/>
                <w:szCs w:val="20"/>
                <w:color w:val="auto"/>
                <w:w w:val="96"/>
              </w:rPr>
              <w:t>Mr. Brandt</w:t>
            </w:r>
          </w:p>
        </w:tc>
        <w:tc>
          <w:tcPr>
            <w:tcW w:w="2800" w:type="dxa"/>
            <w:vAlign w:val="bottom"/>
            <w:shd w:val="clear" w:color="auto" w:fill="E3E5EB"/>
          </w:tcPr>
          <w:p>
            <w:pPr>
              <w:jc w:val="center"/>
              <w:ind w:left="48"/>
              <w:spacing w:after="0" w:line="232" w:lineRule="exact"/>
              <w:rPr>
                <w:sz w:val="20"/>
                <w:szCs w:val="20"/>
                <w:color w:val="auto"/>
              </w:rPr>
            </w:pPr>
            <w:r>
              <w:rPr>
                <w:rFonts w:ascii="Arial" w:cs="Arial" w:eastAsia="Arial" w:hAnsi="Arial"/>
                <w:sz w:val="17"/>
                <w:szCs w:val="17"/>
                <w:color w:val="auto"/>
              </w:rPr>
              <w:t>at the 75</w:t>
            </w:r>
            <w:r>
              <w:rPr>
                <w:rFonts w:ascii="Arial" w:cs="Arial" w:eastAsia="Arial" w:hAnsi="Arial"/>
                <w:sz w:val="26"/>
                <w:szCs w:val="26"/>
                <w:color w:val="auto"/>
                <w:vertAlign w:val="superscript"/>
              </w:rPr>
              <w:t>th</w:t>
            </w:r>
          </w:p>
        </w:tc>
        <w:tc>
          <w:tcPr>
            <w:tcW w:w="2920" w:type="dxa"/>
            <w:vAlign w:val="bottom"/>
            <w:shd w:val="clear" w:color="auto" w:fill="E3E5EB"/>
          </w:tcPr>
          <w:p>
            <w:pPr>
              <w:jc w:val="center"/>
              <w:ind w:left="127"/>
              <w:spacing w:after="0" w:line="232" w:lineRule="exact"/>
              <w:rPr>
                <w:sz w:val="20"/>
                <w:szCs w:val="20"/>
                <w:color w:val="auto"/>
              </w:rPr>
            </w:pPr>
            <w:r>
              <w:rPr>
                <w:rFonts w:ascii="Arial" w:cs="Arial" w:eastAsia="Arial" w:hAnsi="Arial"/>
                <w:sz w:val="17"/>
                <w:szCs w:val="17"/>
                <w:color w:val="auto"/>
              </w:rPr>
              <w:t>at the 75</w:t>
            </w:r>
            <w:r>
              <w:rPr>
                <w:rFonts w:ascii="Arial" w:cs="Arial" w:eastAsia="Arial" w:hAnsi="Arial"/>
                <w:sz w:val="26"/>
                <w:szCs w:val="26"/>
                <w:color w:val="auto"/>
                <w:vertAlign w:val="superscript"/>
              </w:rPr>
              <w:t>th</w:t>
            </w:r>
          </w:p>
        </w:tc>
        <w:tc>
          <w:tcPr>
            <w:tcW w:w="3020" w:type="dxa"/>
            <w:vAlign w:val="bottom"/>
            <w:shd w:val="clear" w:color="auto" w:fill="E3E5EB"/>
          </w:tcPr>
          <w:p>
            <w:pPr>
              <w:jc w:val="center"/>
              <w:ind w:left="148"/>
              <w:spacing w:after="0" w:line="232" w:lineRule="exact"/>
              <w:rPr>
                <w:sz w:val="20"/>
                <w:szCs w:val="20"/>
                <w:color w:val="auto"/>
              </w:rPr>
            </w:pPr>
            <w:r>
              <w:rPr>
                <w:rFonts w:ascii="Arial" w:cs="Arial" w:eastAsia="Arial" w:hAnsi="Arial"/>
                <w:sz w:val="17"/>
                <w:szCs w:val="17"/>
                <w:color w:val="auto"/>
              </w:rPr>
              <w:t>at the 50</w:t>
            </w:r>
            <w:r>
              <w:rPr>
                <w:rFonts w:ascii="Arial" w:cs="Arial" w:eastAsia="Arial" w:hAnsi="Arial"/>
                <w:sz w:val="26"/>
                <w:szCs w:val="26"/>
                <w:color w:val="auto"/>
                <w:vertAlign w:val="superscript"/>
              </w:rPr>
              <w:t>th</w:t>
            </w:r>
          </w:p>
        </w:tc>
        <w:tc>
          <w:tcPr>
            <w:tcW w:w="0" w:type="dxa"/>
            <w:vAlign w:val="bottom"/>
          </w:tcPr>
          <w:p>
            <w:pPr>
              <w:spacing w:after="0"/>
              <w:rPr>
                <w:sz w:val="1"/>
                <w:szCs w:val="1"/>
                <w:color w:val="auto"/>
              </w:rPr>
            </w:pPr>
          </w:p>
        </w:tc>
      </w:tr>
      <w:tr>
        <w:trPr>
          <w:trHeight w:val="251"/>
        </w:trPr>
        <w:tc>
          <w:tcPr>
            <w:tcW w:w="2680" w:type="dxa"/>
            <w:vAlign w:val="bottom"/>
            <w:shd w:val="clear" w:color="auto" w:fill="E3E5EB"/>
          </w:tcPr>
          <w:p>
            <w:pPr>
              <w:spacing w:after="0"/>
              <w:rPr>
                <w:sz w:val="21"/>
                <w:szCs w:val="21"/>
                <w:color w:val="auto"/>
              </w:rPr>
            </w:pPr>
          </w:p>
        </w:tc>
        <w:tc>
          <w:tcPr>
            <w:tcW w:w="2800" w:type="dxa"/>
            <w:vAlign w:val="bottom"/>
            <w:shd w:val="clear" w:color="auto" w:fill="E3E5EB"/>
          </w:tcPr>
          <w:p>
            <w:pPr>
              <w:jc w:val="center"/>
              <w:ind w:left="48"/>
              <w:spacing w:after="0"/>
              <w:rPr>
                <w:sz w:val="20"/>
                <w:szCs w:val="20"/>
                <w:color w:val="auto"/>
              </w:rPr>
            </w:pPr>
            <w:r>
              <w:rPr>
                <w:rFonts w:ascii="Arial" w:cs="Arial" w:eastAsia="Arial" w:hAnsi="Arial"/>
                <w:sz w:val="20"/>
                <w:szCs w:val="20"/>
                <w:color w:val="auto"/>
                <w:w w:val="99"/>
              </w:rPr>
              <w:t>percentile</w:t>
            </w:r>
          </w:p>
        </w:tc>
        <w:tc>
          <w:tcPr>
            <w:tcW w:w="2920" w:type="dxa"/>
            <w:vAlign w:val="bottom"/>
            <w:shd w:val="clear" w:color="auto" w:fill="E3E5EB"/>
          </w:tcPr>
          <w:p>
            <w:pPr>
              <w:jc w:val="center"/>
              <w:ind w:left="127"/>
              <w:spacing w:after="0"/>
              <w:rPr>
                <w:sz w:val="20"/>
                <w:szCs w:val="20"/>
                <w:color w:val="auto"/>
              </w:rPr>
            </w:pPr>
            <w:r>
              <w:rPr>
                <w:rFonts w:ascii="Arial" w:cs="Arial" w:eastAsia="Arial" w:hAnsi="Arial"/>
                <w:sz w:val="20"/>
                <w:szCs w:val="20"/>
                <w:color w:val="auto"/>
                <w:w w:val="99"/>
              </w:rPr>
              <w:t>percentile</w:t>
            </w:r>
          </w:p>
        </w:tc>
        <w:tc>
          <w:tcPr>
            <w:tcW w:w="3020" w:type="dxa"/>
            <w:vAlign w:val="bottom"/>
            <w:shd w:val="clear" w:color="auto" w:fill="E3E5EB"/>
          </w:tcPr>
          <w:p>
            <w:pPr>
              <w:jc w:val="center"/>
              <w:ind w:left="128"/>
              <w:spacing w:after="0"/>
              <w:rPr>
                <w:sz w:val="20"/>
                <w:szCs w:val="20"/>
                <w:color w:val="auto"/>
              </w:rPr>
            </w:pPr>
            <w:r>
              <w:rPr>
                <w:rFonts w:ascii="Arial" w:cs="Arial" w:eastAsia="Arial" w:hAnsi="Arial"/>
                <w:sz w:val="20"/>
                <w:szCs w:val="20"/>
                <w:color w:val="auto"/>
                <w:w w:val="96"/>
              </w:rPr>
              <w:t>percentile</w:t>
            </w:r>
          </w:p>
        </w:tc>
        <w:tc>
          <w:tcPr>
            <w:tcW w:w="0" w:type="dxa"/>
            <w:vAlign w:val="bottom"/>
          </w:tcPr>
          <w:p>
            <w:pPr>
              <w:spacing w:after="0"/>
              <w:rPr>
                <w:sz w:val="1"/>
                <w:szCs w:val="1"/>
                <w:color w:val="auto"/>
              </w:rPr>
            </w:pPr>
          </w:p>
        </w:tc>
      </w:tr>
      <w:tr>
        <w:trPr>
          <w:trHeight w:val="240"/>
        </w:trPr>
        <w:tc>
          <w:tcPr>
            <w:tcW w:w="2680" w:type="dxa"/>
            <w:vAlign w:val="bottom"/>
          </w:tcPr>
          <w:p>
            <w:pPr>
              <w:jc w:val="center"/>
              <w:spacing w:after="0"/>
              <w:rPr>
                <w:sz w:val="20"/>
                <w:szCs w:val="20"/>
                <w:color w:val="auto"/>
              </w:rPr>
            </w:pPr>
            <w:r>
              <w:rPr>
                <w:rFonts w:ascii="Arial" w:cs="Arial" w:eastAsia="Arial" w:hAnsi="Arial"/>
                <w:sz w:val="20"/>
                <w:szCs w:val="20"/>
                <w:color w:val="auto"/>
                <w:w w:val="95"/>
              </w:rPr>
              <w:t>Mr. Hatfield</w:t>
            </w:r>
          </w:p>
        </w:tc>
        <w:tc>
          <w:tcPr>
            <w:tcW w:w="2800" w:type="dxa"/>
            <w:vAlign w:val="bottom"/>
          </w:tcPr>
          <w:p>
            <w:pPr>
              <w:jc w:val="center"/>
              <w:ind w:left="48"/>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2920" w:type="dxa"/>
            <w:vAlign w:val="bottom"/>
          </w:tcPr>
          <w:p>
            <w:pPr>
              <w:jc w:val="center"/>
              <w:ind w:left="127"/>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3020" w:type="dxa"/>
            <w:vAlign w:val="bottom"/>
          </w:tcPr>
          <w:p>
            <w:pPr>
              <w:jc w:val="center"/>
              <w:ind w:left="148"/>
              <w:spacing w:after="0" w:line="240" w:lineRule="exact"/>
              <w:rPr>
                <w:sz w:val="20"/>
                <w:szCs w:val="20"/>
                <w:color w:val="auto"/>
              </w:rPr>
            </w:pPr>
            <w:r>
              <w:rPr>
                <w:rFonts w:ascii="Arial" w:cs="Arial" w:eastAsia="Arial" w:hAnsi="Arial"/>
                <w:sz w:val="17"/>
                <w:szCs w:val="17"/>
                <w:color w:val="auto"/>
              </w:rPr>
              <w:t>at the 25</w:t>
            </w:r>
            <w:r>
              <w:rPr>
                <w:rFonts w:ascii="Arial" w:cs="Arial" w:eastAsia="Arial" w:hAnsi="Arial"/>
                <w:sz w:val="27"/>
                <w:szCs w:val="27"/>
                <w:color w:val="auto"/>
                <w:vertAlign w:val="superscript"/>
              </w:rPr>
              <w:t>th</w:t>
            </w:r>
          </w:p>
        </w:tc>
        <w:tc>
          <w:tcPr>
            <w:tcW w:w="0" w:type="dxa"/>
            <w:vAlign w:val="bottom"/>
          </w:tcPr>
          <w:p>
            <w:pPr>
              <w:spacing w:after="0"/>
              <w:rPr>
                <w:sz w:val="1"/>
                <w:szCs w:val="1"/>
                <w:color w:val="auto"/>
              </w:rPr>
            </w:pPr>
          </w:p>
        </w:tc>
      </w:tr>
      <w:tr>
        <w:trPr>
          <w:trHeight w:val="251"/>
        </w:trPr>
        <w:tc>
          <w:tcPr>
            <w:tcW w:w="2680" w:type="dxa"/>
            <w:vAlign w:val="bottom"/>
          </w:tcPr>
          <w:p>
            <w:pPr>
              <w:spacing w:after="0"/>
              <w:rPr>
                <w:sz w:val="21"/>
                <w:szCs w:val="21"/>
                <w:color w:val="auto"/>
              </w:rPr>
            </w:pPr>
          </w:p>
        </w:tc>
        <w:tc>
          <w:tcPr>
            <w:tcW w:w="2800" w:type="dxa"/>
            <w:vAlign w:val="bottom"/>
          </w:tcPr>
          <w:p>
            <w:pPr>
              <w:jc w:val="center"/>
              <w:ind w:left="48"/>
              <w:spacing w:after="0"/>
              <w:rPr>
                <w:sz w:val="20"/>
                <w:szCs w:val="20"/>
                <w:color w:val="auto"/>
              </w:rPr>
            </w:pPr>
            <w:r>
              <w:rPr>
                <w:rFonts w:ascii="Arial" w:cs="Arial" w:eastAsia="Arial" w:hAnsi="Arial"/>
                <w:sz w:val="20"/>
                <w:szCs w:val="20"/>
                <w:color w:val="auto"/>
                <w:w w:val="99"/>
              </w:rPr>
              <w:t>percentile</w:t>
            </w:r>
          </w:p>
        </w:tc>
        <w:tc>
          <w:tcPr>
            <w:tcW w:w="2920" w:type="dxa"/>
            <w:vAlign w:val="bottom"/>
          </w:tcPr>
          <w:p>
            <w:pPr>
              <w:jc w:val="center"/>
              <w:ind w:left="127"/>
              <w:spacing w:after="0"/>
              <w:rPr>
                <w:sz w:val="20"/>
                <w:szCs w:val="20"/>
                <w:color w:val="auto"/>
              </w:rPr>
            </w:pPr>
            <w:r>
              <w:rPr>
                <w:rFonts w:ascii="Arial" w:cs="Arial" w:eastAsia="Arial" w:hAnsi="Arial"/>
                <w:sz w:val="20"/>
                <w:szCs w:val="20"/>
                <w:color w:val="auto"/>
                <w:w w:val="99"/>
              </w:rPr>
              <w:t>percentile</w:t>
            </w:r>
          </w:p>
        </w:tc>
        <w:tc>
          <w:tcPr>
            <w:tcW w:w="3020" w:type="dxa"/>
            <w:vAlign w:val="bottom"/>
          </w:tcPr>
          <w:p>
            <w:pPr>
              <w:jc w:val="center"/>
              <w:ind w:left="128"/>
              <w:spacing w:after="0"/>
              <w:rPr>
                <w:sz w:val="20"/>
                <w:szCs w:val="20"/>
                <w:color w:val="auto"/>
              </w:rPr>
            </w:pPr>
            <w:r>
              <w:rPr>
                <w:rFonts w:ascii="Arial" w:cs="Arial" w:eastAsia="Arial" w:hAnsi="Arial"/>
                <w:sz w:val="20"/>
                <w:szCs w:val="20"/>
                <w:color w:val="auto"/>
                <w:w w:val="96"/>
              </w:rPr>
              <w:t>percentile</w:t>
            </w:r>
          </w:p>
        </w:tc>
        <w:tc>
          <w:tcPr>
            <w:tcW w:w="0" w:type="dxa"/>
            <w:vAlign w:val="bottom"/>
          </w:tcPr>
          <w:p>
            <w:pPr>
              <w:spacing w:after="0"/>
              <w:rPr>
                <w:sz w:val="1"/>
                <w:szCs w:val="1"/>
                <w:color w:val="auto"/>
              </w:rPr>
            </w:pPr>
          </w:p>
        </w:tc>
      </w:tr>
      <w:tr>
        <w:trPr>
          <w:trHeight w:val="240"/>
        </w:trPr>
        <w:tc>
          <w:tcPr>
            <w:tcW w:w="2680" w:type="dxa"/>
            <w:vAlign w:val="bottom"/>
            <w:shd w:val="clear" w:color="auto" w:fill="E3E5EB"/>
          </w:tcPr>
          <w:p>
            <w:pPr>
              <w:jc w:val="center"/>
              <w:spacing w:after="0"/>
              <w:rPr>
                <w:sz w:val="20"/>
                <w:szCs w:val="20"/>
                <w:color w:val="auto"/>
              </w:rPr>
            </w:pPr>
            <w:r>
              <w:rPr>
                <w:rFonts w:ascii="Arial" w:cs="Arial" w:eastAsia="Arial" w:hAnsi="Arial"/>
                <w:sz w:val="20"/>
                <w:szCs w:val="20"/>
                <w:color w:val="auto"/>
                <w:w w:val="96"/>
              </w:rPr>
              <w:t>Mr. Edington</w:t>
            </w:r>
          </w:p>
        </w:tc>
        <w:tc>
          <w:tcPr>
            <w:tcW w:w="2800" w:type="dxa"/>
            <w:vAlign w:val="bottom"/>
            <w:shd w:val="clear" w:color="auto" w:fill="E3E5EB"/>
          </w:tcPr>
          <w:p>
            <w:pPr>
              <w:jc w:val="center"/>
              <w:ind w:left="68"/>
              <w:spacing w:after="0" w:line="240" w:lineRule="exact"/>
              <w:rPr>
                <w:sz w:val="20"/>
                <w:szCs w:val="20"/>
                <w:color w:val="auto"/>
              </w:rPr>
            </w:pPr>
            <w:r>
              <w:rPr>
                <w:rFonts w:ascii="Arial" w:cs="Arial" w:eastAsia="Arial" w:hAnsi="Arial"/>
                <w:sz w:val="17"/>
                <w:szCs w:val="17"/>
                <w:color w:val="auto"/>
              </w:rPr>
              <w:t>above the 75</w:t>
            </w:r>
            <w:r>
              <w:rPr>
                <w:rFonts w:ascii="Arial" w:cs="Arial" w:eastAsia="Arial" w:hAnsi="Arial"/>
                <w:sz w:val="27"/>
                <w:szCs w:val="27"/>
                <w:color w:val="auto"/>
                <w:vertAlign w:val="superscript"/>
              </w:rPr>
              <w:t>th</w:t>
            </w:r>
          </w:p>
        </w:tc>
        <w:tc>
          <w:tcPr>
            <w:tcW w:w="2920" w:type="dxa"/>
            <w:vAlign w:val="bottom"/>
            <w:shd w:val="clear" w:color="auto" w:fill="E3E5EB"/>
          </w:tcPr>
          <w:p>
            <w:pPr>
              <w:jc w:val="center"/>
              <w:ind w:left="127"/>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3020" w:type="dxa"/>
            <w:vAlign w:val="bottom"/>
            <w:shd w:val="clear" w:color="auto" w:fill="E3E5EB"/>
          </w:tcPr>
          <w:p>
            <w:pPr>
              <w:jc w:val="center"/>
              <w:ind w:left="128"/>
              <w:spacing w:after="0" w:line="240" w:lineRule="exact"/>
              <w:rPr>
                <w:sz w:val="20"/>
                <w:szCs w:val="20"/>
                <w:color w:val="auto"/>
              </w:rPr>
            </w:pPr>
            <w:r>
              <w:rPr>
                <w:rFonts w:ascii="Arial" w:cs="Arial" w:eastAsia="Arial" w:hAnsi="Arial"/>
                <w:sz w:val="17"/>
                <w:szCs w:val="17"/>
                <w:color w:val="auto"/>
              </w:rPr>
              <w:t>below the 25</w:t>
            </w:r>
            <w:r>
              <w:rPr>
                <w:rFonts w:ascii="Arial" w:cs="Arial" w:eastAsia="Arial" w:hAnsi="Arial"/>
                <w:sz w:val="27"/>
                <w:szCs w:val="27"/>
                <w:color w:val="auto"/>
                <w:vertAlign w:val="superscript"/>
              </w:rPr>
              <w:t>th</w:t>
            </w:r>
          </w:p>
        </w:tc>
        <w:tc>
          <w:tcPr>
            <w:tcW w:w="0" w:type="dxa"/>
            <w:vAlign w:val="bottom"/>
          </w:tcPr>
          <w:p>
            <w:pPr>
              <w:spacing w:after="0"/>
              <w:rPr>
                <w:sz w:val="1"/>
                <w:szCs w:val="1"/>
                <w:color w:val="auto"/>
              </w:rPr>
            </w:pPr>
          </w:p>
        </w:tc>
      </w:tr>
      <w:tr>
        <w:trPr>
          <w:trHeight w:val="251"/>
        </w:trPr>
        <w:tc>
          <w:tcPr>
            <w:tcW w:w="2680" w:type="dxa"/>
            <w:vAlign w:val="bottom"/>
            <w:shd w:val="clear" w:color="auto" w:fill="E3E5EB"/>
          </w:tcPr>
          <w:p>
            <w:pPr>
              <w:spacing w:after="0"/>
              <w:rPr>
                <w:sz w:val="21"/>
                <w:szCs w:val="21"/>
                <w:color w:val="auto"/>
              </w:rPr>
            </w:pPr>
          </w:p>
        </w:tc>
        <w:tc>
          <w:tcPr>
            <w:tcW w:w="2800" w:type="dxa"/>
            <w:vAlign w:val="bottom"/>
            <w:shd w:val="clear" w:color="auto" w:fill="E3E5EB"/>
          </w:tcPr>
          <w:p>
            <w:pPr>
              <w:jc w:val="center"/>
              <w:ind w:left="48"/>
              <w:spacing w:after="0"/>
              <w:rPr>
                <w:sz w:val="20"/>
                <w:szCs w:val="20"/>
                <w:color w:val="auto"/>
              </w:rPr>
            </w:pPr>
            <w:r>
              <w:rPr>
                <w:rFonts w:ascii="Arial" w:cs="Arial" w:eastAsia="Arial" w:hAnsi="Arial"/>
                <w:sz w:val="20"/>
                <w:szCs w:val="20"/>
                <w:color w:val="auto"/>
                <w:w w:val="99"/>
              </w:rPr>
              <w:t>percentile</w:t>
            </w:r>
          </w:p>
        </w:tc>
        <w:tc>
          <w:tcPr>
            <w:tcW w:w="2920" w:type="dxa"/>
            <w:vAlign w:val="bottom"/>
            <w:shd w:val="clear" w:color="auto" w:fill="E3E5EB"/>
          </w:tcPr>
          <w:p>
            <w:pPr>
              <w:jc w:val="center"/>
              <w:ind w:left="127"/>
              <w:spacing w:after="0"/>
              <w:rPr>
                <w:sz w:val="20"/>
                <w:szCs w:val="20"/>
                <w:color w:val="auto"/>
              </w:rPr>
            </w:pPr>
            <w:r>
              <w:rPr>
                <w:rFonts w:ascii="Arial" w:cs="Arial" w:eastAsia="Arial" w:hAnsi="Arial"/>
                <w:sz w:val="20"/>
                <w:szCs w:val="20"/>
                <w:color w:val="auto"/>
                <w:w w:val="99"/>
              </w:rPr>
              <w:t>percentile</w:t>
            </w:r>
          </w:p>
        </w:tc>
        <w:tc>
          <w:tcPr>
            <w:tcW w:w="3020" w:type="dxa"/>
            <w:vAlign w:val="bottom"/>
            <w:shd w:val="clear" w:color="auto" w:fill="E3E5EB"/>
          </w:tcPr>
          <w:p>
            <w:pPr>
              <w:jc w:val="center"/>
              <w:ind w:left="128"/>
              <w:spacing w:after="0"/>
              <w:rPr>
                <w:sz w:val="20"/>
                <w:szCs w:val="20"/>
                <w:color w:val="auto"/>
              </w:rPr>
            </w:pPr>
            <w:r>
              <w:rPr>
                <w:rFonts w:ascii="Arial" w:cs="Arial" w:eastAsia="Arial" w:hAnsi="Arial"/>
                <w:sz w:val="20"/>
                <w:szCs w:val="20"/>
                <w:color w:val="auto"/>
                <w:w w:val="96"/>
              </w:rPr>
              <w:t>percentile</w:t>
            </w:r>
          </w:p>
        </w:tc>
        <w:tc>
          <w:tcPr>
            <w:tcW w:w="0" w:type="dxa"/>
            <w:vAlign w:val="bottom"/>
          </w:tcPr>
          <w:p>
            <w:pPr>
              <w:spacing w:after="0"/>
              <w:rPr>
                <w:sz w:val="1"/>
                <w:szCs w:val="1"/>
                <w:color w:val="auto"/>
              </w:rPr>
            </w:pPr>
          </w:p>
        </w:tc>
      </w:tr>
      <w:tr>
        <w:trPr>
          <w:trHeight w:val="240"/>
        </w:trPr>
        <w:tc>
          <w:tcPr>
            <w:tcW w:w="2680" w:type="dxa"/>
            <w:vAlign w:val="bottom"/>
          </w:tcPr>
          <w:p>
            <w:pPr>
              <w:jc w:val="center"/>
              <w:spacing w:after="0"/>
              <w:rPr>
                <w:sz w:val="20"/>
                <w:szCs w:val="20"/>
                <w:color w:val="auto"/>
              </w:rPr>
            </w:pPr>
            <w:r>
              <w:rPr>
                <w:rFonts w:ascii="Arial" w:cs="Arial" w:eastAsia="Arial" w:hAnsi="Arial"/>
                <w:sz w:val="20"/>
                <w:szCs w:val="20"/>
                <w:color w:val="auto"/>
                <w:w w:val="94"/>
              </w:rPr>
              <w:t>Mr. Falck</w:t>
            </w:r>
          </w:p>
        </w:tc>
        <w:tc>
          <w:tcPr>
            <w:tcW w:w="2800" w:type="dxa"/>
            <w:vAlign w:val="bottom"/>
          </w:tcPr>
          <w:p>
            <w:pPr>
              <w:jc w:val="center"/>
              <w:ind w:left="48"/>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2920" w:type="dxa"/>
            <w:vAlign w:val="bottom"/>
          </w:tcPr>
          <w:p>
            <w:pPr>
              <w:jc w:val="center"/>
              <w:ind w:left="127"/>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3020" w:type="dxa"/>
            <w:vAlign w:val="bottom"/>
          </w:tcPr>
          <w:p>
            <w:pPr>
              <w:jc w:val="center"/>
              <w:ind w:left="128"/>
              <w:spacing w:after="0" w:line="240" w:lineRule="exact"/>
              <w:rPr>
                <w:sz w:val="20"/>
                <w:szCs w:val="20"/>
                <w:color w:val="auto"/>
              </w:rPr>
            </w:pPr>
            <w:r>
              <w:rPr>
                <w:rFonts w:ascii="Arial" w:cs="Arial" w:eastAsia="Arial" w:hAnsi="Arial"/>
                <w:sz w:val="17"/>
                <w:szCs w:val="17"/>
                <w:color w:val="auto"/>
              </w:rPr>
              <w:t>above the 25</w:t>
            </w:r>
            <w:r>
              <w:rPr>
                <w:rFonts w:ascii="Arial" w:cs="Arial" w:eastAsia="Arial" w:hAnsi="Arial"/>
                <w:sz w:val="27"/>
                <w:szCs w:val="27"/>
                <w:color w:val="auto"/>
                <w:vertAlign w:val="superscript"/>
              </w:rPr>
              <w:t>th</w:t>
            </w:r>
          </w:p>
        </w:tc>
        <w:tc>
          <w:tcPr>
            <w:tcW w:w="0" w:type="dxa"/>
            <w:vAlign w:val="bottom"/>
          </w:tcPr>
          <w:p>
            <w:pPr>
              <w:spacing w:after="0"/>
              <w:rPr>
                <w:sz w:val="1"/>
                <w:szCs w:val="1"/>
                <w:color w:val="auto"/>
              </w:rPr>
            </w:pPr>
          </w:p>
        </w:tc>
      </w:tr>
      <w:tr>
        <w:trPr>
          <w:trHeight w:val="270"/>
        </w:trPr>
        <w:tc>
          <w:tcPr>
            <w:tcW w:w="2680" w:type="dxa"/>
            <w:vAlign w:val="bottom"/>
          </w:tcPr>
          <w:p>
            <w:pPr>
              <w:spacing w:after="0"/>
              <w:rPr>
                <w:sz w:val="23"/>
                <w:szCs w:val="23"/>
                <w:color w:val="auto"/>
              </w:rPr>
            </w:pPr>
          </w:p>
        </w:tc>
        <w:tc>
          <w:tcPr>
            <w:tcW w:w="2800" w:type="dxa"/>
            <w:vAlign w:val="bottom"/>
          </w:tcPr>
          <w:p>
            <w:pPr>
              <w:jc w:val="center"/>
              <w:ind w:left="48"/>
              <w:spacing w:after="0"/>
              <w:rPr>
                <w:sz w:val="20"/>
                <w:szCs w:val="20"/>
                <w:color w:val="auto"/>
              </w:rPr>
            </w:pPr>
            <w:r>
              <w:rPr>
                <w:rFonts w:ascii="Arial" w:cs="Arial" w:eastAsia="Arial" w:hAnsi="Arial"/>
                <w:sz w:val="20"/>
                <w:szCs w:val="20"/>
                <w:color w:val="auto"/>
                <w:w w:val="99"/>
              </w:rPr>
              <w:t>percentile</w:t>
            </w:r>
          </w:p>
        </w:tc>
        <w:tc>
          <w:tcPr>
            <w:tcW w:w="2920" w:type="dxa"/>
            <w:vAlign w:val="bottom"/>
          </w:tcPr>
          <w:p>
            <w:pPr>
              <w:jc w:val="center"/>
              <w:ind w:left="127"/>
              <w:spacing w:after="0"/>
              <w:rPr>
                <w:sz w:val="20"/>
                <w:szCs w:val="20"/>
                <w:color w:val="auto"/>
              </w:rPr>
            </w:pPr>
            <w:r>
              <w:rPr>
                <w:rFonts w:ascii="Arial" w:cs="Arial" w:eastAsia="Arial" w:hAnsi="Arial"/>
                <w:sz w:val="20"/>
                <w:szCs w:val="20"/>
                <w:color w:val="auto"/>
                <w:w w:val="99"/>
              </w:rPr>
              <w:t>percentile</w:t>
            </w:r>
          </w:p>
        </w:tc>
        <w:tc>
          <w:tcPr>
            <w:tcW w:w="3020" w:type="dxa"/>
            <w:vAlign w:val="bottom"/>
          </w:tcPr>
          <w:p>
            <w:pPr>
              <w:jc w:val="center"/>
              <w:ind w:left="128"/>
              <w:spacing w:after="0" w:line="269" w:lineRule="exact"/>
              <w:rPr>
                <w:sz w:val="20"/>
                <w:szCs w:val="20"/>
                <w:color w:val="auto"/>
              </w:rPr>
            </w:pPr>
            <w:r>
              <w:rPr>
                <w:rFonts w:ascii="Arial" w:cs="Arial" w:eastAsia="Arial" w:hAnsi="Arial"/>
                <w:sz w:val="19"/>
                <w:szCs w:val="19"/>
                <w:color w:val="auto"/>
              </w:rPr>
              <w:t>percentile but below the 50</w:t>
            </w:r>
            <w:r>
              <w:rPr>
                <w:rFonts w:ascii="Arial" w:cs="Arial" w:eastAsia="Arial" w:hAnsi="Arial"/>
                <w:sz w:val="31"/>
                <w:szCs w:val="31"/>
                <w:color w:val="auto"/>
                <w:vertAlign w:val="superscript"/>
              </w:rPr>
              <w:t>th</w:t>
            </w:r>
          </w:p>
        </w:tc>
        <w:tc>
          <w:tcPr>
            <w:tcW w:w="0" w:type="dxa"/>
            <w:vAlign w:val="bottom"/>
          </w:tcPr>
          <w:p>
            <w:pPr>
              <w:spacing w:after="0"/>
              <w:rPr>
                <w:sz w:val="1"/>
                <w:szCs w:val="1"/>
                <w:color w:val="auto"/>
              </w:rPr>
            </w:pPr>
          </w:p>
        </w:tc>
      </w:tr>
      <w:tr>
        <w:trPr>
          <w:trHeight w:val="251"/>
        </w:trPr>
        <w:tc>
          <w:tcPr>
            <w:tcW w:w="2680" w:type="dxa"/>
            <w:vAlign w:val="bottom"/>
          </w:tcPr>
          <w:p>
            <w:pPr>
              <w:spacing w:after="0"/>
              <w:rPr>
                <w:sz w:val="21"/>
                <w:szCs w:val="21"/>
                <w:color w:val="auto"/>
              </w:rPr>
            </w:pPr>
          </w:p>
        </w:tc>
        <w:tc>
          <w:tcPr>
            <w:tcW w:w="2800" w:type="dxa"/>
            <w:vAlign w:val="bottom"/>
          </w:tcPr>
          <w:p>
            <w:pPr>
              <w:spacing w:after="0"/>
              <w:rPr>
                <w:sz w:val="21"/>
                <w:szCs w:val="21"/>
                <w:color w:val="auto"/>
              </w:rPr>
            </w:pPr>
          </w:p>
        </w:tc>
        <w:tc>
          <w:tcPr>
            <w:tcW w:w="2920" w:type="dxa"/>
            <w:vAlign w:val="bottom"/>
          </w:tcPr>
          <w:p>
            <w:pPr>
              <w:spacing w:after="0"/>
              <w:rPr>
                <w:sz w:val="21"/>
                <w:szCs w:val="21"/>
                <w:color w:val="auto"/>
              </w:rPr>
            </w:pPr>
          </w:p>
        </w:tc>
        <w:tc>
          <w:tcPr>
            <w:tcW w:w="3020" w:type="dxa"/>
            <w:vAlign w:val="bottom"/>
          </w:tcPr>
          <w:p>
            <w:pPr>
              <w:jc w:val="center"/>
              <w:ind w:left="128"/>
              <w:spacing w:after="0"/>
              <w:rPr>
                <w:sz w:val="20"/>
                <w:szCs w:val="20"/>
                <w:color w:val="auto"/>
              </w:rPr>
            </w:pPr>
            <w:r>
              <w:rPr>
                <w:rFonts w:ascii="Arial" w:cs="Arial" w:eastAsia="Arial" w:hAnsi="Arial"/>
                <w:sz w:val="20"/>
                <w:szCs w:val="20"/>
                <w:color w:val="auto"/>
                <w:w w:val="96"/>
              </w:rPr>
              <w:t>percentile</w:t>
            </w:r>
          </w:p>
        </w:tc>
        <w:tc>
          <w:tcPr>
            <w:tcW w:w="0" w:type="dxa"/>
            <w:vAlign w:val="bottom"/>
          </w:tcPr>
          <w:p>
            <w:pPr>
              <w:spacing w:after="0"/>
              <w:rPr>
                <w:sz w:val="1"/>
                <w:szCs w:val="1"/>
                <w:color w:val="auto"/>
              </w:rPr>
            </w:pPr>
          </w:p>
        </w:tc>
      </w:tr>
      <w:tr>
        <w:trPr>
          <w:trHeight w:val="240"/>
        </w:trPr>
        <w:tc>
          <w:tcPr>
            <w:tcW w:w="2680" w:type="dxa"/>
            <w:vAlign w:val="bottom"/>
            <w:shd w:val="clear" w:color="auto" w:fill="E3E5EB"/>
          </w:tcPr>
          <w:p>
            <w:pPr>
              <w:jc w:val="center"/>
              <w:spacing w:after="0"/>
              <w:rPr>
                <w:sz w:val="20"/>
                <w:szCs w:val="20"/>
                <w:color w:val="auto"/>
              </w:rPr>
            </w:pPr>
            <w:r>
              <w:rPr>
                <w:rFonts w:ascii="Arial" w:cs="Arial" w:eastAsia="Arial" w:hAnsi="Arial"/>
                <w:sz w:val="20"/>
                <w:szCs w:val="20"/>
                <w:color w:val="auto"/>
                <w:w w:val="97"/>
              </w:rPr>
              <w:t>Mr. Schiavoni</w:t>
            </w:r>
          </w:p>
        </w:tc>
        <w:tc>
          <w:tcPr>
            <w:tcW w:w="2800" w:type="dxa"/>
            <w:vAlign w:val="bottom"/>
            <w:shd w:val="clear" w:color="auto" w:fill="E3E5EB"/>
          </w:tcPr>
          <w:p>
            <w:pPr>
              <w:jc w:val="center"/>
              <w:ind w:left="48"/>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2920" w:type="dxa"/>
            <w:vAlign w:val="bottom"/>
            <w:shd w:val="clear" w:color="auto" w:fill="E3E5EB"/>
          </w:tcPr>
          <w:p>
            <w:pPr>
              <w:jc w:val="center"/>
              <w:ind w:left="127"/>
              <w:spacing w:after="0" w:line="240" w:lineRule="exact"/>
              <w:rPr>
                <w:sz w:val="20"/>
                <w:szCs w:val="20"/>
                <w:color w:val="auto"/>
              </w:rPr>
            </w:pPr>
            <w:r>
              <w:rPr>
                <w:rFonts w:ascii="Arial" w:cs="Arial" w:eastAsia="Arial" w:hAnsi="Arial"/>
                <w:sz w:val="17"/>
                <w:szCs w:val="17"/>
                <w:color w:val="auto"/>
              </w:rPr>
              <w:t>at the 50</w:t>
            </w:r>
            <w:r>
              <w:rPr>
                <w:rFonts w:ascii="Arial" w:cs="Arial" w:eastAsia="Arial" w:hAnsi="Arial"/>
                <w:sz w:val="27"/>
                <w:szCs w:val="27"/>
                <w:color w:val="auto"/>
                <w:vertAlign w:val="superscript"/>
              </w:rPr>
              <w:t>th</w:t>
            </w:r>
          </w:p>
        </w:tc>
        <w:tc>
          <w:tcPr>
            <w:tcW w:w="3020" w:type="dxa"/>
            <w:vAlign w:val="bottom"/>
            <w:shd w:val="clear" w:color="auto" w:fill="E3E5EB"/>
          </w:tcPr>
          <w:p>
            <w:pPr>
              <w:jc w:val="center"/>
              <w:ind w:left="128"/>
              <w:spacing w:after="0" w:line="240" w:lineRule="exact"/>
              <w:rPr>
                <w:sz w:val="20"/>
                <w:szCs w:val="20"/>
                <w:color w:val="auto"/>
              </w:rPr>
            </w:pPr>
            <w:r>
              <w:rPr>
                <w:rFonts w:ascii="Arial" w:cs="Arial" w:eastAsia="Arial" w:hAnsi="Arial"/>
                <w:sz w:val="17"/>
                <w:szCs w:val="17"/>
                <w:color w:val="auto"/>
              </w:rPr>
              <w:t>below the 25</w:t>
            </w:r>
            <w:r>
              <w:rPr>
                <w:rFonts w:ascii="Arial" w:cs="Arial" w:eastAsia="Arial" w:hAnsi="Arial"/>
                <w:sz w:val="27"/>
                <w:szCs w:val="27"/>
                <w:color w:val="auto"/>
                <w:vertAlign w:val="superscript"/>
              </w:rPr>
              <w:t>th</w:t>
            </w:r>
          </w:p>
        </w:tc>
        <w:tc>
          <w:tcPr>
            <w:tcW w:w="0" w:type="dxa"/>
            <w:vAlign w:val="bottom"/>
          </w:tcPr>
          <w:p>
            <w:pPr>
              <w:spacing w:after="0"/>
              <w:rPr>
                <w:sz w:val="1"/>
                <w:szCs w:val="1"/>
                <w:color w:val="auto"/>
              </w:rPr>
            </w:pPr>
          </w:p>
        </w:tc>
      </w:tr>
      <w:tr>
        <w:trPr>
          <w:trHeight w:val="251"/>
        </w:trPr>
        <w:tc>
          <w:tcPr>
            <w:tcW w:w="2680" w:type="dxa"/>
            <w:vAlign w:val="bottom"/>
            <w:tcBorders>
              <w:bottom w:val="single" w:sz="8" w:color="395775"/>
            </w:tcBorders>
            <w:shd w:val="clear" w:color="auto" w:fill="E3E5EB"/>
          </w:tcPr>
          <w:p>
            <w:pPr>
              <w:spacing w:after="0"/>
              <w:rPr>
                <w:sz w:val="21"/>
                <w:szCs w:val="21"/>
                <w:color w:val="auto"/>
              </w:rPr>
            </w:pPr>
          </w:p>
        </w:tc>
        <w:tc>
          <w:tcPr>
            <w:tcW w:w="2800" w:type="dxa"/>
            <w:vAlign w:val="bottom"/>
            <w:tcBorders>
              <w:bottom w:val="single" w:sz="8" w:color="395775"/>
            </w:tcBorders>
            <w:shd w:val="clear" w:color="auto" w:fill="E3E5EB"/>
          </w:tcPr>
          <w:p>
            <w:pPr>
              <w:jc w:val="center"/>
              <w:ind w:left="48"/>
              <w:spacing w:after="0"/>
              <w:rPr>
                <w:sz w:val="20"/>
                <w:szCs w:val="20"/>
                <w:color w:val="auto"/>
              </w:rPr>
            </w:pPr>
            <w:r>
              <w:rPr>
                <w:rFonts w:ascii="Arial" w:cs="Arial" w:eastAsia="Arial" w:hAnsi="Arial"/>
                <w:sz w:val="20"/>
                <w:szCs w:val="20"/>
                <w:color w:val="auto"/>
                <w:w w:val="99"/>
              </w:rPr>
              <w:t>percentile</w:t>
            </w:r>
          </w:p>
        </w:tc>
        <w:tc>
          <w:tcPr>
            <w:tcW w:w="2920" w:type="dxa"/>
            <w:vAlign w:val="bottom"/>
            <w:tcBorders>
              <w:bottom w:val="single" w:sz="8" w:color="395775"/>
            </w:tcBorders>
            <w:shd w:val="clear" w:color="auto" w:fill="E3E5EB"/>
          </w:tcPr>
          <w:p>
            <w:pPr>
              <w:jc w:val="center"/>
              <w:ind w:left="127"/>
              <w:spacing w:after="0"/>
              <w:rPr>
                <w:sz w:val="20"/>
                <w:szCs w:val="20"/>
                <w:color w:val="auto"/>
              </w:rPr>
            </w:pPr>
            <w:r>
              <w:rPr>
                <w:rFonts w:ascii="Arial" w:cs="Arial" w:eastAsia="Arial" w:hAnsi="Arial"/>
                <w:sz w:val="20"/>
                <w:szCs w:val="20"/>
                <w:color w:val="auto"/>
                <w:w w:val="99"/>
              </w:rPr>
              <w:t>percentile</w:t>
            </w:r>
          </w:p>
        </w:tc>
        <w:tc>
          <w:tcPr>
            <w:tcW w:w="3020" w:type="dxa"/>
            <w:vAlign w:val="bottom"/>
            <w:tcBorders>
              <w:bottom w:val="single" w:sz="8" w:color="395775"/>
            </w:tcBorders>
            <w:shd w:val="clear" w:color="auto" w:fill="E3E5EB"/>
          </w:tcPr>
          <w:p>
            <w:pPr>
              <w:jc w:val="center"/>
              <w:ind w:left="128"/>
              <w:spacing w:after="0"/>
              <w:rPr>
                <w:sz w:val="20"/>
                <w:szCs w:val="20"/>
                <w:color w:val="auto"/>
              </w:rPr>
            </w:pPr>
            <w:r>
              <w:rPr>
                <w:rFonts w:ascii="Arial" w:cs="Arial" w:eastAsia="Arial" w:hAnsi="Arial"/>
                <w:sz w:val="20"/>
                <w:szCs w:val="20"/>
                <w:color w:val="auto"/>
                <w:w w:val="96"/>
              </w:rPr>
              <w:t>percentile</w:t>
            </w:r>
          </w:p>
        </w:tc>
        <w:tc>
          <w:tcPr>
            <w:tcW w:w="0" w:type="dxa"/>
            <w:vAlign w:val="bottom"/>
          </w:tcPr>
          <w:p>
            <w:pPr>
              <w:spacing w:after="0"/>
              <w:rPr>
                <w:sz w:val="1"/>
                <w:szCs w:val="1"/>
                <w:color w:val="auto"/>
              </w:rPr>
            </w:pPr>
          </w:p>
        </w:tc>
      </w:tr>
    </w:tbl>
    <w:p>
      <w:pPr>
        <w:spacing w:after="0" w:line="302" w:lineRule="exact"/>
        <w:rPr>
          <w:sz w:val="20"/>
          <w:szCs w:val="20"/>
          <w:color w:val="auto"/>
        </w:rPr>
      </w:pPr>
    </w:p>
    <w:p>
      <w:pPr>
        <w:ind w:left="482" w:right="100" w:hanging="482"/>
        <w:spacing w:after="0" w:line="249" w:lineRule="auto"/>
        <w:tabs>
          <w:tab w:leader="none" w:pos="482" w:val="left"/>
        </w:tabs>
        <w:numPr>
          <w:ilvl w:val="0"/>
          <w:numId w:val="66"/>
        </w:numPr>
        <w:rPr>
          <w:rFonts w:ascii="Arial" w:cs="Arial" w:eastAsia="Arial" w:hAnsi="Arial"/>
          <w:sz w:val="16"/>
          <w:szCs w:val="16"/>
          <w:color w:val="auto"/>
        </w:rPr>
      </w:pPr>
      <w:r>
        <w:rPr>
          <w:rFonts w:ascii="Arial" w:cs="Arial" w:eastAsia="Arial" w:hAnsi="Arial"/>
          <w:sz w:val="16"/>
          <w:szCs w:val="16"/>
          <w:color w:val="auto"/>
        </w:rPr>
        <w:t>Long-term incentive comparison excludes: (i) the one-time award of the supplemental grants of RSUs that were granted in February 2011 for performance prior to 2011 (the "Supplemental RSUs"), which are discussed in footnote 1 to the Option Exercises and Stock Vested table; (ii) the special retention award of RSUs that were granted to Mr. Brandt in December 2012 (the "Retention Grant"), which is discussed in footnote 3 to the Outstanding Equity Awards at Fiscal Year-End table; and (iii) certain arrangements with Mr. Edington and Mr. Falck under the non-qualified deferred compensation plan as described later in this CD&amp;A.</w:t>
      </w:r>
    </w:p>
    <w:p>
      <w:pPr>
        <w:spacing w:after="0" w:line="149" w:lineRule="exact"/>
        <w:rPr>
          <w:sz w:val="20"/>
          <w:szCs w:val="20"/>
          <w:color w:val="auto"/>
        </w:rPr>
      </w:pPr>
    </w:p>
    <w:p>
      <w:pPr>
        <w:ind w:left="2" w:right="180"/>
        <w:spacing w:after="0" w:line="252" w:lineRule="auto"/>
        <w:rPr>
          <w:sz w:val="20"/>
          <w:szCs w:val="20"/>
          <w:color w:val="auto"/>
        </w:rPr>
      </w:pPr>
      <w:r>
        <w:rPr>
          <w:rFonts w:ascii="Arial" w:cs="Arial" w:eastAsia="Arial" w:hAnsi="Arial"/>
          <w:sz w:val="19"/>
          <w:szCs w:val="19"/>
          <w:b w:val="1"/>
          <w:bCs w:val="1"/>
          <w:i w:val="1"/>
          <w:iCs w:val="1"/>
          <w:color w:val="auto"/>
        </w:rPr>
        <w:t xml:space="preserve">Application of the Committee's Judgment. </w:t>
      </w:r>
      <w:r>
        <w:rPr>
          <w:rFonts w:ascii="Arial" w:cs="Arial" w:eastAsia="Arial" w:hAnsi="Arial"/>
          <w:sz w:val="19"/>
          <w:szCs w:val="19"/>
          <w:color w:val="auto"/>
        </w:rPr>
        <w:t>The analysis in the Consultant's report and its recommendations regarding the</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competitiveness and structure of compensation are factors that the Committee takes into account in its evaluation of compensation for the Named Executive Officers. The Committee considers the competitive market data presented by the Consultant as an important reference point to assure the Committee of the reasonableness of compensation levels and programs provided to executive management; however, actual compensation levels also take into account the individual executives and their responsibilities, skills, expertise, value added, and other external factors, such as the competitive marketplace for executive talent.</w:t>
      </w:r>
    </w:p>
    <w:p>
      <w:pPr>
        <w:spacing w:after="0" w:line="144" w:lineRule="exact"/>
        <w:rPr>
          <w:sz w:val="20"/>
          <w:szCs w:val="20"/>
          <w:color w:val="auto"/>
        </w:rPr>
      </w:pPr>
    </w:p>
    <w:p>
      <w:pPr>
        <w:jc w:val="both"/>
        <w:ind w:left="2" w:right="340"/>
        <w:spacing w:after="0" w:line="259" w:lineRule="auto"/>
        <w:rPr>
          <w:sz w:val="20"/>
          <w:szCs w:val="20"/>
          <w:color w:val="auto"/>
        </w:rPr>
      </w:pPr>
      <w:r>
        <w:rPr>
          <w:rFonts w:ascii="Arial" w:cs="Arial" w:eastAsia="Arial" w:hAnsi="Arial"/>
          <w:sz w:val="19"/>
          <w:szCs w:val="19"/>
          <w:color w:val="auto"/>
        </w:rPr>
        <w:t>In setting Mr. Edington's compensation and entering into his 2012 Supplemental Agreement and 2014 Supplemental Agreement, which are discussed later in the narrative disclosure to the Summary Compensation Table and the Grants of Plan-Based Awards table, the Committee took into account Mr. Edington's critical skills, nuclear expertise, the demand in the competitive marketplace for Chief Nuclear Officers, and his demonstrated performance in significantly improving the operating performance of Palo Verde.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152400</wp:posOffset>
            </wp:positionV>
            <wp:extent cx="841375" cy="16383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7"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42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51" w:name="page52"/>
    <w:bookmarkEnd w:id="51"/>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540"/>
        <w:spacing w:after="0" w:line="255" w:lineRule="auto"/>
        <w:rPr>
          <w:sz w:val="20"/>
          <w:szCs w:val="20"/>
          <w:color w:val="auto"/>
        </w:rPr>
      </w:pPr>
      <w:r>
        <w:rPr>
          <w:rFonts w:ascii="Arial" w:cs="Arial" w:eastAsia="Arial" w:hAnsi="Arial"/>
          <w:sz w:val="19"/>
          <w:szCs w:val="19"/>
          <w:color w:val="auto"/>
        </w:rPr>
        <w:t>Company, business unit, and individual officer performance, as well as compensation competitiveness, are the primary factors in determining the level of total direct compensation for the Named Executive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120"/>
        <w:spacing w:after="0" w:line="248" w:lineRule="auto"/>
        <w:rPr>
          <w:sz w:val="20"/>
          <w:szCs w:val="20"/>
          <w:color w:val="auto"/>
        </w:rPr>
      </w:pPr>
      <w:r>
        <w:rPr>
          <w:rFonts w:ascii="Arial" w:cs="Arial" w:eastAsia="Arial" w:hAnsi="Arial"/>
          <w:sz w:val="19"/>
          <w:szCs w:val="19"/>
          <w:color w:val="auto"/>
        </w:rPr>
        <w:t>Officers. While the Committee considers internal pay equity in making compensation decisions, we do not have a policy requiring any set levels of internal pay differentiation. Finally, the Committee evaluates other factors that it considers relevant, such as the financial condition of the Company and APS. The Company does not have a pre-established policy or target for allocation between cash and non-cash compensation or between short-term and long-term incentive compensation. The Committee does allocate between the two forms of equity grants as stated under the heading "Executive Summary" in this CD&amp;A.</w:t>
      </w:r>
    </w:p>
    <w:p>
      <w:pPr>
        <w:spacing w:after="0" w:line="147" w:lineRule="exact"/>
        <w:rPr>
          <w:rFonts w:ascii="Arial" w:cs="Arial" w:eastAsia="Arial" w:hAnsi="Arial"/>
          <w:sz w:val="13"/>
          <w:szCs w:val="13"/>
          <w:b w:val="1"/>
          <w:bCs w:val="1"/>
          <w:color w:val="FFFFFE"/>
        </w:rPr>
      </w:pPr>
    </w:p>
    <w:p>
      <w:pPr>
        <w:ind w:right="40"/>
        <w:spacing w:after="0" w:line="259" w:lineRule="auto"/>
        <w:rPr>
          <w:sz w:val="20"/>
          <w:szCs w:val="20"/>
          <w:color w:val="auto"/>
        </w:rPr>
      </w:pPr>
      <w:r>
        <w:rPr>
          <w:rFonts w:ascii="Arial" w:cs="Arial" w:eastAsia="Arial" w:hAnsi="Arial"/>
          <w:sz w:val="19"/>
          <w:szCs w:val="19"/>
          <w:color w:val="auto"/>
        </w:rPr>
        <w:t>As noted above, at our 2015 Annual Meeting, the shareholders cast an advisory vote on our executive compensation. The vote was not binding upon the Company, our directors or the Committee. Of the shareholder votes cast, more than 84% were "FOR" the compensation of the executives as disclosed in our 2015 Proxy Statement, excluding abstentions. The Committee was cognizant of this result in its consideration of the key components, design, implementation and amounts of our compensation program.</w:t>
      </w:r>
    </w:p>
    <w:p>
      <w:pPr>
        <w:spacing w:after="0" w:line="133"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2"/>
          <w:szCs w:val="22"/>
          <w:b w:val="1"/>
          <w:bCs w:val="1"/>
          <w:color w:val="3A5575"/>
        </w:rPr>
        <w:t>Executive Compensation Components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color w:val="auto"/>
        </w:rPr>
        <w:t>The Company's core executive compensation program consists of the following components: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964565</wp:posOffset>
            </wp:positionH>
            <wp:positionV relativeFrom="paragraph">
              <wp:posOffset>137795</wp:posOffset>
            </wp:positionV>
            <wp:extent cx="5335270" cy="267144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5335270" cy="2671445"/>
                    </a:xfrm>
                    <a:prstGeom prst="rect">
                      <a:avLst/>
                    </a:prstGeom>
                    <a:noFill/>
                  </pic:spPr>
                </pic:pic>
              </a:graphicData>
            </a:graphic>
          </wp:anchor>
        </w:drawing>
      </w: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370" w:lineRule="exact"/>
        <w:rPr>
          <w:rFonts w:ascii="Arial" w:cs="Arial" w:eastAsia="Arial" w:hAnsi="Arial"/>
          <w:sz w:val="13"/>
          <w:szCs w:val="13"/>
          <w:b w:val="1"/>
          <w:bCs w:val="1"/>
          <w:color w:val="FFFFFE"/>
        </w:rPr>
      </w:pPr>
    </w:p>
    <w:p>
      <w:pPr>
        <w:ind w:right="520"/>
        <w:spacing w:after="0" w:line="265" w:lineRule="auto"/>
        <w:rPr>
          <w:sz w:val="20"/>
          <w:szCs w:val="20"/>
          <w:color w:val="auto"/>
        </w:rPr>
      </w:pPr>
      <w:r>
        <w:rPr>
          <w:rFonts w:ascii="Arial" w:cs="Arial" w:eastAsia="Arial" w:hAnsi="Arial"/>
          <w:sz w:val="20"/>
          <w:szCs w:val="20"/>
          <w:color w:val="auto"/>
        </w:rPr>
        <w:t>In addition, the Company provides pension programs, a deferred compensation program, change of control arrangements and limited perquisites.</w:t>
      </w:r>
    </w:p>
    <w:p>
      <w:pPr>
        <w:spacing w:after="0" w:line="62"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43</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52" w:name="page53"/>
    <w:bookmarkEnd w:id="52"/>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0" w:right="100"/>
        <w:spacing w:after="0" w:line="255" w:lineRule="auto"/>
        <w:rPr>
          <w:sz w:val="20"/>
          <w:szCs w:val="20"/>
          <w:color w:val="auto"/>
        </w:rPr>
      </w:pPr>
      <w:r>
        <w:rPr>
          <w:rFonts w:ascii="Arial" w:cs="Arial" w:eastAsia="Arial" w:hAnsi="Arial"/>
          <w:sz w:val="19"/>
          <w:szCs w:val="19"/>
          <w:color w:val="auto"/>
        </w:rPr>
        <w:t>The chart below indicates how each element of our 2015 executive compensation program was intended to achieve our compensation objectives of aligning the interests of executives and shareholders, placing</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-274955</wp:posOffset>
            </wp:positionV>
            <wp:extent cx="1487805" cy="15557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a portion at risk, and attracting and retaining qualified, experienced executives.</w:t>
      </w:r>
    </w:p>
    <w:p>
      <w:pPr>
        <w:spacing w:after="0" w:line="200" w:lineRule="exact"/>
        <w:rPr>
          <w:rFonts w:ascii="Arial" w:cs="Arial" w:eastAsia="Arial" w:hAnsi="Arial"/>
          <w:sz w:val="13"/>
          <w:szCs w:val="13"/>
          <w:b w:val="1"/>
          <w:bCs w:val="1"/>
          <w:color w:val="FFFFFE"/>
        </w:rPr>
      </w:pPr>
    </w:p>
    <w:p>
      <w:pPr>
        <w:spacing w:after="0" w:line="317" w:lineRule="exact"/>
        <w:rPr>
          <w:rFonts w:ascii="Arial" w:cs="Arial" w:eastAsia="Arial" w:hAnsi="Arial"/>
          <w:sz w:val="13"/>
          <w:szCs w:val="13"/>
          <w:b w:val="1"/>
          <w:bCs w:val="1"/>
          <w:color w:val="FFFFFE"/>
        </w:rPr>
      </w:pPr>
    </w:p>
    <w:tbl>
      <w:tblPr>
        <w:tblLayout w:type="fixed"/>
        <w:tblInd w:w="100" w:type="dxa"/>
        <w:tblCellMar>
          <w:top w:w="0" w:type="dxa"/>
          <w:left w:w="0" w:type="dxa"/>
          <w:bottom w:w="0" w:type="dxa"/>
          <w:right w:w="0" w:type="dxa"/>
        </w:tblCellMar>
      </w:tblPr>
      <w:tr>
        <w:trPr>
          <w:trHeight w:val="203"/>
        </w:trPr>
        <w:tc>
          <w:tcPr>
            <w:tcW w:w="1940" w:type="dxa"/>
            <w:vAlign w:val="bottom"/>
          </w:tcPr>
          <w:p>
            <w:pPr>
              <w:jc w:val="center"/>
              <w:spacing w:after="0"/>
              <w:rPr>
                <w:sz w:val="20"/>
                <w:szCs w:val="20"/>
                <w:color w:val="auto"/>
              </w:rPr>
            </w:pPr>
            <w:r>
              <w:rPr>
                <w:rFonts w:ascii="Arial" w:cs="Arial" w:eastAsia="Arial" w:hAnsi="Arial"/>
                <w:sz w:val="16"/>
                <w:szCs w:val="16"/>
                <w:b w:val="1"/>
                <w:bCs w:val="1"/>
                <w:color w:val="3A5575"/>
              </w:rPr>
              <w:t>2015</w:t>
            </w:r>
          </w:p>
        </w:tc>
        <w:tc>
          <w:tcPr>
            <w:tcW w:w="3060" w:type="dxa"/>
            <w:vAlign w:val="bottom"/>
            <w:tcBorders>
              <w:bottom w:val="single" w:sz="8" w:color="3A5575"/>
            </w:tcBorders>
            <w:gridSpan w:val="3"/>
          </w:tcPr>
          <w:p>
            <w:pPr>
              <w:jc w:val="center"/>
              <w:spacing w:after="0"/>
              <w:rPr>
                <w:sz w:val="20"/>
                <w:szCs w:val="20"/>
                <w:color w:val="auto"/>
              </w:rPr>
            </w:pPr>
            <w:r>
              <w:rPr>
                <w:rFonts w:ascii="Arial" w:cs="Arial" w:eastAsia="Arial" w:hAnsi="Arial"/>
                <w:sz w:val="16"/>
                <w:szCs w:val="16"/>
                <w:b w:val="1"/>
                <w:bCs w:val="1"/>
                <w:color w:val="3A5575"/>
                <w:w w:val="98"/>
              </w:rPr>
              <w:t>WHY WE PAY IT</w:t>
            </w:r>
          </w:p>
        </w:tc>
        <w:tc>
          <w:tcPr>
            <w:tcW w:w="6420" w:type="dxa"/>
            <w:vAlign w:val="bottom"/>
          </w:tcPr>
          <w:p>
            <w:pPr>
              <w:spacing w:after="0"/>
              <w:rPr>
                <w:sz w:val="17"/>
                <w:szCs w:val="17"/>
                <w:color w:val="auto"/>
              </w:rPr>
            </w:pPr>
          </w:p>
        </w:tc>
      </w:tr>
      <w:tr>
        <w:trPr>
          <w:trHeight w:val="157"/>
        </w:trPr>
        <w:tc>
          <w:tcPr>
            <w:tcW w:w="1940" w:type="dxa"/>
            <w:vAlign w:val="bottom"/>
          </w:tcPr>
          <w:p>
            <w:pPr>
              <w:jc w:val="center"/>
              <w:spacing w:after="0" w:line="157" w:lineRule="exact"/>
              <w:rPr>
                <w:sz w:val="20"/>
                <w:szCs w:val="20"/>
                <w:color w:val="auto"/>
              </w:rPr>
            </w:pPr>
            <w:r>
              <w:rPr>
                <w:rFonts w:ascii="Arial" w:cs="Arial" w:eastAsia="Arial" w:hAnsi="Arial"/>
                <w:sz w:val="16"/>
                <w:szCs w:val="16"/>
                <w:b w:val="1"/>
                <w:bCs w:val="1"/>
                <w:color w:val="3A5575"/>
                <w:w w:val="99"/>
              </w:rPr>
              <w:t>COMPENSATION</w:t>
            </w:r>
          </w:p>
        </w:tc>
        <w:tc>
          <w:tcPr>
            <w:tcW w:w="1100" w:type="dxa"/>
            <w:vAlign w:val="bottom"/>
          </w:tcPr>
          <w:p>
            <w:pPr>
              <w:spacing w:after="0"/>
              <w:rPr>
                <w:sz w:val="13"/>
                <w:szCs w:val="13"/>
                <w:color w:val="auto"/>
              </w:rPr>
            </w:pPr>
          </w:p>
        </w:tc>
        <w:tc>
          <w:tcPr>
            <w:tcW w:w="840" w:type="dxa"/>
            <w:vAlign w:val="bottom"/>
          </w:tcPr>
          <w:p>
            <w:pPr>
              <w:jc w:val="center"/>
              <w:spacing w:after="0" w:line="157" w:lineRule="exact"/>
              <w:rPr>
                <w:sz w:val="20"/>
                <w:szCs w:val="20"/>
                <w:color w:val="auto"/>
              </w:rPr>
            </w:pPr>
            <w:r>
              <w:rPr>
                <w:rFonts w:ascii="Arial" w:cs="Arial" w:eastAsia="Arial" w:hAnsi="Arial"/>
                <w:sz w:val="16"/>
                <w:szCs w:val="16"/>
                <w:b w:val="1"/>
                <w:bCs w:val="1"/>
                <w:color w:val="3A5575"/>
                <w:w w:val="91"/>
              </w:rPr>
              <w:t>PAY AT</w:t>
            </w:r>
          </w:p>
        </w:tc>
        <w:tc>
          <w:tcPr>
            <w:tcW w:w="1120" w:type="dxa"/>
            <w:vAlign w:val="bottom"/>
          </w:tcPr>
          <w:p>
            <w:pPr>
              <w:jc w:val="center"/>
              <w:ind w:left="20"/>
              <w:spacing w:after="0" w:line="157" w:lineRule="exact"/>
              <w:rPr>
                <w:sz w:val="20"/>
                <w:szCs w:val="20"/>
                <w:color w:val="auto"/>
              </w:rPr>
            </w:pPr>
            <w:r>
              <w:rPr>
                <w:rFonts w:ascii="Arial" w:cs="Arial" w:eastAsia="Arial" w:hAnsi="Arial"/>
                <w:sz w:val="16"/>
                <w:szCs w:val="16"/>
                <w:b w:val="1"/>
                <w:bCs w:val="1"/>
                <w:color w:val="3A5575"/>
                <w:w w:val="97"/>
              </w:rPr>
              <w:t>ATTRACT</w:t>
            </w:r>
          </w:p>
        </w:tc>
        <w:tc>
          <w:tcPr>
            <w:tcW w:w="6420" w:type="dxa"/>
            <w:vAlign w:val="bottom"/>
          </w:tcPr>
          <w:p>
            <w:pPr>
              <w:spacing w:after="0"/>
              <w:rPr>
                <w:sz w:val="13"/>
                <w:szCs w:val="13"/>
                <w:color w:val="auto"/>
              </w:rPr>
            </w:pPr>
          </w:p>
        </w:tc>
      </w:tr>
      <w:tr>
        <w:trPr>
          <w:trHeight w:val="203"/>
        </w:trPr>
        <w:tc>
          <w:tcPr>
            <w:tcW w:w="1940" w:type="dxa"/>
            <w:vAlign w:val="bottom"/>
            <w:tcBorders>
              <w:bottom w:val="single" w:sz="8" w:color="646466"/>
            </w:tcBorders>
          </w:tcPr>
          <w:p>
            <w:pPr>
              <w:jc w:val="center"/>
              <w:spacing w:after="0"/>
              <w:rPr>
                <w:sz w:val="20"/>
                <w:szCs w:val="20"/>
                <w:color w:val="auto"/>
              </w:rPr>
            </w:pPr>
            <w:r>
              <w:rPr>
                <w:rFonts w:ascii="Arial" w:cs="Arial" w:eastAsia="Arial" w:hAnsi="Arial"/>
                <w:sz w:val="16"/>
                <w:szCs w:val="16"/>
                <w:b w:val="1"/>
                <w:bCs w:val="1"/>
                <w:color w:val="3A5575"/>
                <w:w w:val="99"/>
              </w:rPr>
              <w:t>ELEMENT</w:t>
            </w:r>
          </w:p>
        </w:tc>
        <w:tc>
          <w:tcPr>
            <w:tcW w:w="1100" w:type="dxa"/>
            <w:vAlign w:val="bottom"/>
            <w:tcBorders>
              <w:bottom w:val="single" w:sz="8" w:color="646466"/>
            </w:tcBorders>
          </w:tcPr>
          <w:p>
            <w:pPr>
              <w:jc w:val="center"/>
              <w:ind w:right="40"/>
              <w:spacing w:after="0"/>
              <w:rPr>
                <w:sz w:val="20"/>
                <w:szCs w:val="20"/>
                <w:color w:val="auto"/>
              </w:rPr>
            </w:pPr>
            <w:r>
              <w:rPr>
                <w:rFonts w:ascii="Arial" w:cs="Arial" w:eastAsia="Arial" w:hAnsi="Arial"/>
                <w:sz w:val="16"/>
                <w:szCs w:val="16"/>
                <w:b w:val="1"/>
                <w:bCs w:val="1"/>
                <w:color w:val="3A5575"/>
                <w:w w:val="98"/>
              </w:rPr>
              <w:t>ALIGNMENT</w:t>
            </w:r>
          </w:p>
        </w:tc>
        <w:tc>
          <w:tcPr>
            <w:tcW w:w="840" w:type="dxa"/>
            <w:vAlign w:val="bottom"/>
            <w:tcBorders>
              <w:bottom w:val="single" w:sz="8" w:color="646466"/>
            </w:tcBorders>
          </w:tcPr>
          <w:p>
            <w:pPr>
              <w:jc w:val="center"/>
              <w:spacing w:after="0"/>
              <w:rPr>
                <w:sz w:val="20"/>
                <w:szCs w:val="20"/>
                <w:color w:val="auto"/>
              </w:rPr>
            </w:pPr>
            <w:r>
              <w:rPr>
                <w:rFonts w:ascii="Arial" w:cs="Arial" w:eastAsia="Arial" w:hAnsi="Arial"/>
                <w:sz w:val="16"/>
                <w:szCs w:val="16"/>
                <w:b w:val="1"/>
                <w:bCs w:val="1"/>
                <w:color w:val="3A5575"/>
                <w:w w:val="99"/>
              </w:rPr>
              <w:t>RISK</w:t>
            </w:r>
          </w:p>
        </w:tc>
        <w:tc>
          <w:tcPr>
            <w:tcW w:w="1120" w:type="dxa"/>
            <w:vAlign w:val="bottom"/>
            <w:tcBorders>
              <w:bottom w:val="single" w:sz="8" w:color="646466"/>
            </w:tcBorders>
          </w:tcPr>
          <w:p>
            <w:pPr>
              <w:jc w:val="center"/>
              <w:ind w:left="40"/>
              <w:spacing w:after="0"/>
              <w:rPr>
                <w:sz w:val="20"/>
                <w:szCs w:val="20"/>
                <w:color w:val="auto"/>
              </w:rPr>
            </w:pPr>
            <w:r>
              <w:rPr>
                <w:rFonts w:ascii="Arial" w:cs="Arial" w:eastAsia="Arial" w:hAnsi="Arial"/>
                <w:sz w:val="16"/>
                <w:szCs w:val="16"/>
                <w:b w:val="1"/>
                <w:bCs w:val="1"/>
                <w:color w:val="3A5575"/>
                <w:w w:val="97"/>
              </w:rPr>
              <w:t>AND RETAIN</w:t>
            </w:r>
          </w:p>
        </w:tc>
        <w:tc>
          <w:tcPr>
            <w:tcW w:w="6420" w:type="dxa"/>
            <w:vAlign w:val="bottom"/>
            <w:tcBorders>
              <w:bottom w:val="single" w:sz="8" w:color="646466"/>
            </w:tcBorders>
          </w:tcPr>
          <w:p>
            <w:pPr>
              <w:ind w:left="2800"/>
              <w:spacing w:after="0"/>
              <w:rPr>
                <w:sz w:val="20"/>
                <w:szCs w:val="20"/>
                <w:color w:val="auto"/>
              </w:rPr>
            </w:pPr>
            <w:r>
              <w:rPr>
                <w:rFonts w:ascii="Arial" w:cs="Arial" w:eastAsia="Arial" w:hAnsi="Arial"/>
                <w:sz w:val="16"/>
                <w:szCs w:val="16"/>
                <w:b w:val="1"/>
                <w:bCs w:val="1"/>
                <w:color w:val="3A5575"/>
              </w:rPr>
              <w:t>COMMENTS</w:t>
            </w:r>
          </w:p>
        </w:tc>
      </w:tr>
      <w:tr>
        <w:trPr>
          <w:trHeight w:val="159"/>
        </w:trPr>
        <w:tc>
          <w:tcPr>
            <w:tcW w:w="1940" w:type="dxa"/>
            <w:vAlign w:val="bottom"/>
            <w:shd w:val="clear" w:color="auto" w:fill="E3E5EB"/>
          </w:tcPr>
          <w:p>
            <w:pPr>
              <w:jc w:val="center"/>
              <w:spacing w:after="0" w:line="159" w:lineRule="exact"/>
              <w:rPr>
                <w:sz w:val="20"/>
                <w:szCs w:val="20"/>
                <w:color w:val="auto"/>
              </w:rPr>
            </w:pPr>
            <w:r>
              <w:rPr>
                <w:rFonts w:ascii="Arial" w:cs="Arial" w:eastAsia="Arial" w:hAnsi="Arial"/>
                <w:sz w:val="16"/>
                <w:szCs w:val="16"/>
                <w:color w:val="auto"/>
                <w:w w:val="99"/>
              </w:rPr>
              <w:t>Base Salary</w:t>
            </w:r>
          </w:p>
        </w:tc>
        <w:tc>
          <w:tcPr>
            <w:tcW w:w="1100" w:type="dxa"/>
            <w:vAlign w:val="bottom"/>
            <w:shd w:val="clear" w:color="auto" w:fill="E3E5EB"/>
          </w:tcPr>
          <w:p>
            <w:pPr>
              <w:spacing w:after="0"/>
              <w:rPr>
                <w:sz w:val="13"/>
                <w:szCs w:val="13"/>
                <w:color w:val="auto"/>
              </w:rPr>
            </w:pPr>
          </w:p>
        </w:tc>
        <w:tc>
          <w:tcPr>
            <w:tcW w:w="840" w:type="dxa"/>
            <w:vAlign w:val="bottom"/>
            <w:shd w:val="clear" w:color="auto" w:fill="E3E5EB"/>
          </w:tcPr>
          <w:p>
            <w:pPr>
              <w:spacing w:after="0"/>
              <w:rPr>
                <w:sz w:val="13"/>
                <w:szCs w:val="13"/>
                <w:color w:val="auto"/>
              </w:rPr>
            </w:pPr>
          </w:p>
        </w:tc>
        <w:tc>
          <w:tcPr>
            <w:tcW w:w="1120" w:type="dxa"/>
            <w:vAlign w:val="bottom"/>
            <w:shd w:val="clear" w:color="auto" w:fill="E3E5EB"/>
          </w:tcPr>
          <w:p>
            <w:pPr>
              <w:jc w:val="center"/>
              <w:ind w:left="40"/>
              <w:spacing w:after="0" w:line="159" w:lineRule="exact"/>
              <w:rPr>
                <w:sz w:val="20"/>
                <w:szCs w:val="20"/>
                <w:color w:val="auto"/>
              </w:rPr>
            </w:pPr>
            <w:r>
              <w:rPr>
                <w:rFonts w:ascii="Times New Roman" w:cs="Times New Roman" w:eastAsia="Times New Roman" w:hAnsi="Times New Roman"/>
                <w:sz w:val="16"/>
                <w:szCs w:val="16"/>
                <w:color w:val="3A5575"/>
                <w:w w:val="99"/>
              </w:rPr>
              <w:t>ü</w:t>
            </w:r>
          </w:p>
        </w:tc>
        <w:tc>
          <w:tcPr>
            <w:tcW w:w="6420" w:type="dxa"/>
            <w:vAlign w:val="bottom"/>
            <w:shd w:val="clear" w:color="auto" w:fill="E3E5EB"/>
          </w:tcPr>
          <w:p>
            <w:pPr>
              <w:ind w:left="100"/>
              <w:spacing w:after="0" w:line="159" w:lineRule="exact"/>
              <w:rPr>
                <w:sz w:val="20"/>
                <w:szCs w:val="20"/>
                <w:color w:val="auto"/>
              </w:rPr>
            </w:pPr>
            <w:r>
              <w:rPr>
                <w:rFonts w:ascii="Arial" w:cs="Arial" w:eastAsia="Arial" w:hAnsi="Arial"/>
                <w:sz w:val="16"/>
                <w:szCs w:val="16"/>
                <w:color w:val="auto"/>
                <w:w w:val="99"/>
              </w:rPr>
              <w:t>Salary is based on experience and responsibilities and is benchmarked to the Peer Group</w:t>
            </w:r>
          </w:p>
        </w:tc>
      </w:tr>
      <w:tr>
        <w:trPr>
          <w:trHeight w:val="201"/>
        </w:trPr>
        <w:tc>
          <w:tcPr>
            <w:tcW w:w="1940" w:type="dxa"/>
            <w:vAlign w:val="bottom"/>
            <w:shd w:val="clear" w:color="auto" w:fill="E3E5EB"/>
          </w:tcPr>
          <w:p>
            <w:pPr>
              <w:spacing w:after="0"/>
              <w:rPr>
                <w:sz w:val="17"/>
                <w:szCs w:val="17"/>
                <w:color w:val="auto"/>
              </w:rPr>
            </w:pPr>
          </w:p>
        </w:tc>
        <w:tc>
          <w:tcPr>
            <w:tcW w:w="1100" w:type="dxa"/>
            <w:vAlign w:val="bottom"/>
            <w:shd w:val="clear" w:color="auto" w:fill="E3E5EB"/>
          </w:tcPr>
          <w:p>
            <w:pPr>
              <w:spacing w:after="0"/>
              <w:rPr>
                <w:sz w:val="17"/>
                <w:szCs w:val="17"/>
                <w:color w:val="auto"/>
              </w:rPr>
            </w:pPr>
          </w:p>
        </w:tc>
        <w:tc>
          <w:tcPr>
            <w:tcW w:w="840" w:type="dxa"/>
            <w:vAlign w:val="bottom"/>
            <w:shd w:val="clear" w:color="auto" w:fill="E3E5EB"/>
          </w:tcPr>
          <w:p>
            <w:pPr>
              <w:spacing w:after="0"/>
              <w:rPr>
                <w:sz w:val="17"/>
                <w:szCs w:val="17"/>
                <w:color w:val="auto"/>
              </w:rPr>
            </w:pPr>
          </w:p>
        </w:tc>
        <w:tc>
          <w:tcPr>
            <w:tcW w:w="1120" w:type="dxa"/>
            <w:vAlign w:val="bottom"/>
            <w:shd w:val="clear" w:color="auto" w:fill="E3E5EB"/>
          </w:tcPr>
          <w:p>
            <w:pPr>
              <w:spacing w:after="0"/>
              <w:rPr>
                <w:sz w:val="17"/>
                <w:szCs w:val="17"/>
                <w:color w:val="auto"/>
              </w:rPr>
            </w:pPr>
          </w:p>
        </w:tc>
        <w:tc>
          <w:tcPr>
            <w:tcW w:w="6420" w:type="dxa"/>
            <w:vAlign w:val="bottom"/>
            <w:shd w:val="clear" w:color="auto" w:fill="E3E5EB"/>
          </w:tcPr>
          <w:p>
            <w:pPr>
              <w:ind w:left="100"/>
              <w:spacing w:after="0"/>
              <w:rPr>
                <w:sz w:val="20"/>
                <w:szCs w:val="20"/>
                <w:color w:val="auto"/>
              </w:rPr>
            </w:pPr>
            <w:r>
              <w:rPr>
                <w:rFonts w:ascii="Arial" w:cs="Arial" w:eastAsia="Arial" w:hAnsi="Arial"/>
                <w:sz w:val="16"/>
                <w:szCs w:val="16"/>
                <w:color w:val="auto"/>
              </w:rPr>
              <w:t>and market conditions to maintain competitive levels.</w:t>
            </w:r>
          </w:p>
        </w:tc>
      </w:tr>
      <w:tr>
        <w:trPr>
          <w:trHeight w:val="167"/>
        </w:trPr>
        <w:tc>
          <w:tcPr>
            <w:tcW w:w="1940" w:type="dxa"/>
            <w:vAlign w:val="bottom"/>
          </w:tcPr>
          <w:p>
            <w:pPr>
              <w:jc w:val="center"/>
              <w:spacing w:after="0" w:line="167" w:lineRule="exact"/>
              <w:rPr>
                <w:sz w:val="20"/>
                <w:szCs w:val="20"/>
                <w:color w:val="auto"/>
              </w:rPr>
            </w:pPr>
            <w:r>
              <w:rPr>
                <w:rFonts w:ascii="Arial" w:cs="Arial" w:eastAsia="Arial" w:hAnsi="Arial"/>
                <w:sz w:val="16"/>
                <w:szCs w:val="16"/>
                <w:color w:val="auto"/>
                <w:w w:val="99"/>
              </w:rPr>
              <w:t>Annual Cash Incentive</w:t>
            </w:r>
          </w:p>
        </w:tc>
        <w:tc>
          <w:tcPr>
            <w:tcW w:w="1100" w:type="dxa"/>
            <w:vAlign w:val="bottom"/>
          </w:tcPr>
          <w:p>
            <w:pPr>
              <w:jc w:val="center"/>
              <w:ind w:right="6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840" w:type="dxa"/>
            <w:vAlign w:val="bottom"/>
          </w:tcPr>
          <w:p>
            <w:pPr>
              <w:jc w:val="center"/>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1120" w:type="dxa"/>
            <w:vAlign w:val="bottom"/>
          </w:tcPr>
          <w:p>
            <w:pPr>
              <w:jc w:val="center"/>
              <w:ind w:left="4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6420" w:type="dxa"/>
            <w:vAlign w:val="bottom"/>
          </w:tcPr>
          <w:p>
            <w:pPr>
              <w:ind w:left="100"/>
              <w:spacing w:after="0" w:line="167" w:lineRule="exact"/>
              <w:rPr>
                <w:sz w:val="20"/>
                <w:szCs w:val="20"/>
                <w:color w:val="auto"/>
              </w:rPr>
            </w:pPr>
            <w:r>
              <w:rPr>
                <w:rFonts w:ascii="Arial" w:cs="Arial" w:eastAsia="Arial" w:hAnsi="Arial"/>
                <w:sz w:val="16"/>
                <w:szCs w:val="16"/>
                <w:color w:val="auto"/>
              </w:rPr>
              <w:t>Annual cash incentive is designed to reward achievement of annual performance</w:t>
            </w:r>
          </w:p>
        </w:tc>
      </w:tr>
      <w:tr>
        <w:trPr>
          <w:trHeight w:val="201"/>
        </w:trPr>
        <w:tc>
          <w:tcPr>
            <w:tcW w:w="194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6420" w:type="dxa"/>
            <w:vAlign w:val="bottom"/>
          </w:tcPr>
          <w:p>
            <w:pPr>
              <w:ind w:left="100"/>
              <w:spacing w:after="0"/>
              <w:rPr>
                <w:sz w:val="20"/>
                <w:szCs w:val="20"/>
                <w:color w:val="auto"/>
              </w:rPr>
            </w:pPr>
            <w:r>
              <w:rPr>
                <w:rFonts w:ascii="Arial" w:cs="Arial" w:eastAsia="Arial" w:hAnsi="Arial"/>
                <w:sz w:val="16"/>
                <w:szCs w:val="16"/>
                <w:color w:val="auto"/>
              </w:rPr>
              <w:t>objectives, which are designed to enhance shareholder value.</w:t>
            </w:r>
          </w:p>
        </w:tc>
      </w:tr>
      <w:tr>
        <w:trPr>
          <w:trHeight w:val="167"/>
        </w:trPr>
        <w:tc>
          <w:tcPr>
            <w:tcW w:w="19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9"/>
              </w:rPr>
              <w:t>Performance Shares</w:t>
            </w:r>
          </w:p>
        </w:tc>
        <w:tc>
          <w:tcPr>
            <w:tcW w:w="1100" w:type="dxa"/>
            <w:vAlign w:val="bottom"/>
            <w:shd w:val="clear" w:color="auto" w:fill="E3E5EB"/>
          </w:tcPr>
          <w:p>
            <w:pPr>
              <w:jc w:val="center"/>
              <w:ind w:right="6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840" w:type="dxa"/>
            <w:vAlign w:val="bottom"/>
            <w:shd w:val="clear" w:color="auto" w:fill="E3E5EB"/>
          </w:tcPr>
          <w:p>
            <w:pPr>
              <w:jc w:val="center"/>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1120" w:type="dxa"/>
            <w:vAlign w:val="bottom"/>
            <w:shd w:val="clear" w:color="auto" w:fill="E3E5EB"/>
          </w:tcPr>
          <w:p>
            <w:pPr>
              <w:jc w:val="center"/>
              <w:ind w:left="4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6420" w:type="dxa"/>
            <w:vAlign w:val="bottom"/>
            <w:shd w:val="clear" w:color="auto" w:fill="E3E5EB"/>
          </w:tcPr>
          <w:p>
            <w:pPr>
              <w:ind w:left="100"/>
              <w:spacing w:after="0" w:line="167" w:lineRule="exact"/>
              <w:rPr>
                <w:sz w:val="20"/>
                <w:szCs w:val="20"/>
                <w:color w:val="auto"/>
              </w:rPr>
            </w:pPr>
            <w:r>
              <w:rPr>
                <w:rFonts w:ascii="Arial" w:cs="Arial" w:eastAsia="Arial" w:hAnsi="Arial"/>
                <w:sz w:val="16"/>
                <w:szCs w:val="16"/>
                <w:color w:val="auto"/>
              </w:rPr>
              <w:t>Performance shares reward achievement of long-term performance objectives — payout</w:t>
            </w:r>
          </w:p>
        </w:tc>
      </w:tr>
      <w:tr>
        <w:trPr>
          <w:trHeight w:val="184"/>
        </w:trPr>
        <w:tc>
          <w:tcPr>
            <w:tcW w:w="1940" w:type="dxa"/>
            <w:vAlign w:val="bottom"/>
            <w:shd w:val="clear" w:color="auto" w:fill="E3E5EB"/>
          </w:tcPr>
          <w:p>
            <w:pPr>
              <w:spacing w:after="0"/>
              <w:rPr>
                <w:sz w:val="16"/>
                <w:szCs w:val="16"/>
                <w:color w:val="auto"/>
              </w:rPr>
            </w:pPr>
          </w:p>
        </w:tc>
        <w:tc>
          <w:tcPr>
            <w:tcW w:w="1100" w:type="dxa"/>
            <w:vAlign w:val="bottom"/>
            <w:shd w:val="clear" w:color="auto" w:fill="E3E5EB"/>
          </w:tcPr>
          <w:p>
            <w:pPr>
              <w:spacing w:after="0"/>
              <w:rPr>
                <w:sz w:val="16"/>
                <w:szCs w:val="16"/>
                <w:color w:val="auto"/>
              </w:rPr>
            </w:pPr>
          </w:p>
        </w:tc>
        <w:tc>
          <w:tcPr>
            <w:tcW w:w="840" w:type="dxa"/>
            <w:vAlign w:val="bottom"/>
            <w:shd w:val="clear" w:color="auto" w:fill="E3E5EB"/>
          </w:tcPr>
          <w:p>
            <w:pPr>
              <w:spacing w:after="0"/>
              <w:rPr>
                <w:sz w:val="16"/>
                <w:szCs w:val="16"/>
                <w:color w:val="auto"/>
              </w:rPr>
            </w:pPr>
          </w:p>
        </w:tc>
        <w:tc>
          <w:tcPr>
            <w:tcW w:w="1120" w:type="dxa"/>
            <w:vAlign w:val="bottom"/>
            <w:shd w:val="clear" w:color="auto" w:fill="E3E5EB"/>
          </w:tcPr>
          <w:p>
            <w:pPr>
              <w:spacing w:after="0"/>
              <w:rPr>
                <w:sz w:val="16"/>
                <w:szCs w:val="16"/>
                <w:color w:val="auto"/>
              </w:rPr>
            </w:pPr>
          </w:p>
        </w:tc>
        <w:tc>
          <w:tcPr>
            <w:tcW w:w="6420" w:type="dxa"/>
            <w:vAlign w:val="bottom"/>
            <w:shd w:val="clear" w:color="auto" w:fill="E3E5EB"/>
          </w:tcPr>
          <w:p>
            <w:pPr>
              <w:ind w:left="100"/>
              <w:spacing w:after="0"/>
              <w:rPr>
                <w:sz w:val="20"/>
                <w:szCs w:val="20"/>
                <w:color w:val="auto"/>
              </w:rPr>
            </w:pPr>
            <w:r>
              <w:rPr>
                <w:rFonts w:ascii="Arial" w:cs="Arial" w:eastAsia="Arial" w:hAnsi="Arial"/>
                <w:sz w:val="16"/>
                <w:szCs w:val="16"/>
                <w:color w:val="auto"/>
              </w:rPr>
              <w:t>is tied to seven performance metrics that are intended to enhance shareholder value and</w:t>
            </w:r>
          </w:p>
        </w:tc>
      </w:tr>
      <w:tr>
        <w:trPr>
          <w:trHeight w:val="214"/>
        </w:trPr>
        <w:tc>
          <w:tcPr>
            <w:tcW w:w="1940" w:type="dxa"/>
            <w:vAlign w:val="bottom"/>
            <w:shd w:val="clear" w:color="auto" w:fill="E3E5EB"/>
          </w:tcPr>
          <w:p>
            <w:pPr>
              <w:spacing w:after="0"/>
              <w:rPr>
                <w:sz w:val="18"/>
                <w:szCs w:val="18"/>
                <w:color w:val="auto"/>
              </w:rPr>
            </w:pPr>
          </w:p>
        </w:tc>
        <w:tc>
          <w:tcPr>
            <w:tcW w:w="1100" w:type="dxa"/>
            <w:vAlign w:val="bottom"/>
            <w:shd w:val="clear" w:color="auto" w:fill="E3E5EB"/>
          </w:tcPr>
          <w:p>
            <w:pPr>
              <w:spacing w:after="0"/>
              <w:rPr>
                <w:sz w:val="18"/>
                <w:szCs w:val="18"/>
                <w:color w:val="auto"/>
              </w:rPr>
            </w:pPr>
          </w:p>
        </w:tc>
        <w:tc>
          <w:tcPr>
            <w:tcW w:w="840" w:type="dxa"/>
            <w:vAlign w:val="bottom"/>
            <w:shd w:val="clear" w:color="auto" w:fill="E3E5EB"/>
          </w:tcPr>
          <w:p>
            <w:pPr>
              <w:spacing w:after="0"/>
              <w:rPr>
                <w:sz w:val="18"/>
                <w:szCs w:val="18"/>
                <w:color w:val="auto"/>
              </w:rPr>
            </w:pPr>
          </w:p>
        </w:tc>
        <w:tc>
          <w:tcPr>
            <w:tcW w:w="1120" w:type="dxa"/>
            <w:vAlign w:val="bottom"/>
            <w:shd w:val="clear" w:color="auto" w:fill="E3E5EB"/>
          </w:tcPr>
          <w:p>
            <w:pPr>
              <w:spacing w:after="0"/>
              <w:rPr>
                <w:sz w:val="18"/>
                <w:szCs w:val="18"/>
                <w:color w:val="auto"/>
              </w:rPr>
            </w:pPr>
          </w:p>
        </w:tc>
        <w:tc>
          <w:tcPr>
            <w:tcW w:w="6420" w:type="dxa"/>
            <w:vAlign w:val="bottom"/>
            <w:shd w:val="clear" w:color="auto" w:fill="E3E5EB"/>
          </w:tcPr>
          <w:p>
            <w:pPr>
              <w:ind w:left="100"/>
              <w:spacing w:after="0"/>
              <w:rPr>
                <w:sz w:val="20"/>
                <w:szCs w:val="20"/>
                <w:color w:val="auto"/>
              </w:rPr>
            </w:pPr>
            <w:r>
              <w:rPr>
                <w:rFonts w:ascii="Arial" w:cs="Arial" w:eastAsia="Arial" w:hAnsi="Arial"/>
                <w:sz w:val="16"/>
                <w:szCs w:val="16"/>
                <w:color w:val="auto"/>
              </w:rPr>
              <w:t>the payout is determined at the end of a three-year performance cycle.</w:t>
            </w:r>
          </w:p>
        </w:tc>
      </w:tr>
      <w:tr>
        <w:trPr>
          <w:trHeight w:val="367"/>
        </w:trPr>
        <w:tc>
          <w:tcPr>
            <w:tcW w:w="1940" w:type="dxa"/>
            <w:vAlign w:val="bottom"/>
            <w:shd w:val="clear" w:color="auto" w:fill="E3E5EB"/>
          </w:tcPr>
          <w:p>
            <w:pPr>
              <w:spacing w:after="0"/>
              <w:rPr>
                <w:sz w:val="24"/>
                <w:szCs w:val="24"/>
                <w:color w:val="auto"/>
              </w:rPr>
            </w:pPr>
          </w:p>
        </w:tc>
        <w:tc>
          <w:tcPr>
            <w:tcW w:w="1100" w:type="dxa"/>
            <w:vAlign w:val="bottom"/>
            <w:shd w:val="clear" w:color="auto" w:fill="E3E5EB"/>
          </w:tcPr>
          <w:p>
            <w:pPr>
              <w:spacing w:after="0"/>
              <w:rPr>
                <w:sz w:val="24"/>
                <w:szCs w:val="24"/>
                <w:color w:val="auto"/>
              </w:rPr>
            </w:pPr>
          </w:p>
        </w:tc>
        <w:tc>
          <w:tcPr>
            <w:tcW w:w="840" w:type="dxa"/>
            <w:vAlign w:val="bottom"/>
            <w:shd w:val="clear" w:color="auto" w:fill="E3E5EB"/>
          </w:tcPr>
          <w:p>
            <w:pPr>
              <w:spacing w:after="0"/>
              <w:rPr>
                <w:sz w:val="24"/>
                <w:szCs w:val="24"/>
                <w:color w:val="auto"/>
              </w:rPr>
            </w:pPr>
          </w:p>
        </w:tc>
        <w:tc>
          <w:tcPr>
            <w:tcW w:w="1120" w:type="dxa"/>
            <w:vAlign w:val="bottom"/>
            <w:shd w:val="clear" w:color="auto" w:fill="E3E5EB"/>
          </w:tcPr>
          <w:p>
            <w:pPr>
              <w:spacing w:after="0"/>
              <w:rPr>
                <w:sz w:val="24"/>
                <w:szCs w:val="24"/>
                <w:color w:val="auto"/>
              </w:rPr>
            </w:pPr>
          </w:p>
        </w:tc>
        <w:tc>
          <w:tcPr>
            <w:tcW w:w="6420" w:type="dxa"/>
            <w:vAlign w:val="bottom"/>
            <w:shd w:val="clear" w:color="auto" w:fill="E3E5EB"/>
          </w:tcPr>
          <w:p>
            <w:pPr>
              <w:ind w:left="100"/>
              <w:spacing w:after="0"/>
              <w:rPr>
                <w:sz w:val="20"/>
                <w:szCs w:val="20"/>
                <w:color w:val="auto"/>
              </w:rPr>
            </w:pPr>
            <w:r>
              <w:rPr>
                <w:rFonts w:ascii="Arial" w:cs="Arial" w:eastAsia="Arial" w:hAnsi="Arial"/>
                <w:sz w:val="16"/>
                <w:szCs w:val="16"/>
                <w:color w:val="auto"/>
              </w:rPr>
              <w:t>Performance shares also encourage retention.</w:t>
            </w:r>
          </w:p>
        </w:tc>
      </w:tr>
      <w:tr>
        <w:trPr>
          <w:trHeight w:val="167"/>
        </w:trPr>
        <w:tc>
          <w:tcPr>
            <w:tcW w:w="1940" w:type="dxa"/>
            <w:vAlign w:val="bottom"/>
          </w:tcPr>
          <w:p>
            <w:pPr>
              <w:jc w:val="center"/>
              <w:spacing w:after="0" w:line="167" w:lineRule="exact"/>
              <w:rPr>
                <w:sz w:val="20"/>
                <w:szCs w:val="20"/>
                <w:color w:val="auto"/>
              </w:rPr>
            </w:pPr>
            <w:r>
              <w:rPr>
                <w:rFonts w:ascii="Arial" w:cs="Arial" w:eastAsia="Arial" w:hAnsi="Arial"/>
                <w:sz w:val="16"/>
                <w:szCs w:val="16"/>
                <w:color w:val="auto"/>
              </w:rPr>
              <w:t>RSUs</w:t>
            </w:r>
          </w:p>
        </w:tc>
        <w:tc>
          <w:tcPr>
            <w:tcW w:w="1100" w:type="dxa"/>
            <w:vAlign w:val="bottom"/>
          </w:tcPr>
          <w:p>
            <w:pPr>
              <w:jc w:val="center"/>
              <w:ind w:right="6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840" w:type="dxa"/>
            <w:vAlign w:val="bottom"/>
          </w:tcPr>
          <w:p>
            <w:pPr>
              <w:jc w:val="center"/>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1120" w:type="dxa"/>
            <w:vAlign w:val="bottom"/>
          </w:tcPr>
          <w:p>
            <w:pPr>
              <w:jc w:val="center"/>
              <w:ind w:left="40"/>
              <w:spacing w:after="0" w:line="167" w:lineRule="exact"/>
              <w:rPr>
                <w:sz w:val="20"/>
                <w:szCs w:val="20"/>
                <w:color w:val="auto"/>
              </w:rPr>
            </w:pPr>
            <w:r>
              <w:rPr>
                <w:rFonts w:ascii="Times New Roman" w:cs="Times New Roman" w:eastAsia="Times New Roman" w:hAnsi="Times New Roman"/>
                <w:sz w:val="16"/>
                <w:szCs w:val="16"/>
                <w:color w:val="3A5575"/>
                <w:w w:val="99"/>
              </w:rPr>
              <w:t>ü</w:t>
            </w:r>
          </w:p>
        </w:tc>
        <w:tc>
          <w:tcPr>
            <w:tcW w:w="6420" w:type="dxa"/>
            <w:vAlign w:val="bottom"/>
          </w:tcPr>
          <w:p>
            <w:pPr>
              <w:ind w:left="100"/>
              <w:spacing w:after="0" w:line="167" w:lineRule="exact"/>
              <w:rPr>
                <w:sz w:val="20"/>
                <w:szCs w:val="20"/>
                <w:color w:val="auto"/>
              </w:rPr>
            </w:pPr>
            <w:r>
              <w:rPr>
                <w:rFonts w:ascii="Arial" w:cs="Arial" w:eastAsia="Arial" w:hAnsi="Arial"/>
                <w:sz w:val="16"/>
                <w:szCs w:val="16"/>
                <w:color w:val="auto"/>
              </w:rPr>
              <w:t>The value of RSUs is dependent upon share price appreciation, which reflects Company</w:t>
            </w:r>
          </w:p>
        </w:tc>
      </w:tr>
      <w:tr>
        <w:trPr>
          <w:trHeight w:val="214"/>
        </w:trPr>
        <w:tc>
          <w:tcPr>
            <w:tcW w:w="19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6420" w:type="dxa"/>
            <w:vAlign w:val="bottom"/>
          </w:tcPr>
          <w:p>
            <w:pPr>
              <w:ind w:left="100"/>
              <w:spacing w:after="0"/>
              <w:rPr>
                <w:sz w:val="20"/>
                <w:szCs w:val="20"/>
                <w:color w:val="auto"/>
              </w:rPr>
            </w:pPr>
            <w:r>
              <w:rPr>
                <w:rFonts w:ascii="Arial" w:cs="Arial" w:eastAsia="Arial" w:hAnsi="Arial"/>
                <w:sz w:val="16"/>
                <w:szCs w:val="16"/>
                <w:color w:val="auto"/>
              </w:rPr>
              <w:t>performance and enhances alignment with shareholder interests.</w:t>
            </w:r>
          </w:p>
        </w:tc>
      </w:tr>
      <w:tr>
        <w:trPr>
          <w:trHeight w:val="350"/>
        </w:trPr>
        <w:tc>
          <w:tcPr>
            <w:tcW w:w="194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6420" w:type="dxa"/>
            <w:vAlign w:val="bottom"/>
          </w:tcPr>
          <w:p>
            <w:pPr>
              <w:ind w:left="100"/>
              <w:spacing w:after="0"/>
              <w:rPr>
                <w:sz w:val="20"/>
                <w:szCs w:val="20"/>
                <w:color w:val="auto"/>
              </w:rPr>
            </w:pPr>
            <w:r>
              <w:rPr>
                <w:rFonts w:ascii="Arial" w:cs="Arial" w:eastAsia="Arial" w:hAnsi="Arial"/>
                <w:sz w:val="16"/>
                <w:szCs w:val="16"/>
                <w:color w:val="auto"/>
              </w:rPr>
              <w:t>Four-year vesting encourages retention.</w:t>
            </w:r>
          </w:p>
        </w:tc>
      </w:tr>
      <w:tr>
        <w:trPr>
          <w:trHeight w:val="184"/>
        </w:trPr>
        <w:tc>
          <w:tcPr>
            <w:tcW w:w="1940" w:type="dxa"/>
            <w:vAlign w:val="bottom"/>
          </w:tcPr>
          <w:p>
            <w:pPr>
              <w:jc w:val="center"/>
              <w:spacing w:after="0"/>
              <w:rPr>
                <w:sz w:val="20"/>
                <w:szCs w:val="20"/>
                <w:color w:val="auto"/>
              </w:rPr>
            </w:pPr>
            <w:r>
              <w:rPr>
                <w:rFonts w:ascii="Arial" w:cs="Arial" w:eastAsia="Arial" w:hAnsi="Arial"/>
                <w:sz w:val="16"/>
                <w:szCs w:val="16"/>
                <w:color w:val="auto"/>
              </w:rPr>
              <w:t>Benefits</w:t>
            </w: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color w:val="3A5575"/>
                <w:w w:val="99"/>
              </w:rPr>
              <w:t>ü</w:t>
            </w:r>
          </w:p>
        </w:tc>
        <w:tc>
          <w:tcPr>
            <w:tcW w:w="840" w:type="dxa"/>
            <w:vAlign w:val="bottom"/>
          </w:tcPr>
          <w:p>
            <w:pPr>
              <w:spacing w:after="0"/>
              <w:rPr>
                <w:sz w:val="16"/>
                <w:szCs w:val="16"/>
                <w:color w:val="auto"/>
              </w:rPr>
            </w:pPr>
          </w:p>
        </w:tc>
        <w:tc>
          <w:tcPr>
            <w:tcW w:w="1120" w:type="dxa"/>
            <w:vAlign w:val="bottom"/>
          </w:tcPr>
          <w:p>
            <w:pPr>
              <w:jc w:val="center"/>
              <w:ind w:left="40"/>
              <w:spacing w:after="0"/>
              <w:rPr>
                <w:sz w:val="20"/>
                <w:szCs w:val="20"/>
                <w:color w:val="auto"/>
              </w:rPr>
            </w:pPr>
            <w:r>
              <w:rPr>
                <w:rFonts w:ascii="Times New Roman" w:cs="Times New Roman" w:eastAsia="Times New Roman" w:hAnsi="Times New Roman"/>
                <w:sz w:val="16"/>
                <w:szCs w:val="16"/>
                <w:color w:val="3A5575"/>
                <w:w w:val="99"/>
              </w:rPr>
              <w:t>ü</w:t>
            </w:r>
          </w:p>
        </w:tc>
        <w:tc>
          <w:tcPr>
            <w:tcW w:w="6420" w:type="dxa"/>
            <w:vAlign w:val="bottom"/>
          </w:tcPr>
          <w:p>
            <w:pPr>
              <w:ind w:left="100"/>
              <w:spacing w:after="0"/>
              <w:rPr>
                <w:sz w:val="20"/>
                <w:szCs w:val="20"/>
                <w:color w:val="auto"/>
              </w:rPr>
            </w:pPr>
            <w:r>
              <w:rPr>
                <w:rFonts w:ascii="Arial" w:cs="Arial" w:eastAsia="Arial" w:hAnsi="Arial"/>
                <w:sz w:val="16"/>
                <w:szCs w:val="16"/>
                <w:color w:val="auto"/>
              </w:rPr>
              <w:t>Our pension programs and deferred compensation program are designed to attract and</w:t>
            </w:r>
          </w:p>
        </w:tc>
      </w:tr>
      <w:tr>
        <w:trPr>
          <w:trHeight w:val="214"/>
        </w:trPr>
        <w:tc>
          <w:tcPr>
            <w:tcW w:w="194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6420" w:type="dxa"/>
            <w:vAlign w:val="bottom"/>
          </w:tcPr>
          <w:p>
            <w:pPr>
              <w:ind w:left="100"/>
              <w:spacing w:after="0"/>
              <w:rPr>
                <w:sz w:val="20"/>
                <w:szCs w:val="20"/>
                <w:color w:val="auto"/>
              </w:rPr>
            </w:pPr>
            <w:r>
              <w:rPr>
                <w:rFonts w:ascii="Arial" w:cs="Arial" w:eastAsia="Arial" w:hAnsi="Arial"/>
                <w:sz w:val="16"/>
                <w:szCs w:val="16"/>
                <w:color w:val="auto"/>
              </w:rPr>
              <w:t>retain talented executives.</w:t>
            </w: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60960</wp:posOffset>
            </wp:positionH>
            <wp:positionV relativeFrom="paragraph">
              <wp:posOffset>-241300</wp:posOffset>
            </wp:positionV>
            <wp:extent cx="7254240" cy="10668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4240" cy="1066800"/>
                    </a:xfrm>
                    <a:prstGeom prst="rect">
                      <a:avLst/>
                    </a:prstGeom>
                    <a:noFill/>
                  </pic:spPr>
                </pic:pic>
              </a:graphicData>
            </a:graphic>
          </wp:anchor>
        </w:drawing>
      </w:r>
    </w:p>
    <w:p>
      <w:pPr>
        <w:spacing w:after="0" w:line="146" w:lineRule="exact"/>
        <w:rPr>
          <w:rFonts w:ascii="Arial" w:cs="Arial" w:eastAsia="Arial" w:hAnsi="Arial"/>
          <w:sz w:val="13"/>
          <w:szCs w:val="13"/>
          <w:b w:val="1"/>
          <w:bCs w:val="1"/>
          <w:color w:val="FFFFFE"/>
        </w:rPr>
      </w:pPr>
    </w:p>
    <w:p>
      <w:pPr>
        <w:ind w:left="5200" w:right="240"/>
        <w:spacing w:after="0" w:line="279" w:lineRule="auto"/>
        <w:rPr>
          <w:sz w:val="20"/>
          <w:szCs w:val="20"/>
          <w:color w:val="auto"/>
        </w:rPr>
      </w:pPr>
      <w:r>
        <w:rPr>
          <w:rFonts w:ascii="Arial" w:cs="Arial" w:eastAsia="Arial" w:hAnsi="Arial"/>
          <w:sz w:val="16"/>
          <w:szCs w:val="16"/>
          <w:color w:val="auto"/>
        </w:rPr>
        <w:t>Our change of control agreements provide alignment in change of control situations by removing job loss concern and promoting executive retention.</w:t>
      </w:r>
    </w:p>
    <w:p>
      <w:pPr>
        <w:spacing w:after="0" w:line="136" w:lineRule="exact"/>
        <w:rPr>
          <w:rFonts w:ascii="Arial" w:cs="Arial" w:eastAsia="Arial" w:hAnsi="Arial"/>
          <w:sz w:val="13"/>
          <w:szCs w:val="13"/>
          <w:b w:val="1"/>
          <w:bCs w:val="1"/>
          <w:color w:val="FFFFFE"/>
        </w:rPr>
      </w:pPr>
    </w:p>
    <w:p>
      <w:pPr>
        <w:ind w:left="5200" w:right="80"/>
        <w:spacing w:after="0" w:line="259" w:lineRule="auto"/>
        <w:rPr>
          <w:sz w:val="20"/>
          <w:szCs w:val="20"/>
          <w:color w:val="auto"/>
        </w:rPr>
      </w:pPr>
      <w:r>
        <w:rPr>
          <w:rFonts w:ascii="Arial" w:cs="Arial" w:eastAsia="Arial" w:hAnsi="Arial"/>
          <w:sz w:val="16"/>
          <w:szCs w:val="16"/>
          <w:color w:val="auto"/>
        </w:rPr>
        <w:t>Because the Company offers limited perquisites, we do not believe that they are a material component of our compensation program. We provide them to attract and retain key management.</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60960</wp:posOffset>
            </wp:positionH>
            <wp:positionV relativeFrom="paragraph">
              <wp:posOffset>-16510</wp:posOffset>
            </wp:positionV>
            <wp:extent cx="7254240" cy="762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4240" cy="7620"/>
                    </a:xfrm>
                    <a:prstGeom prst="rect">
                      <a:avLst/>
                    </a:prstGeom>
                    <a:noFill/>
                  </pic:spPr>
                </pic:pic>
              </a:graphicData>
            </a:graphic>
          </wp:anchor>
        </w:drawing>
      </w:r>
    </w:p>
    <w:p>
      <w:pPr>
        <w:spacing w:after="0" w:line="238"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b w:val="1"/>
          <w:bCs w:val="1"/>
          <w:color w:val="auto"/>
        </w:rPr>
        <w:t>Compensation Design</w:t>
      </w:r>
    </w:p>
    <w:p>
      <w:pPr>
        <w:spacing w:after="0" w:line="191" w:lineRule="exact"/>
        <w:rPr>
          <w:rFonts w:ascii="Arial" w:cs="Arial" w:eastAsia="Arial" w:hAnsi="Arial"/>
          <w:sz w:val="13"/>
          <w:szCs w:val="13"/>
          <w:b w:val="1"/>
          <w:bCs w:val="1"/>
          <w:color w:val="FFFFFE"/>
        </w:rPr>
      </w:pPr>
    </w:p>
    <w:p>
      <w:pPr>
        <w:ind w:right="280"/>
        <w:spacing w:after="0" w:line="265" w:lineRule="auto"/>
        <w:rPr>
          <w:sz w:val="20"/>
          <w:szCs w:val="20"/>
          <w:color w:val="auto"/>
        </w:rPr>
      </w:pPr>
      <w:r>
        <w:rPr>
          <w:rFonts w:ascii="Arial" w:cs="Arial" w:eastAsia="Arial" w:hAnsi="Arial"/>
          <w:sz w:val="20"/>
          <w:szCs w:val="20"/>
          <w:b w:val="1"/>
          <w:bCs w:val="1"/>
          <w:i w:val="1"/>
          <w:iCs w:val="1"/>
          <w:color w:val="auto"/>
        </w:rPr>
        <w:t xml:space="preserve">Pay at Risk. </w:t>
      </w:r>
      <w:r>
        <w:rPr>
          <w:rFonts w:ascii="Arial" w:cs="Arial" w:eastAsia="Arial" w:hAnsi="Arial"/>
          <w:sz w:val="20"/>
          <w:szCs w:val="20"/>
          <w:color w:val="auto"/>
        </w:rPr>
        <w:t>The Company believes that a significant portion of each Named Executive Officer's total compensation opportunity</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should reflect both upside potential and downside risk.</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156210</wp:posOffset>
            </wp:positionV>
            <wp:extent cx="841375" cy="16383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44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53" w:name="page54"/>
    <w:bookmarkEnd w:id="53"/>
    <w:tbl>
      <w:tblPr>
        <w:tblLayout w:type="fixed"/>
        <w:tblInd w:w="2" w:type="dxa"/>
        <w:tblCellMar>
          <w:top w:w="0" w:type="dxa"/>
          <w:left w:w="0" w:type="dxa"/>
          <w:bottom w:w="0" w:type="dxa"/>
          <w:right w:w="0" w:type="dxa"/>
        </w:tblCellMar>
      </w:tblPr>
      <w:tr>
        <w:trPr>
          <w:trHeight w:val="230"/>
        </w:trPr>
        <w:tc>
          <w:tcPr>
            <w:tcW w:w="9080" w:type="dxa"/>
            <w:vAlign w:val="bottom"/>
            <w:gridSpan w:val="2"/>
          </w:tcPr>
          <w:p>
            <w:pPr>
              <w:spacing w:after="0"/>
              <w:rPr>
                <w:rFonts w:ascii="Arial" w:cs="Arial" w:eastAsia="Arial" w:hAnsi="Arial"/>
                <w:sz w:val="20"/>
                <w:szCs w:val="20"/>
                <w:color w:val="0000EE"/>
              </w:rPr>
            </w:pPr>
            <w:hyperlink w:anchor="page7">
              <w:r>
                <w:rPr>
                  <w:rFonts w:ascii="Arial" w:cs="Arial" w:eastAsia="Arial" w:hAnsi="Arial"/>
                  <w:sz w:val="20"/>
                  <w:szCs w:val="20"/>
                  <w:color w:val="0000EE"/>
                </w:rPr>
                <w:t>Table of Contents</w:t>
              </w:r>
            </w:hyperlink>
          </w:p>
        </w:tc>
        <w:tc>
          <w:tcPr>
            <w:tcW w:w="23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520" w:type="dxa"/>
            <w:vAlign w:val="bottom"/>
            <w:shd w:val="clear" w:color="auto" w:fill="0000EE"/>
          </w:tcPr>
          <w:p>
            <w:pPr>
              <w:spacing w:after="0" w:line="20" w:lineRule="exact"/>
              <w:rPr>
                <w:sz w:val="1"/>
                <w:szCs w:val="1"/>
                <w:color w:val="auto"/>
              </w:rPr>
            </w:pPr>
          </w:p>
        </w:tc>
        <w:tc>
          <w:tcPr>
            <w:tcW w:w="7560" w:type="dxa"/>
            <w:vAlign w:val="bottom"/>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9080" w:type="dxa"/>
            <w:vAlign w:val="bottom"/>
            <w:gridSpan w:val="2"/>
            <w:vMerge w:val="restart"/>
          </w:tcPr>
          <w:p>
            <w:pPr>
              <w:spacing w:after="0"/>
              <w:rPr>
                <w:sz w:val="20"/>
                <w:szCs w:val="20"/>
                <w:color w:val="auto"/>
              </w:rPr>
            </w:pPr>
            <w:r>
              <w:rPr>
                <w:rFonts w:ascii="Arial" w:cs="Arial" w:eastAsia="Arial" w:hAnsi="Arial"/>
                <w:sz w:val="20"/>
                <w:szCs w:val="20"/>
                <w:color w:val="auto"/>
              </w:rPr>
              <w:t>The illustrations below show how the Company views the allocation of the Named Executive Officers'</w:t>
            </w:r>
          </w:p>
        </w:tc>
        <w:tc>
          <w:tcPr>
            <w:tcW w:w="2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5"/>
        </w:trPr>
        <w:tc>
          <w:tcPr>
            <w:tcW w:w="9080" w:type="dxa"/>
            <w:vAlign w:val="bottom"/>
            <w:gridSpan w:val="2"/>
            <w:vMerge w:val="continue"/>
          </w:tcPr>
          <w:p>
            <w:pPr>
              <w:spacing w:after="0"/>
              <w:rPr>
                <w:sz w:val="19"/>
                <w:szCs w:val="19"/>
                <w:color w:val="auto"/>
              </w:rPr>
            </w:pPr>
          </w:p>
        </w:tc>
        <w:tc>
          <w:tcPr>
            <w:tcW w:w="2340" w:type="dxa"/>
            <w:vAlign w:val="bottom"/>
            <w:tcBorders>
              <w:bottom w:val="single" w:sz="8" w:color="3A5575"/>
            </w:tcBorders>
            <w:shd w:val="clear" w:color="auto" w:fill="3A5575"/>
          </w:tcPr>
          <w:p>
            <w:pPr>
              <w:ind w:left="60"/>
              <w:spacing w:after="0"/>
              <w:rPr>
                <w:sz w:val="20"/>
                <w:szCs w:val="20"/>
                <w:color w:val="auto"/>
              </w:rPr>
            </w:pPr>
            <w:r>
              <w:rPr>
                <w:rFonts w:ascii="Arial" w:cs="Arial" w:eastAsia="Arial" w:hAnsi="Arial"/>
                <w:sz w:val="13"/>
                <w:szCs w:val="13"/>
                <w:b w:val="1"/>
                <w:bCs w:val="1"/>
                <w:color w:val="FFFFFE"/>
              </w:rPr>
              <w:t>EXECUTIVE COMPENSATION</w:t>
            </w:r>
          </w:p>
        </w:tc>
        <w:tc>
          <w:tcPr>
            <w:tcW w:w="0" w:type="dxa"/>
            <w:vAlign w:val="bottom"/>
          </w:tcPr>
          <w:p>
            <w:pPr>
              <w:spacing w:after="0"/>
              <w:rPr>
                <w:sz w:val="1"/>
                <w:szCs w:val="1"/>
                <w:color w:val="auto"/>
              </w:rPr>
            </w:pPr>
          </w:p>
        </w:tc>
      </w:tr>
      <w:tr>
        <w:trPr>
          <w:trHeight w:val="166"/>
        </w:trPr>
        <w:tc>
          <w:tcPr>
            <w:tcW w:w="9080" w:type="dxa"/>
            <w:vAlign w:val="bottom"/>
            <w:gridSpan w:val="2"/>
          </w:tcPr>
          <w:p>
            <w:pPr>
              <w:spacing w:after="0" w:line="166" w:lineRule="exact"/>
              <w:rPr>
                <w:sz w:val="20"/>
                <w:szCs w:val="20"/>
                <w:color w:val="auto"/>
              </w:rPr>
            </w:pPr>
            <w:r>
              <w:rPr>
                <w:rFonts w:ascii="Arial" w:cs="Arial" w:eastAsia="Arial" w:hAnsi="Arial"/>
                <w:sz w:val="19"/>
                <w:szCs w:val="19"/>
                <w:color w:val="auto"/>
              </w:rPr>
              <w:t>compensation between guaranteed pay (base salary) and pay at risk (annual incentive plan, other cash</w:t>
            </w:r>
          </w:p>
        </w:tc>
        <w:tc>
          <w:tcPr>
            <w:tcW w:w="2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64"/>
        </w:trPr>
        <w:tc>
          <w:tcPr>
            <w:tcW w:w="9080" w:type="dxa"/>
            <w:vAlign w:val="bottom"/>
            <w:gridSpan w:val="2"/>
          </w:tcPr>
          <w:p>
            <w:pPr>
              <w:spacing w:after="0"/>
              <w:rPr>
                <w:sz w:val="20"/>
                <w:szCs w:val="20"/>
                <w:color w:val="auto"/>
              </w:rPr>
            </w:pPr>
            <w:r>
              <w:rPr>
                <w:rFonts w:ascii="Arial" w:cs="Arial" w:eastAsia="Arial" w:hAnsi="Arial"/>
                <w:sz w:val="20"/>
                <w:szCs w:val="20"/>
                <w:color w:val="auto"/>
              </w:rPr>
              <w:t>incentives, and long-term incentives).</w:t>
            </w:r>
          </w:p>
        </w:tc>
        <w:tc>
          <w:tcPr>
            <w:tcW w:w="23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833"/>
        </w:trPr>
        <w:tc>
          <w:tcPr>
            <w:tcW w:w="1520" w:type="dxa"/>
            <w:vAlign w:val="bottom"/>
          </w:tcPr>
          <w:p>
            <w:pPr>
              <w:spacing w:after="0"/>
              <w:rPr>
                <w:sz w:val="24"/>
                <w:szCs w:val="24"/>
                <w:color w:val="auto"/>
              </w:rPr>
            </w:pPr>
          </w:p>
        </w:tc>
        <w:tc>
          <w:tcPr>
            <w:tcW w:w="7560" w:type="dxa"/>
            <w:vAlign w:val="bottom"/>
          </w:tcPr>
          <w:p>
            <w:pPr>
              <w:ind w:left="2640"/>
              <w:spacing w:after="0"/>
              <w:rPr>
                <w:sz w:val="20"/>
                <w:szCs w:val="20"/>
                <w:color w:val="auto"/>
              </w:rPr>
            </w:pPr>
            <w:r>
              <w:rPr>
                <w:rFonts w:ascii="Arial" w:cs="Arial" w:eastAsia="Arial" w:hAnsi="Arial"/>
                <w:sz w:val="20"/>
                <w:szCs w:val="20"/>
                <w:b w:val="1"/>
                <w:bCs w:val="1"/>
                <w:color w:val="auto"/>
              </w:rPr>
              <w:t>2015 CEO Total Compensation</w:t>
            </w:r>
            <w:r>
              <w:rPr>
                <w:rFonts w:ascii="Arial" w:cs="Arial" w:eastAsia="Arial" w:hAnsi="Arial"/>
                <w:sz w:val="32"/>
                <w:szCs w:val="32"/>
                <w:b w:val="1"/>
                <w:bCs w:val="1"/>
                <w:color w:val="auto"/>
                <w:vertAlign w:val="superscript"/>
              </w:rPr>
              <w:t>(1)</w:t>
            </w:r>
          </w:p>
        </w:tc>
        <w:tc>
          <w:tcPr>
            <w:tcW w:w="23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2063750</wp:posOffset>
            </wp:positionH>
            <wp:positionV relativeFrom="paragraph">
              <wp:posOffset>23495</wp:posOffset>
            </wp:positionV>
            <wp:extent cx="3138805" cy="157353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3138805" cy="1573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482" w:hanging="482"/>
        <w:spacing w:after="0"/>
        <w:tabs>
          <w:tab w:leader="none" w:pos="482" w:val="left"/>
        </w:tabs>
        <w:numPr>
          <w:ilvl w:val="0"/>
          <w:numId w:val="67"/>
        </w:numPr>
        <w:rPr>
          <w:rFonts w:ascii="Arial" w:cs="Arial" w:eastAsia="Arial" w:hAnsi="Arial"/>
          <w:sz w:val="16"/>
          <w:szCs w:val="16"/>
          <w:color w:val="auto"/>
        </w:rPr>
      </w:pPr>
      <w:r>
        <w:rPr>
          <w:rFonts w:ascii="Arial" w:cs="Arial" w:eastAsia="Arial" w:hAnsi="Arial"/>
          <w:sz w:val="16"/>
          <w:szCs w:val="16"/>
          <w:color w:val="auto"/>
        </w:rPr>
        <w:t>Annual Incentive: See the description of the CEO Incentive Plan on page 47 of this Proxy Statement.</w:t>
      </w:r>
    </w:p>
    <w:p>
      <w:pPr>
        <w:spacing w:after="0" w:line="363" w:lineRule="exact"/>
        <w:rPr>
          <w:sz w:val="20"/>
          <w:szCs w:val="20"/>
          <w:color w:val="auto"/>
        </w:rPr>
      </w:pPr>
    </w:p>
    <w:p>
      <w:pPr>
        <w:jc w:val="center"/>
        <w:ind w:right="58"/>
        <w:spacing w:after="0"/>
        <w:rPr>
          <w:sz w:val="20"/>
          <w:szCs w:val="20"/>
          <w:color w:val="auto"/>
        </w:rPr>
      </w:pPr>
      <w:r>
        <w:rPr>
          <w:rFonts w:ascii="Arial" w:cs="Arial" w:eastAsia="Arial" w:hAnsi="Arial"/>
          <w:sz w:val="20"/>
          <w:szCs w:val="20"/>
          <w:b w:val="1"/>
          <w:bCs w:val="1"/>
          <w:color w:val="auto"/>
        </w:rPr>
        <w:t>2015 Average for Other Named Executive Officers' Total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2040890</wp:posOffset>
            </wp:positionH>
            <wp:positionV relativeFrom="paragraph">
              <wp:posOffset>140335</wp:posOffset>
            </wp:positionV>
            <wp:extent cx="3185795" cy="157353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3185795" cy="1573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 w:right="100"/>
        <w:spacing w:after="0" w:line="242" w:lineRule="auto"/>
        <w:rPr>
          <w:sz w:val="20"/>
          <w:szCs w:val="20"/>
          <w:color w:val="auto"/>
        </w:rPr>
      </w:pPr>
      <w:r>
        <w:rPr>
          <w:rFonts w:ascii="Arial" w:cs="Arial" w:eastAsia="Arial" w:hAnsi="Arial"/>
          <w:sz w:val="20"/>
          <w:szCs w:val="20"/>
          <w:b w:val="1"/>
          <w:bCs w:val="1"/>
          <w:i w:val="1"/>
          <w:iCs w:val="1"/>
          <w:color w:val="auto"/>
        </w:rPr>
        <w:t xml:space="preserve">Risk-Taking. </w:t>
      </w:r>
      <w:r>
        <w:rPr>
          <w:rFonts w:ascii="Arial" w:cs="Arial" w:eastAsia="Arial" w:hAnsi="Arial"/>
          <w:sz w:val="20"/>
          <w:szCs w:val="20"/>
          <w:color w:val="auto"/>
        </w:rPr>
        <w:t>The compensation program is designed to reward performance but not encourage unacceptable risk-taking. The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Committee evaluates the potential for unacceptable risk-taking in compensation design on an ongoing basis. We believe that the design of our executive compensation program does not unduly incentivize our executives to take actions that may conflict with our risk-based decision-making. Material risk in our compensation design is mitigated in several ways:</w:t>
      </w:r>
    </w:p>
    <w:p>
      <w:pPr>
        <w:spacing w:after="0" w:line="152" w:lineRule="exact"/>
        <w:rPr>
          <w:sz w:val="20"/>
          <w:szCs w:val="20"/>
          <w:color w:val="auto"/>
        </w:rPr>
      </w:pPr>
    </w:p>
    <w:p>
      <w:pPr>
        <w:ind w:left="482" w:right="680" w:hanging="482"/>
        <w:spacing w:after="0" w:line="265" w:lineRule="auto"/>
        <w:tabs>
          <w:tab w:leader="none" w:pos="482" w:val="left"/>
        </w:tabs>
        <w:numPr>
          <w:ilvl w:val="0"/>
          <w:numId w:val="68"/>
        </w:numPr>
        <w:rPr>
          <w:rFonts w:ascii="Arial" w:cs="Arial" w:eastAsia="Arial" w:hAnsi="Arial"/>
          <w:sz w:val="20"/>
          <w:szCs w:val="20"/>
          <w:color w:val="3A5575"/>
        </w:rPr>
      </w:pPr>
      <w:r>
        <w:rPr>
          <w:rFonts w:ascii="Arial" w:cs="Arial" w:eastAsia="Arial" w:hAnsi="Arial"/>
          <w:sz w:val="20"/>
          <w:szCs w:val="20"/>
          <w:color w:val="auto"/>
        </w:rPr>
        <w:t>Earnings goals and award opportunities in our annual cash incentive programs are at levels intended to be challenging without the need to take inappropriate risks;</w:t>
      </w:r>
    </w:p>
    <w:p>
      <w:pPr>
        <w:spacing w:after="0" w:line="142" w:lineRule="exact"/>
        <w:rPr>
          <w:rFonts w:ascii="Arial" w:cs="Arial" w:eastAsia="Arial" w:hAnsi="Arial"/>
          <w:sz w:val="20"/>
          <w:szCs w:val="20"/>
          <w:color w:val="3A5575"/>
        </w:rPr>
      </w:pPr>
    </w:p>
    <w:p>
      <w:pPr>
        <w:ind w:left="482" w:right="220" w:hanging="482"/>
        <w:spacing w:after="0" w:line="242" w:lineRule="auto"/>
        <w:tabs>
          <w:tab w:leader="none" w:pos="482" w:val="left"/>
        </w:tabs>
        <w:numPr>
          <w:ilvl w:val="0"/>
          <w:numId w:val="68"/>
        </w:numPr>
        <w:rPr>
          <w:rFonts w:ascii="Arial" w:cs="Arial" w:eastAsia="Arial" w:hAnsi="Arial"/>
          <w:sz w:val="20"/>
          <w:szCs w:val="20"/>
          <w:color w:val="3A5575"/>
        </w:rPr>
      </w:pPr>
      <w:r>
        <w:rPr>
          <w:rFonts w:ascii="Arial" w:cs="Arial" w:eastAsia="Arial" w:hAnsi="Arial"/>
          <w:sz w:val="20"/>
          <w:szCs w:val="20"/>
          <w:color w:val="auto"/>
        </w:rPr>
        <w:t>Our long-term incentives consist of time-based RSUs that vest over a multi-year period and performance shares that are earned at the end of a three-year period, both of which provide upside potential and downside risk; moreover, the use of RSUs in our long-term incentive program mitigates the likelihood of risk-taking because RSUs, as opposed to stock options, for example, retain some value even in a depressed market;</w:t>
      </w:r>
    </w:p>
    <w:p>
      <w:pPr>
        <w:spacing w:after="0" w:line="164" w:lineRule="exact"/>
        <w:rPr>
          <w:rFonts w:ascii="Arial" w:cs="Arial" w:eastAsia="Arial" w:hAnsi="Arial"/>
          <w:sz w:val="20"/>
          <w:szCs w:val="20"/>
          <w:color w:val="3A5575"/>
        </w:rPr>
      </w:pPr>
    </w:p>
    <w:p>
      <w:pPr>
        <w:ind w:left="482" w:right="520" w:hanging="482"/>
        <w:spacing w:after="0" w:line="265" w:lineRule="auto"/>
        <w:tabs>
          <w:tab w:leader="none" w:pos="482" w:val="left"/>
        </w:tabs>
        <w:numPr>
          <w:ilvl w:val="0"/>
          <w:numId w:val="68"/>
        </w:numPr>
        <w:rPr>
          <w:rFonts w:ascii="Arial" w:cs="Arial" w:eastAsia="Arial" w:hAnsi="Arial"/>
          <w:sz w:val="20"/>
          <w:szCs w:val="20"/>
          <w:color w:val="3A5575"/>
        </w:rPr>
      </w:pPr>
      <w:r>
        <w:rPr>
          <w:rFonts w:ascii="Arial" w:cs="Arial" w:eastAsia="Arial" w:hAnsi="Arial"/>
          <w:sz w:val="20"/>
          <w:szCs w:val="20"/>
          <w:color w:val="auto"/>
        </w:rPr>
        <w:t>Payouts are capped under the annual cash and long-term incentive plans at no more than twice the target amount of the award or the Base Grant (as defined in this CD&amp;A under the heading "Long-Term Incentives");</w:t>
      </w:r>
    </w:p>
    <w:p>
      <w:pPr>
        <w:spacing w:after="0" w:line="62"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94" w:right="219" w:bottom="1440" w:gutter="0" w:footer="0" w:header="0"/>
        </w:sectPr>
      </w:pPr>
    </w:p>
    <w:bookmarkStart w:id="54" w:name="page55"/>
    <w:bookmarkEnd w:id="54"/>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75" w:lineRule="exact"/>
        <w:rPr>
          <w:rFonts w:ascii="Arial" w:cs="Arial" w:eastAsia="Arial" w:hAnsi="Arial"/>
          <w:sz w:val="13"/>
          <w:szCs w:val="13"/>
          <w:b w:val="1"/>
          <w:bCs w:val="1"/>
          <w:color w:val="FFFFFE"/>
        </w:rPr>
      </w:pPr>
    </w:p>
    <w:p>
      <w:pPr>
        <w:ind w:left="2342" w:right="320"/>
        <w:spacing w:after="0" w:line="255" w:lineRule="auto"/>
        <w:rPr>
          <w:sz w:val="20"/>
          <w:szCs w:val="20"/>
          <w:color w:val="auto"/>
        </w:rPr>
      </w:pPr>
      <w:r>
        <w:rPr>
          <w:rFonts w:ascii="Arial" w:cs="Arial" w:eastAsia="Arial" w:hAnsi="Arial"/>
          <w:sz w:val="19"/>
          <w:szCs w:val="19"/>
          <w:color w:val="auto"/>
        </w:rPr>
        <w:t>More</w:t>
      </w:r>
      <w:r>
        <w:rPr>
          <w:rFonts w:ascii="Arial" w:cs="Arial" w:eastAsia="Arial" w:hAnsi="Arial"/>
          <w:sz w:val="19"/>
          <w:szCs w:val="19"/>
          <w:color w:val="3A5575"/>
        </w:rPr>
        <w:t>•</w:t>
      </w:r>
      <w:r>
        <w:rPr>
          <w:rFonts w:ascii="Arial" w:cs="Arial" w:eastAsia="Arial" w:hAnsi="Arial"/>
          <w:sz w:val="19"/>
          <w:szCs w:val="19"/>
          <w:color w:val="auto"/>
        </w:rPr>
        <w:t xml:space="preserve"> than one performance metric is used in our long-term performance share awards, and the award opportunities under our annual cash incentive program are based on multiple metrics, thereby</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0</wp:posOffset>
            </wp:positionH>
            <wp:positionV relativeFrom="paragraph">
              <wp:posOffset>-267335</wp:posOffset>
            </wp:positionV>
            <wp:extent cx="1487805" cy="15557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482"/>
        <w:spacing w:after="0"/>
        <w:rPr>
          <w:sz w:val="20"/>
          <w:szCs w:val="20"/>
          <w:color w:val="auto"/>
        </w:rPr>
      </w:pPr>
      <w:r>
        <w:rPr>
          <w:rFonts w:ascii="Arial" w:cs="Arial" w:eastAsia="Arial" w:hAnsi="Arial"/>
          <w:sz w:val="20"/>
          <w:szCs w:val="20"/>
          <w:color w:val="auto"/>
        </w:rPr>
        <w:t>minimizing the ability of the executive to manipulate incentive results;</w:t>
      </w:r>
    </w:p>
    <w:p>
      <w:pPr>
        <w:spacing w:after="0" w:line="188" w:lineRule="exact"/>
        <w:rPr>
          <w:rFonts w:ascii="Arial" w:cs="Arial" w:eastAsia="Arial" w:hAnsi="Arial"/>
          <w:sz w:val="13"/>
          <w:szCs w:val="13"/>
          <w:b w:val="1"/>
          <w:bCs w:val="1"/>
          <w:color w:val="FFFFFE"/>
        </w:rPr>
      </w:pPr>
    </w:p>
    <w:p>
      <w:pPr>
        <w:ind w:left="482" w:right="400" w:hanging="482"/>
        <w:spacing w:after="0" w:line="292" w:lineRule="auto"/>
        <w:tabs>
          <w:tab w:leader="none" w:pos="482" w:val="left"/>
        </w:tabs>
        <w:numPr>
          <w:ilvl w:val="0"/>
          <w:numId w:val="69"/>
        </w:numPr>
        <w:rPr>
          <w:rFonts w:ascii="Arial" w:cs="Arial" w:eastAsia="Arial" w:hAnsi="Arial"/>
          <w:sz w:val="19"/>
          <w:szCs w:val="19"/>
          <w:color w:val="3A5575"/>
        </w:rPr>
      </w:pPr>
      <w:r>
        <w:rPr>
          <w:rFonts w:ascii="Arial" w:cs="Arial" w:eastAsia="Arial" w:hAnsi="Arial"/>
          <w:sz w:val="19"/>
          <w:szCs w:val="19"/>
          <w:color w:val="auto"/>
        </w:rPr>
        <w:t>The stock components inherent in our long-term incentive program, combined with our stock ownership guidelines and retention requirements, align the interests of our executives with a goal of long-term appreciation of shareholder value; and</w:t>
      </w:r>
    </w:p>
    <w:p>
      <w:pPr>
        <w:spacing w:after="0" w:line="118" w:lineRule="exact"/>
        <w:rPr>
          <w:rFonts w:ascii="Arial" w:cs="Arial" w:eastAsia="Arial" w:hAnsi="Arial"/>
          <w:sz w:val="19"/>
          <w:szCs w:val="19"/>
          <w:color w:val="3A5575"/>
        </w:rPr>
      </w:pPr>
    </w:p>
    <w:p>
      <w:pPr>
        <w:ind w:left="482" w:right="720" w:hanging="482"/>
        <w:spacing w:after="0" w:line="265" w:lineRule="auto"/>
        <w:tabs>
          <w:tab w:leader="none" w:pos="482" w:val="left"/>
        </w:tabs>
        <w:numPr>
          <w:ilvl w:val="0"/>
          <w:numId w:val="69"/>
        </w:numPr>
        <w:rPr>
          <w:rFonts w:ascii="Arial" w:cs="Arial" w:eastAsia="Arial" w:hAnsi="Arial"/>
          <w:sz w:val="20"/>
          <w:szCs w:val="20"/>
          <w:color w:val="3A5575"/>
        </w:rPr>
      </w:pPr>
      <w:r>
        <w:rPr>
          <w:rFonts w:ascii="Arial" w:cs="Arial" w:eastAsia="Arial" w:hAnsi="Arial"/>
          <w:sz w:val="20"/>
          <w:szCs w:val="20"/>
          <w:color w:val="auto"/>
        </w:rPr>
        <w:t>Our program is consistent throughout the Company so that no one area or group is incentivized in a manner that would encourage risk-taking.</w:t>
      </w:r>
    </w:p>
    <w:p>
      <w:pPr>
        <w:spacing w:after="0" w:line="130" w:lineRule="exact"/>
        <w:rPr>
          <w:rFonts w:ascii="Arial" w:cs="Arial" w:eastAsia="Arial" w:hAnsi="Arial"/>
          <w:sz w:val="13"/>
          <w:szCs w:val="13"/>
          <w:b w:val="1"/>
          <w:bCs w:val="1"/>
          <w:color w:val="FFFFFE"/>
        </w:rPr>
      </w:pPr>
    </w:p>
    <w:p>
      <w:pPr>
        <w:ind w:left="2" w:right="120"/>
        <w:spacing w:after="0" w:line="254" w:lineRule="auto"/>
        <w:rPr>
          <w:sz w:val="20"/>
          <w:szCs w:val="20"/>
          <w:color w:val="auto"/>
        </w:rPr>
      </w:pPr>
      <w:r>
        <w:rPr>
          <w:rFonts w:ascii="Arial" w:cs="Arial" w:eastAsia="Arial" w:hAnsi="Arial"/>
          <w:sz w:val="19"/>
          <w:szCs w:val="19"/>
          <w:color w:val="auto"/>
        </w:rPr>
        <w:t>In addition, the Committee has reviewed the overall compensation program for the Company's employees and has concluded that its program is balanced and does not encourage imprudent risk-taking. Employee compensation generally consists of some or all of the compensation components described in this CD&amp;A. Our Officer Stock Ownership and Retention Guidelines (the "Guidelines") prohibit our officers from pledging or hedging shares of Company common stock owned by them. Equity award agreements for our management employees contain a similar prohibition in respect of shares received by them under such awards.</w:t>
      </w:r>
    </w:p>
    <w:p>
      <w:pPr>
        <w:spacing w:after="0" w:line="140" w:lineRule="exact"/>
        <w:rPr>
          <w:rFonts w:ascii="Arial" w:cs="Arial" w:eastAsia="Arial" w:hAnsi="Arial"/>
          <w:sz w:val="13"/>
          <w:szCs w:val="13"/>
          <w:b w:val="1"/>
          <w:bCs w:val="1"/>
          <w:color w:val="FFFFFE"/>
        </w:rPr>
      </w:pPr>
    </w:p>
    <w:p>
      <w:pPr>
        <w:ind w:left="2"/>
        <w:spacing w:after="0"/>
        <w:rPr>
          <w:sz w:val="20"/>
          <w:szCs w:val="20"/>
          <w:color w:val="auto"/>
        </w:rPr>
      </w:pPr>
      <w:r>
        <w:rPr>
          <w:rFonts w:ascii="Arial" w:cs="Arial" w:eastAsia="Arial" w:hAnsi="Arial"/>
          <w:sz w:val="20"/>
          <w:szCs w:val="20"/>
          <w:b w:val="1"/>
          <w:bCs w:val="1"/>
          <w:color w:val="auto"/>
        </w:rPr>
        <w:t>2015 Compensation</w:t>
      </w:r>
    </w:p>
    <w:p>
      <w:pPr>
        <w:spacing w:after="0" w:line="191" w:lineRule="exact"/>
        <w:rPr>
          <w:rFonts w:ascii="Arial" w:cs="Arial" w:eastAsia="Arial" w:hAnsi="Arial"/>
          <w:sz w:val="13"/>
          <w:szCs w:val="13"/>
          <w:b w:val="1"/>
          <w:bCs w:val="1"/>
          <w:color w:val="FFFFFE"/>
        </w:rPr>
      </w:pPr>
    </w:p>
    <w:p>
      <w:pPr>
        <w:jc w:val="center"/>
        <w:ind w:right="138"/>
        <w:spacing w:after="0"/>
        <w:rPr>
          <w:sz w:val="20"/>
          <w:szCs w:val="20"/>
          <w:color w:val="auto"/>
        </w:rPr>
      </w:pPr>
      <w:r>
        <w:rPr>
          <w:rFonts w:ascii="Arial" w:cs="Arial" w:eastAsia="Arial" w:hAnsi="Arial"/>
          <w:sz w:val="20"/>
          <w:szCs w:val="20"/>
          <w:b w:val="1"/>
          <w:bCs w:val="1"/>
          <w:i w:val="1"/>
          <w:iCs w:val="1"/>
          <w:color w:val="auto"/>
        </w:rPr>
        <w:t>Base Salary</w:t>
      </w:r>
    </w:p>
    <w:p>
      <w:pPr>
        <w:spacing w:after="0" w:line="187" w:lineRule="exact"/>
        <w:rPr>
          <w:rFonts w:ascii="Arial" w:cs="Arial" w:eastAsia="Arial" w:hAnsi="Arial"/>
          <w:sz w:val="13"/>
          <w:szCs w:val="13"/>
          <w:b w:val="1"/>
          <w:bCs w:val="1"/>
          <w:color w:val="FFFFFE"/>
        </w:rPr>
      </w:pPr>
    </w:p>
    <w:p>
      <w:pPr>
        <w:ind w:left="2" w:right="180"/>
        <w:spacing w:after="0" w:line="248" w:lineRule="auto"/>
        <w:rPr>
          <w:sz w:val="20"/>
          <w:szCs w:val="20"/>
          <w:color w:val="auto"/>
        </w:rPr>
      </w:pPr>
      <w:r>
        <w:rPr>
          <w:rFonts w:ascii="Arial" w:cs="Arial" w:eastAsia="Arial" w:hAnsi="Arial"/>
          <w:sz w:val="19"/>
          <w:szCs w:val="19"/>
          <w:color w:val="auto"/>
        </w:rPr>
        <w:t>The Committee reviews competitive salary information and individual salaries for executive officers on an annual basis. In considering individual salaries, the Committee reviews the scope of job responsibilities, individual contributions, business performance, retention concerns, and current compensation compared to market practices. In setting base salaries, the Committee also considers that base salary is used as the basis for calculating annual incentive awards. The base salaries for Messrs. Brandt, Hatfield, Falck and Schiavoni were within plus or minus 15% of the median of the peer group data and, based on competitive</w:t>
      </w:r>
    </w:p>
    <w:p>
      <w:pPr>
        <w:spacing w:after="0" w:line="4" w:lineRule="exact"/>
        <w:rPr>
          <w:rFonts w:ascii="Arial" w:cs="Arial" w:eastAsia="Arial" w:hAnsi="Arial"/>
          <w:sz w:val="13"/>
          <w:szCs w:val="13"/>
          <w:b w:val="1"/>
          <w:bCs w:val="1"/>
          <w:color w:val="FFFFFE"/>
        </w:rPr>
      </w:pPr>
    </w:p>
    <w:p>
      <w:pPr>
        <w:ind w:left="2"/>
        <w:spacing w:after="0"/>
        <w:rPr>
          <w:sz w:val="20"/>
          <w:szCs w:val="20"/>
          <w:color w:val="auto"/>
        </w:rPr>
      </w:pPr>
      <w:r>
        <w:rPr>
          <w:rFonts w:ascii="Arial" w:cs="Arial" w:eastAsia="Arial" w:hAnsi="Arial"/>
          <w:sz w:val="20"/>
          <w:szCs w:val="20"/>
          <w:color w:val="auto"/>
        </w:rPr>
        <w:t>considerations, Mr. Edington's base salary was set above the 75</w:t>
      </w:r>
      <w:r>
        <w:rPr>
          <w:rFonts w:ascii="Arial" w:cs="Arial" w:eastAsia="Arial" w:hAnsi="Arial"/>
          <w:sz w:val="32"/>
          <w:szCs w:val="32"/>
          <w:color w:val="auto"/>
          <w:vertAlign w:val="superscript"/>
        </w:rPr>
        <w:t>th</w:t>
      </w:r>
      <w:r>
        <w:rPr>
          <w:rFonts w:ascii="Arial" w:cs="Arial" w:eastAsia="Arial" w:hAnsi="Arial"/>
          <w:sz w:val="20"/>
          <w:szCs w:val="20"/>
          <w:color w:val="auto"/>
        </w:rPr>
        <w:t xml:space="preserve"> percentile.</w:t>
      </w:r>
    </w:p>
    <w:p>
      <w:pPr>
        <w:spacing w:after="0" w:line="69" w:lineRule="exact"/>
        <w:rPr>
          <w:rFonts w:ascii="Arial" w:cs="Arial" w:eastAsia="Arial" w:hAnsi="Arial"/>
          <w:sz w:val="13"/>
          <w:szCs w:val="13"/>
          <w:b w:val="1"/>
          <w:bCs w:val="1"/>
          <w:color w:val="FFFFFE"/>
        </w:rPr>
      </w:pPr>
    </w:p>
    <w:p>
      <w:pPr>
        <w:ind w:left="2" w:right="500"/>
        <w:spacing w:after="0" w:line="265" w:lineRule="auto"/>
        <w:rPr>
          <w:sz w:val="20"/>
          <w:szCs w:val="20"/>
          <w:color w:val="auto"/>
        </w:rPr>
      </w:pPr>
      <w:r>
        <w:rPr>
          <w:rFonts w:ascii="Arial" w:cs="Arial" w:eastAsia="Arial" w:hAnsi="Arial"/>
          <w:sz w:val="20"/>
          <w:szCs w:val="20"/>
          <w:color w:val="auto"/>
        </w:rPr>
        <w:t>In December of 2014, the Committee, based on the considerations set forth above, made the following adjustments to the base salaries of the following Named Executive Officers for fiscal year 2015:</w:t>
      </w:r>
    </w:p>
    <w:p>
      <w:pPr>
        <w:spacing w:after="0" w:line="200" w:lineRule="exact"/>
        <w:rPr>
          <w:rFonts w:ascii="Arial" w:cs="Arial" w:eastAsia="Arial" w:hAnsi="Arial"/>
          <w:sz w:val="13"/>
          <w:szCs w:val="13"/>
          <w:b w:val="1"/>
          <w:bCs w:val="1"/>
          <w:color w:val="FFFFFE"/>
        </w:rPr>
      </w:pPr>
    </w:p>
    <w:p>
      <w:pPr>
        <w:spacing w:after="0" w:line="284" w:lineRule="exact"/>
        <w:rPr>
          <w:rFonts w:ascii="Arial" w:cs="Arial" w:eastAsia="Arial" w:hAnsi="Arial"/>
          <w:sz w:val="13"/>
          <w:szCs w:val="13"/>
          <w:b w:val="1"/>
          <w:bCs w:val="1"/>
          <w:color w:val="FFFFFE"/>
        </w:rPr>
      </w:pPr>
    </w:p>
    <w:tbl>
      <w:tblPr>
        <w:tblLayout w:type="fixed"/>
        <w:tblInd w:w="102" w:type="dxa"/>
        <w:tblCellMar>
          <w:top w:w="0" w:type="dxa"/>
          <w:left w:w="0" w:type="dxa"/>
          <w:bottom w:w="0" w:type="dxa"/>
          <w:right w:w="0" w:type="dxa"/>
        </w:tblCellMar>
      </w:tblPr>
      <w:tr>
        <w:trPr>
          <w:trHeight w:val="203"/>
        </w:trPr>
        <w:tc>
          <w:tcPr>
            <w:tcW w:w="400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NAME</w:t>
            </w:r>
          </w:p>
        </w:tc>
        <w:tc>
          <w:tcPr>
            <w:tcW w:w="5160" w:type="dxa"/>
            <w:vAlign w:val="bottom"/>
            <w:tcBorders>
              <w:bottom w:val="single" w:sz="8" w:color="646466"/>
            </w:tcBorders>
          </w:tcPr>
          <w:p>
            <w:pPr>
              <w:ind w:left="3060"/>
              <w:spacing w:after="0"/>
              <w:rPr>
                <w:sz w:val="20"/>
                <w:szCs w:val="20"/>
                <w:color w:val="auto"/>
              </w:rPr>
            </w:pPr>
            <w:r>
              <w:rPr>
                <w:rFonts w:ascii="Arial" w:cs="Arial" w:eastAsia="Arial" w:hAnsi="Arial"/>
                <w:sz w:val="16"/>
                <w:szCs w:val="16"/>
                <w:b w:val="1"/>
                <w:bCs w:val="1"/>
                <w:color w:val="3A5575"/>
              </w:rPr>
              <w:t>2014 BASE SALARY ($)</w:t>
            </w:r>
          </w:p>
        </w:tc>
        <w:tc>
          <w:tcPr>
            <w:tcW w:w="2260" w:type="dxa"/>
            <w:vAlign w:val="bottom"/>
            <w:tcBorders>
              <w:bottom w:val="single" w:sz="8" w:color="646466"/>
            </w:tcBorders>
          </w:tcPr>
          <w:p>
            <w:pPr>
              <w:ind w:left="340"/>
              <w:spacing w:after="0"/>
              <w:rPr>
                <w:sz w:val="20"/>
                <w:szCs w:val="20"/>
                <w:color w:val="auto"/>
              </w:rPr>
            </w:pPr>
            <w:r>
              <w:rPr>
                <w:rFonts w:ascii="Arial" w:cs="Arial" w:eastAsia="Arial" w:hAnsi="Arial"/>
                <w:sz w:val="16"/>
                <w:szCs w:val="16"/>
                <w:b w:val="1"/>
                <w:bCs w:val="1"/>
                <w:color w:val="3A5575"/>
              </w:rPr>
              <w:t>2015 BASE SALARY ($)</w:t>
            </w:r>
          </w:p>
        </w:tc>
      </w:tr>
      <w:tr>
        <w:trPr>
          <w:trHeight w:val="176"/>
        </w:trPr>
        <w:tc>
          <w:tcPr>
            <w:tcW w:w="400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Mr. Brandt</w:t>
            </w:r>
          </w:p>
        </w:tc>
        <w:tc>
          <w:tcPr>
            <w:tcW w:w="5160" w:type="dxa"/>
            <w:vAlign w:val="bottom"/>
            <w:shd w:val="clear" w:color="auto" w:fill="E3E5EB"/>
          </w:tcPr>
          <w:p>
            <w:pPr>
              <w:jc w:val="center"/>
              <w:ind w:left="2640"/>
              <w:spacing w:after="0" w:line="176" w:lineRule="exact"/>
              <w:rPr>
                <w:sz w:val="20"/>
                <w:szCs w:val="20"/>
                <w:color w:val="auto"/>
              </w:rPr>
            </w:pPr>
            <w:r>
              <w:rPr>
                <w:rFonts w:ascii="Arial" w:cs="Arial" w:eastAsia="Arial" w:hAnsi="Arial"/>
                <w:sz w:val="16"/>
                <w:szCs w:val="16"/>
                <w:color w:val="auto"/>
              </w:rPr>
              <w:t>1,240,000</w:t>
            </w:r>
          </w:p>
        </w:tc>
        <w:tc>
          <w:tcPr>
            <w:tcW w:w="2260" w:type="dxa"/>
            <w:vAlign w:val="bottom"/>
            <w:shd w:val="clear" w:color="auto" w:fill="E3E5EB"/>
          </w:tcPr>
          <w:p>
            <w:pPr>
              <w:jc w:val="center"/>
              <w:ind w:left="100"/>
              <w:spacing w:after="0" w:line="176" w:lineRule="exact"/>
              <w:rPr>
                <w:sz w:val="20"/>
                <w:szCs w:val="20"/>
                <w:color w:val="auto"/>
              </w:rPr>
            </w:pPr>
            <w:r>
              <w:rPr>
                <w:rFonts w:ascii="Arial" w:cs="Arial" w:eastAsia="Arial" w:hAnsi="Arial"/>
                <w:sz w:val="16"/>
                <w:szCs w:val="16"/>
                <w:color w:val="auto"/>
              </w:rPr>
              <w:t>1,277,000</w:t>
            </w:r>
          </w:p>
        </w:tc>
      </w:tr>
      <w:tr>
        <w:trPr>
          <w:trHeight w:val="184"/>
        </w:trPr>
        <w:tc>
          <w:tcPr>
            <w:tcW w:w="4000" w:type="dxa"/>
            <w:vAlign w:val="bottom"/>
          </w:tcPr>
          <w:p>
            <w:pPr>
              <w:spacing w:after="0"/>
              <w:rPr>
                <w:sz w:val="20"/>
                <w:szCs w:val="20"/>
                <w:color w:val="auto"/>
              </w:rPr>
            </w:pPr>
            <w:r>
              <w:rPr>
                <w:rFonts w:ascii="Arial" w:cs="Arial" w:eastAsia="Arial" w:hAnsi="Arial"/>
                <w:sz w:val="16"/>
                <w:szCs w:val="16"/>
                <w:color w:val="auto"/>
              </w:rPr>
              <w:t>Mr. Hatfield</w:t>
            </w:r>
          </w:p>
        </w:tc>
        <w:tc>
          <w:tcPr>
            <w:tcW w:w="5160" w:type="dxa"/>
            <w:vAlign w:val="bottom"/>
          </w:tcPr>
          <w:p>
            <w:pPr>
              <w:jc w:val="center"/>
              <w:ind w:left="2660"/>
              <w:spacing w:after="0"/>
              <w:rPr>
                <w:sz w:val="20"/>
                <w:szCs w:val="20"/>
                <w:color w:val="auto"/>
              </w:rPr>
            </w:pPr>
            <w:r>
              <w:rPr>
                <w:rFonts w:ascii="Arial" w:cs="Arial" w:eastAsia="Arial" w:hAnsi="Arial"/>
                <w:sz w:val="16"/>
                <w:szCs w:val="16"/>
                <w:color w:val="auto"/>
              </w:rPr>
              <w:t>570,000</w:t>
            </w:r>
          </w:p>
        </w:tc>
        <w:tc>
          <w:tcPr>
            <w:tcW w:w="2260" w:type="dxa"/>
            <w:vAlign w:val="bottom"/>
          </w:tcPr>
          <w:p>
            <w:pPr>
              <w:jc w:val="center"/>
              <w:ind w:left="100"/>
              <w:spacing w:after="0"/>
              <w:rPr>
                <w:sz w:val="20"/>
                <w:szCs w:val="20"/>
                <w:color w:val="auto"/>
              </w:rPr>
            </w:pPr>
            <w:r>
              <w:rPr>
                <w:rFonts w:ascii="Arial" w:cs="Arial" w:eastAsia="Arial" w:hAnsi="Arial"/>
                <w:sz w:val="16"/>
                <w:szCs w:val="16"/>
                <w:color w:val="auto"/>
                <w:w w:val="96"/>
              </w:rPr>
              <w:t>593,000</w:t>
            </w:r>
          </w:p>
        </w:tc>
      </w:tr>
      <w:tr>
        <w:trPr>
          <w:trHeight w:val="184"/>
        </w:trPr>
        <w:tc>
          <w:tcPr>
            <w:tcW w:w="4000" w:type="dxa"/>
            <w:vAlign w:val="bottom"/>
            <w:shd w:val="clear" w:color="auto" w:fill="E3E5EB"/>
          </w:tcPr>
          <w:p>
            <w:pPr>
              <w:spacing w:after="0"/>
              <w:rPr>
                <w:sz w:val="20"/>
                <w:szCs w:val="20"/>
                <w:color w:val="auto"/>
              </w:rPr>
            </w:pPr>
            <w:r>
              <w:rPr>
                <w:rFonts w:ascii="Arial" w:cs="Arial" w:eastAsia="Arial" w:hAnsi="Arial"/>
                <w:sz w:val="16"/>
                <w:szCs w:val="16"/>
                <w:color w:val="auto"/>
              </w:rPr>
              <w:t>Mr. Falck</w:t>
            </w:r>
          </w:p>
        </w:tc>
        <w:tc>
          <w:tcPr>
            <w:tcW w:w="5160" w:type="dxa"/>
            <w:vAlign w:val="bottom"/>
            <w:shd w:val="clear" w:color="auto" w:fill="E3E5EB"/>
          </w:tcPr>
          <w:p>
            <w:pPr>
              <w:jc w:val="center"/>
              <w:ind w:left="2660"/>
              <w:spacing w:after="0"/>
              <w:rPr>
                <w:sz w:val="20"/>
                <w:szCs w:val="20"/>
                <w:color w:val="auto"/>
              </w:rPr>
            </w:pPr>
            <w:r>
              <w:rPr>
                <w:rFonts w:ascii="Arial" w:cs="Arial" w:eastAsia="Arial" w:hAnsi="Arial"/>
                <w:sz w:val="16"/>
                <w:szCs w:val="16"/>
                <w:color w:val="auto"/>
              </w:rPr>
              <w:t>522,000</w:t>
            </w:r>
          </w:p>
        </w:tc>
        <w:tc>
          <w:tcPr>
            <w:tcW w:w="2260" w:type="dxa"/>
            <w:vAlign w:val="bottom"/>
            <w:shd w:val="clear" w:color="auto" w:fill="E3E5EB"/>
          </w:tcPr>
          <w:p>
            <w:pPr>
              <w:jc w:val="center"/>
              <w:ind w:left="100"/>
              <w:spacing w:after="0"/>
              <w:rPr>
                <w:sz w:val="20"/>
                <w:szCs w:val="20"/>
                <w:color w:val="auto"/>
              </w:rPr>
            </w:pPr>
            <w:r>
              <w:rPr>
                <w:rFonts w:ascii="Arial" w:cs="Arial" w:eastAsia="Arial" w:hAnsi="Arial"/>
                <w:sz w:val="16"/>
                <w:szCs w:val="16"/>
                <w:color w:val="auto"/>
                <w:w w:val="96"/>
              </w:rPr>
              <w:t>544,000</w:t>
            </w:r>
          </w:p>
        </w:tc>
      </w:tr>
      <w:tr>
        <w:trPr>
          <w:trHeight w:val="184"/>
        </w:trPr>
        <w:tc>
          <w:tcPr>
            <w:tcW w:w="4000" w:type="dxa"/>
            <w:vAlign w:val="bottom"/>
            <w:tcBorders>
              <w:bottom w:val="single" w:sz="8" w:color="395775"/>
            </w:tcBorders>
          </w:tcPr>
          <w:p>
            <w:pPr>
              <w:spacing w:after="0"/>
              <w:rPr>
                <w:sz w:val="20"/>
                <w:szCs w:val="20"/>
                <w:color w:val="auto"/>
              </w:rPr>
            </w:pPr>
            <w:r>
              <w:rPr>
                <w:rFonts w:ascii="Arial" w:cs="Arial" w:eastAsia="Arial" w:hAnsi="Arial"/>
                <w:sz w:val="16"/>
                <w:szCs w:val="16"/>
                <w:color w:val="auto"/>
              </w:rPr>
              <w:t>Mr. Schiavoni</w:t>
            </w:r>
          </w:p>
        </w:tc>
        <w:tc>
          <w:tcPr>
            <w:tcW w:w="5160" w:type="dxa"/>
            <w:vAlign w:val="bottom"/>
            <w:tcBorders>
              <w:bottom w:val="single" w:sz="8" w:color="395775"/>
            </w:tcBorders>
          </w:tcPr>
          <w:p>
            <w:pPr>
              <w:jc w:val="center"/>
              <w:ind w:left="2660"/>
              <w:spacing w:after="0"/>
              <w:rPr>
                <w:sz w:val="20"/>
                <w:szCs w:val="20"/>
                <w:color w:val="auto"/>
              </w:rPr>
            </w:pPr>
            <w:r>
              <w:rPr>
                <w:rFonts w:ascii="Arial" w:cs="Arial" w:eastAsia="Arial" w:hAnsi="Arial"/>
                <w:sz w:val="16"/>
                <w:szCs w:val="16"/>
                <w:color w:val="auto"/>
              </w:rPr>
              <w:t>600,000</w:t>
            </w:r>
          </w:p>
        </w:tc>
        <w:tc>
          <w:tcPr>
            <w:tcW w:w="2260" w:type="dxa"/>
            <w:vAlign w:val="bottom"/>
            <w:tcBorders>
              <w:bottom w:val="single" w:sz="8" w:color="395775"/>
            </w:tcBorders>
          </w:tcPr>
          <w:p>
            <w:pPr>
              <w:jc w:val="center"/>
              <w:ind w:left="100"/>
              <w:spacing w:after="0"/>
              <w:rPr>
                <w:sz w:val="20"/>
                <w:szCs w:val="20"/>
                <w:color w:val="auto"/>
              </w:rPr>
            </w:pPr>
            <w:r>
              <w:rPr>
                <w:rFonts w:ascii="Arial" w:cs="Arial" w:eastAsia="Arial" w:hAnsi="Arial"/>
                <w:sz w:val="16"/>
                <w:szCs w:val="16"/>
                <w:color w:val="auto"/>
                <w:w w:val="96"/>
              </w:rPr>
              <w:t>640,000</w:t>
            </w:r>
          </w:p>
        </w:tc>
      </w:tr>
    </w:tbl>
    <w:p>
      <w:pPr>
        <w:spacing w:after="0" w:line="277" w:lineRule="exact"/>
        <w:rPr>
          <w:rFonts w:ascii="Arial" w:cs="Arial" w:eastAsia="Arial" w:hAnsi="Arial"/>
          <w:sz w:val="13"/>
          <w:szCs w:val="13"/>
          <w:b w:val="1"/>
          <w:bCs w:val="1"/>
          <w:color w:val="FFFFFE"/>
        </w:rPr>
      </w:pPr>
    </w:p>
    <w:p>
      <w:pPr>
        <w:ind w:left="2" w:right="160"/>
        <w:spacing w:after="0" w:line="247" w:lineRule="auto"/>
        <w:rPr>
          <w:sz w:val="20"/>
          <w:szCs w:val="20"/>
          <w:color w:val="auto"/>
        </w:rPr>
      </w:pPr>
      <w:r>
        <w:rPr>
          <w:rFonts w:ascii="Arial" w:cs="Arial" w:eastAsia="Arial" w:hAnsi="Arial"/>
          <w:sz w:val="20"/>
          <w:szCs w:val="20"/>
          <w:color w:val="auto"/>
        </w:rPr>
        <w:t>Effective January 1, 2015, Mr. Edington's base salary increased from $1,000,000 to $1,050,000 pursuant to the 2014 Supplemental Agreement. The 2014 Supplemental Agreement is defined in the narrative disclosure accompanying the Summary Compensation Table and the Grants of Plan-Based Awards table.</w:t>
      </w:r>
    </w:p>
    <w:p>
      <w:pPr>
        <w:spacing w:after="0" w:line="369" w:lineRule="exact"/>
        <w:rPr>
          <w:rFonts w:ascii="Arial" w:cs="Arial" w:eastAsia="Arial" w:hAnsi="Arial"/>
          <w:sz w:val="13"/>
          <w:szCs w:val="13"/>
          <w:b w:val="1"/>
          <w:bCs w:val="1"/>
          <w:color w:val="FFFFFE"/>
        </w:rPr>
      </w:pPr>
    </w:p>
    <w:p>
      <w:pPr>
        <w:jc w:val="center"/>
        <w:ind w:right="138"/>
        <w:spacing w:after="0"/>
        <w:rPr>
          <w:sz w:val="20"/>
          <w:szCs w:val="20"/>
          <w:color w:val="auto"/>
        </w:rPr>
      </w:pPr>
      <w:r>
        <w:rPr>
          <w:rFonts w:ascii="Arial" w:cs="Arial" w:eastAsia="Arial" w:hAnsi="Arial"/>
          <w:sz w:val="20"/>
          <w:szCs w:val="20"/>
          <w:b w:val="1"/>
          <w:bCs w:val="1"/>
          <w:i w:val="1"/>
          <w:iCs w:val="1"/>
          <w:color w:val="auto"/>
        </w:rPr>
        <w:t>Annual Cash Incentives</w:t>
      </w:r>
    </w:p>
    <w:p>
      <w:pPr>
        <w:spacing w:after="0" w:line="187" w:lineRule="exact"/>
        <w:rPr>
          <w:rFonts w:ascii="Arial" w:cs="Arial" w:eastAsia="Arial" w:hAnsi="Arial"/>
          <w:sz w:val="13"/>
          <w:szCs w:val="13"/>
          <w:b w:val="1"/>
          <w:bCs w:val="1"/>
          <w:color w:val="FFFFFE"/>
        </w:rPr>
      </w:pPr>
    </w:p>
    <w:p>
      <w:pPr>
        <w:jc w:val="both"/>
        <w:ind w:left="2" w:right="140"/>
        <w:spacing w:after="0" w:line="247" w:lineRule="auto"/>
        <w:rPr>
          <w:sz w:val="20"/>
          <w:szCs w:val="20"/>
          <w:color w:val="auto"/>
        </w:rPr>
      </w:pPr>
      <w:r>
        <w:rPr>
          <w:rFonts w:ascii="Arial" w:cs="Arial" w:eastAsia="Arial" w:hAnsi="Arial"/>
          <w:sz w:val="20"/>
          <w:szCs w:val="20"/>
          <w:color w:val="auto"/>
        </w:rPr>
        <w:t>The Committee approved the CEO Incentive Plan in December 2014, which covered Mr. Brandt. Also in December 2014, acting on the recommendation of the Committee, the Board approved the APS 2015 Annual Incentive Award Plan (the "APS Incentive Plan"), which covered</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319405</wp:posOffset>
            </wp:positionH>
            <wp:positionV relativeFrom="paragraph">
              <wp:posOffset>167640</wp:posOffset>
            </wp:positionV>
            <wp:extent cx="841375" cy="16383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0" w:lineRule="exact"/>
        <w:rPr>
          <w:rFonts w:ascii="Arial" w:cs="Arial" w:eastAsia="Arial" w:hAnsi="Arial"/>
          <w:sz w:val="13"/>
          <w:szCs w:val="13"/>
          <w:b w:val="1"/>
          <w:bCs w:val="1"/>
          <w:color w:val="FFFFFE"/>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46</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55" w:name="page56"/>
    <w:bookmarkEnd w:id="55"/>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color w:val="auto"/>
        </w:rPr>
        <w:t>Messrs. Hatfield, Falck, and Schiavoni, and the APS 2015 Annual Incentive Award Plan for Palo Verde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-126365</wp:posOffset>
            </wp:positionV>
            <wp:extent cx="1487805" cy="15557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Employees (the "Palo Verde Incentive Plan"), which covered Mr. Edington. The APS Incentive Plan and</w:t>
      </w:r>
    </w:p>
    <w:p>
      <w:pPr>
        <w:ind w:right="300"/>
        <w:spacing w:after="0"/>
        <w:rPr>
          <w:sz w:val="20"/>
          <w:szCs w:val="20"/>
          <w:color w:val="auto"/>
        </w:rPr>
      </w:pPr>
      <w:r>
        <w:rPr>
          <w:rFonts w:ascii="Arial" w:cs="Arial" w:eastAsia="Arial" w:hAnsi="Arial"/>
          <w:sz w:val="20"/>
          <w:szCs w:val="20"/>
          <w:color w:val="auto"/>
        </w:rPr>
        <w:t>the Palo Verde Incentive Plan are collectively referred to as the "APS Incentive Plans," and the APS Incentive Plans and the CEO Incentive Plan are collectively referred to as the "2015 Incentive Plans."</w:t>
      </w:r>
    </w:p>
    <w:p>
      <w:pPr>
        <w:spacing w:after="0" w:line="375" w:lineRule="exact"/>
        <w:rPr>
          <w:rFonts w:ascii="Arial" w:cs="Arial" w:eastAsia="Arial" w:hAnsi="Arial"/>
          <w:sz w:val="13"/>
          <w:szCs w:val="13"/>
          <w:b w:val="1"/>
          <w:bCs w:val="1"/>
          <w:color w:val="FFFFFE"/>
        </w:rPr>
      </w:pPr>
    </w:p>
    <w:p>
      <w:pPr>
        <w:jc w:val="center"/>
        <w:ind w:right="140"/>
        <w:spacing w:after="0"/>
        <w:rPr>
          <w:sz w:val="20"/>
          <w:szCs w:val="20"/>
          <w:color w:val="auto"/>
        </w:rPr>
      </w:pPr>
      <w:r>
        <w:rPr>
          <w:rFonts w:ascii="Arial" w:cs="Arial" w:eastAsia="Arial" w:hAnsi="Arial"/>
          <w:sz w:val="20"/>
          <w:szCs w:val="20"/>
          <w:b w:val="1"/>
          <w:bCs w:val="1"/>
          <w:i w:val="1"/>
          <w:iCs w:val="1"/>
          <w:color w:val="auto"/>
        </w:rPr>
        <w:t>CEO Incentive Plan Award Opportunity</w:t>
      </w:r>
    </w:p>
    <w:p>
      <w:pPr>
        <w:spacing w:after="0" w:line="187" w:lineRule="exact"/>
        <w:rPr>
          <w:rFonts w:ascii="Arial" w:cs="Arial" w:eastAsia="Arial" w:hAnsi="Arial"/>
          <w:sz w:val="13"/>
          <w:szCs w:val="13"/>
          <w:b w:val="1"/>
          <w:bCs w:val="1"/>
          <w:color w:val="FFFFFE"/>
        </w:rPr>
      </w:pPr>
    </w:p>
    <w:p>
      <w:pPr>
        <w:ind w:right="540"/>
        <w:spacing w:after="0" w:line="247" w:lineRule="auto"/>
        <w:rPr>
          <w:sz w:val="20"/>
          <w:szCs w:val="20"/>
          <w:color w:val="auto"/>
        </w:rPr>
      </w:pPr>
      <w:r>
        <w:rPr>
          <w:rFonts w:ascii="Arial" w:cs="Arial" w:eastAsia="Arial" w:hAnsi="Arial"/>
          <w:sz w:val="20"/>
          <w:szCs w:val="20"/>
          <w:color w:val="auto"/>
        </w:rPr>
        <w:t>The CEO Incentive Plan provided the CEO an incentive opportunity based on specific achievements of both Pinnacle West earnings goals and performance goals across APS's operating business units. The award opportunity under the CEO Incentive Plan for Mr. Brandt in 2015 was as follows:</w:t>
      </w:r>
    </w:p>
    <w:p>
      <w:pPr>
        <w:spacing w:after="0" w:line="200" w:lineRule="exact"/>
        <w:rPr>
          <w:rFonts w:ascii="Arial" w:cs="Arial" w:eastAsia="Arial" w:hAnsi="Arial"/>
          <w:sz w:val="13"/>
          <w:szCs w:val="13"/>
          <w:b w:val="1"/>
          <w:bCs w:val="1"/>
          <w:color w:val="FFFFFE"/>
        </w:rPr>
      </w:pPr>
    </w:p>
    <w:p>
      <w:pPr>
        <w:spacing w:after="0" w:line="279" w:lineRule="exact"/>
        <w:rPr>
          <w:rFonts w:ascii="Arial" w:cs="Arial" w:eastAsia="Arial" w:hAnsi="Arial"/>
          <w:sz w:val="13"/>
          <w:szCs w:val="13"/>
          <w:b w:val="1"/>
          <w:bCs w:val="1"/>
          <w:color w:val="FFFFFE"/>
        </w:rPr>
      </w:pPr>
    </w:p>
    <w:tbl>
      <w:tblPr>
        <w:tblLayout w:type="fixed"/>
        <w:tblInd w:w="10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7500" w:type="dxa"/>
            <w:vAlign w:val="bottom"/>
          </w:tcPr>
          <w:p>
            <w:pPr>
              <w:spacing w:after="0"/>
              <w:rPr>
                <w:sz w:val="19"/>
                <w:szCs w:val="19"/>
                <w:color w:val="auto"/>
              </w:rPr>
            </w:pPr>
          </w:p>
        </w:tc>
        <w:tc>
          <w:tcPr>
            <w:tcW w:w="2420" w:type="dxa"/>
            <w:vAlign w:val="bottom"/>
          </w:tcPr>
          <w:p>
            <w:pPr>
              <w:jc w:val="center"/>
              <w:ind w:left="3"/>
              <w:spacing w:after="0"/>
              <w:rPr>
                <w:sz w:val="20"/>
                <w:szCs w:val="20"/>
                <w:color w:val="auto"/>
              </w:rPr>
            </w:pPr>
            <w:r>
              <w:rPr>
                <w:rFonts w:ascii="Arial" w:cs="Arial" w:eastAsia="Arial" w:hAnsi="Arial"/>
                <w:sz w:val="20"/>
                <w:szCs w:val="20"/>
                <w:b w:val="1"/>
                <w:bCs w:val="1"/>
                <w:color w:val="3A5575"/>
                <w:w w:val="97"/>
              </w:rPr>
              <w:t>INCENTIVE</w:t>
            </w:r>
          </w:p>
        </w:tc>
        <w:tc>
          <w:tcPr>
            <w:tcW w:w="1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752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INCENTIVE AWARD COMPONENT</w:t>
            </w:r>
          </w:p>
        </w:tc>
        <w:tc>
          <w:tcPr>
            <w:tcW w:w="2420" w:type="dxa"/>
            <w:vAlign w:val="bottom"/>
          </w:tcPr>
          <w:p>
            <w:pPr>
              <w:jc w:val="center"/>
              <w:ind w:left="23"/>
              <w:spacing w:after="0" w:line="221" w:lineRule="exact"/>
              <w:rPr>
                <w:sz w:val="20"/>
                <w:szCs w:val="20"/>
                <w:color w:val="auto"/>
              </w:rPr>
            </w:pPr>
            <w:r>
              <w:rPr>
                <w:rFonts w:ascii="Arial" w:cs="Arial" w:eastAsia="Arial" w:hAnsi="Arial"/>
                <w:sz w:val="20"/>
                <w:szCs w:val="20"/>
                <w:b w:val="1"/>
                <w:bCs w:val="1"/>
                <w:color w:val="3A5575"/>
                <w:w w:val="98"/>
              </w:rPr>
              <w:t>OPPORTUNITY</w:t>
            </w:r>
          </w:p>
        </w:tc>
        <w:tc>
          <w:tcPr>
            <w:tcW w:w="1480" w:type="dxa"/>
            <w:vAlign w:val="bottom"/>
            <w:vMerge w:val="restart"/>
          </w:tcPr>
          <w:p>
            <w:pPr>
              <w:ind w:left="120"/>
              <w:spacing w:after="0"/>
              <w:rPr>
                <w:sz w:val="20"/>
                <w:szCs w:val="20"/>
                <w:color w:val="auto"/>
              </w:rPr>
            </w:pPr>
            <w:r>
              <w:rPr>
                <w:rFonts w:ascii="Arial" w:cs="Arial" w:eastAsia="Arial" w:hAnsi="Arial"/>
                <w:sz w:val="20"/>
                <w:szCs w:val="20"/>
                <w:b w:val="1"/>
                <w:bCs w:val="1"/>
                <w:color w:val="3A5575"/>
                <w:w w:val="96"/>
              </w:rPr>
              <w:t>% WEIGHTING</w:t>
            </w:r>
          </w:p>
        </w:tc>
        <w:tc>
          <w:tcPr>
            <w:tcW w:w="0" w:type="dxa"/>
            <w:vAlign w:val="bottom"/>
          </w:tcPr>
          <w:p>
            <w:pPr>
              <w:spacing w:after="0"/>
              <w:rPr>
                <w:sz w:val="1"/>
                <w:szCs w:val="1"/>
                <w:color w:val="auto"/>
              </w:rPr>
            </w:pPr>
          </w:p>
        </w:tc>
      </w:tr>
      <w:tr>
        <w:trPr>
          <w:trHeight w:val="255"/>
        </w:trPr>
        <w:tc>
          <w:tcPr>
            <w:tcW w:w="7520" w:type="dxa"/>
            <w:vAlign w:val="bottom"/>
            <w:tcBorders>
              <w:bottom w:val="single" w:sz="8" w:color="646466"/>
            </w:tcBorders>
            <w:gridSpan w:val="2"/>
            <w:vMerge w:val="continue"/>
          </w:tcPr>
          <w:p>
            <w:pPr>
              <w:spacing w:after="0"/>
              <w:rPr>
                <w:sz w:val="22"/>
                <w:szCs w:val="22"/>
                <w:color w:val="auto"/>
              </w:rPr>
            </w:pPr>
          </w:p>
        </w:tc>
        <w:tc>
          <w:tcPr>
            <w:tcW w:w="2420" w:type="dxa"/>
            <w:vAlign w:val="bottom"/>
            <w:tcBorders>
              <w:bottom w:val="single" w:sz="8" w:color="646466"/>
            </w:tcBorders>
          </w:tcPr>
          <w:p>
            <w:pPr>
              <w:jc w:val="center"/>
              <w:ind w:left="3"/>
              <w:spacing w:after="0"/>
              <w:rPr>
                <w:sz w:val="20"/>
                <w:szCs w:val="20"/>
                <w:color w:val="auto"/>
              </w:rPr>
            </w:pPr>
            <w:r>
              <w:rPr>
                <w:rFonts w:ascii="Arial" w:cs="Arial" w:eastAsia="Arial" w:hAnsi="Arial"/>
                <w:sz w:val="20"/>
                <w:szCs w:val="20"/>
                <w:b w:val="1"/>
                <w:bCs w:val="1"/>
                <w:color w:val="3A5575"/>
                <w:w w:val="97"/>
              </w:rPr>
              <w:t>(% OF BASE SALARY)</w:t>
            </w:r>
          </w:p>
        </w:tc>
        <w:tc>
          <w:tcPr>
            <w:tcW w:w="1480" w:type="dxa"/>
            <w:vAlign w:val="bottom"/>
            <w:tcBorders>
              <w:bottom w:val="single" w:sz="8" w:color="646466"/>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7500" w:type="dxa"/>
            <w:vAlign w:val="bottom"/>
            <w:shd w:val="clear" w:color="auto" w:fill="E3E5EB"/>
          </w:tcPr>
          <w:p>
            <w:pPr>
              <w:spacing w:after="0" w:line="171" w:lineRule="exact"/>
              <w:rPr>
                <w:sz w:val="20"/>
                <w:szCs w:val="20"/>
                <w:color w:val="auto"/>
              </w:rPr>
            </w:pPr>
            <w:r>
              <w:rPr>
                <w:rFonts w:ascii="Arial" w:cs="Arial" w:eastAsia="Arial" w:hAnsi="Arial"/>
                <w:sz w:val="19"/>
                <w:szCs w:val="19"/>
                <w:color w:val="3A5575"/>
              </w:rPr>
              <w:t xml:space="preserve">•  </w:t>
            </w:r>
            <w:r>
              <w:rPr>
                <w:rFonts w:ascii="Arial" w:cs="Arial" w:eastAsia="Arial" w:hAnsi="Arial"/>
                <w:sz w:val="19"/>
                <w:szCs w:val="19"/>
                <w:color w:val="000000"/>
              </w:rPr>
              <w:t>Achievement of Threshold PNW Earnings</w:t>
            </w:r>
          </w:p>
        </w:tc>
        <w:tc>
          <w:tcPr>
            <w:tcW w:w="2420" w:type="dxa"/>
            <w:vAlign w:val="bottom"/>
            <w:shd w:val="clear" w:color="auto" w:fill="E3E5EB"/>
          </w:tcPr>
          <w:p>
            <w:pPr>
              <w:jc w:val="right"/>
              <w:ind w:right="863"/>
              <w:spacing w:after="0" w:line="171" w:lineRule="exact"/>
              <w:rPr>
                <w:sz w:val="20"/>
                <w:szCs w:val="20"/>
                <w:color w:val="auto"/>
              </w:rPr>
            </w:pPr>
            <w:r>
              <w:rPr>
                <w:rFonts w:ascii="Arial" w:cs="Arial" w:eastAsia="Arial" w:hAnsi="Arial"/>
                <w:sz w:val="19"/>
                <w:szCs w:val="19"/>
                <w:color w:val="auto"/>
              </w:rPr>
              <w:t>50%</w:t>
            </w:r>
          </w:p>
        </w:tc>
        <w:tc>
          <w:tcPr>
            <w:tcW w:w="1480" w:type="dxa"/>
            <w:vAlign w:val="bottom"/>
            <w:shd w:val="clear" w:color="auto" w:fill="E3E5EB"/>
          </w:tcPr>
          <w:p>
            <w:pPr>
              <w:jc w:val="center"/>
              <w:ind w:left="24"/>
              <w:spacing w:after="0" w:line="171" w:lineRule="exact"/>
              <w:rPr>
                <w:sz w:val="20"/>
                <w:szCs w:val="20"/>
                <w:color w:val="auto"/>
              </w:rPr>
            </w:pPr>
            <w:r>
              <w:rPr>
                <w:rFonts w:ascii="Arial" w:cs="Arial" w:eastAsia="Arial" w:hAnsi="Arial"/>
                <w:sz w:val="19"/>
                <w:szCs w:val="19"/>
                <w:color w:val="auto"/>
              </w:rPr>
              <w:t>25%</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7500" w:type="dxa"/>
            <w:vAlign w:val="bottom"/>
            <w:shd w:val="clear" w:color="auto" w:fill="E3E5EB"/>
          </w:tcPr>
          <w:p>
            <w:pPr>
              <w:spacing w:after="0" w:line="221" w:lineRule="exact"/>
              <w:rPr>
                <w:sz w:val="20"/>
                <w:szCs w:val="20"/>
                <w:color w:val="auto"/>
              </w:rPr>
            </w:pPr>
            <w:r>
              <w:rPr>
                <w:rFonts w:ascii="Arial" w:cs="Arial" w:eastAsia="Arial" w:hAnsi="Arial"/>
                <w:sz w:val="20"/>
                <w:szCs w:val="20"/>
                <w:color w:val="3A5575"/>
              </w:rPr>
              <w:t xml:space="preserve">•  </w:t>
            </w:r>
            <w:r>
              <w:rPr>
                <w:rFonts w:ascii="Arial" w:cs="Arial" w:eastAsia="Arial" w:hAnsi="Arial"/>
                <w:sz w:val="20"/>
                <w:szCs w:val="20"/>
                <w:color w:val="000000"/>
              </w:rPr>
              <w:t>PNW Earnings in Excess of Threshold</w:t>
            </w:r>
          </w:p>
        </w:tc>
        <w:tc>
          <w:tcPr>
            <w:tcW w:w="2420" w:type="dxa"/>
            <w:vAlign w:val="bottom"/>
            <w:shd w:val="clear" w:color="auto" w:fill="E3E5EB"/>
          </w:tcPr>
          <w:p>
            <w:pPr>
              <w:jc w:val="center"/>
              <w:ind w:left="3"/>
              <w:spacing w:after="0" w:line="221" w:lineRule="exact"/>
              <w:rPr>
                <w:sz w:val="20"/>
                <w:szCs w:val="20"/>
                <w:color w:val="auto"/>
              </w:rPr>
            </w:pPr>
            <w:r>
              <w:rPr>
                <w:rFonts w:ascii="Arial" w:cs="Arial" w:eastAsia="Arial" w:hAnsi="Arial"/>
                <w:sz w:val="20"/>
                <w:szCs w:val="20"/>
                <w:color w:val="auto"/>
                <w:w w:val="98"/>
              </w:rPr>
              <w:t>Up to 75%</w:t>
            </w:r>
          </w:p>
        </w:tc>
        <w:tc>
          <w:tcPr>
            <w:tcW w:w="1480" w:type="dxa"/>
            <w:vAlign w:val="bottom"/>
            <w:shd w:val="clear" w:color="auto" w:fill="E3E5EB"/>
          </w:tcPr>
          <w:p>
            <w:pPr>
              <w:jc w:val="center"/>
              <w:ind w:left="24"/>
              <w:spacing w:after="0" w:line="221" w:lineRule="exact"/>
              <w:rPr>
                <w:sz w:val="20"/>
                <w:szCs w:val="20"/>
                <w:color w:val="auto"/>
              </w:rPr>
            </w:pPr>
            <w:r>
              <w:rPr>
                <w:rFonts w:ascii="Arial" w:cs="Arial" w:eastAsia="Arial" w:hAnsi="Arial"/>
                <w:sz w:val="20"/>
                <w:szCs w:val="20"/>
                <w:color w:val="auto"/>
                <w:w w:val="98"/>
              </w:rPr>
              <w:t>37.5%</w:t>
            </w:r>
          </w:p>
        </w:tc>
        <w:tc>
          <w:tcPr>
            <w:tcW w:w="0" w:type="dxa"/>
            <w:vAlign w:val="bottom"/>
          </w:tcPr>
          <w:p>
            <w:pPr>
              <w:spacing w:after="0"/>
              <w:rPr>
                <w:sz w:val="1"/>
                <w:szCs w:val="1"/>
                <w:color w:val="auto"/>
              </w:rPr>
            </w:pPr>
          </w:p>
        </w:tc>
      </w:tr>
      <w:tr>
        <w:trPr>
          <w:trHeight w:val="263"/>
        </w:trPr>
        <w:tc>
          <w:tcPr>
            <w:tcW w:w="20" w:type="dxa"/>
            <w:vAlign w:val="bottom"/>
          </w:tcPr>
          <w:p>
            <w:pPr>
              <w:spacing w:after="0"/>
              <w:rPr>
                <w:sz w:val="22"/>
                <w:szCs w:val="22"/>
                <w:color w:val="auto"/>
              </w:rPr>
            </w:pPr>
          </w:p>
        </w:tc>
        <w:tc>
          <w:tcPr>
            <w:tcW w:w="7500" w:type="dxa"/>
            <w:vAlign w:val="bottom"/>
            <w:tcBorders>
              <w:bottom w:val="single" w:sz="8" w:color="646466"/>
            </w:tcBorders>
            <w:shd w:val="clear" w:color="auto" w:fill="E3E5EB"/>
          </w:tcPr>
          <w:p>
            <w:pPr>
              <w:spacing w:after="0"/>
              <w:rPr>
                <w:sz w:val="20"/>
                <w:szCs w:val="20"/>
                <w:color w:val="auto"/>
              </w:rPr>
            </w:pPr>
            <w:r>
              <w:rPr>
                <w:rFonts w:ascii="Arial" w:cs="Arial" w:eastAsia="Arial" w:hAnsi="Arial"/>
                <w:sz w:val="20"/>
                <w:szCs w:val="20"/>
                <w:color w:val="3A5575"/>
              </w:rPr>
              <w:t xml:space="preserve">•  </w:t>
            </w:r>
            <w:r>
              <w:rPr>
                <w:rFonts w:ascii="Arial" w:cs="Arial" w:eastAsia="Arial" w:hAnsi="Arial"/>
                <w:sz w:val="20"/>
                <w:szCs w:val="20"/>
                <w:color w:val="000000"/>
              </w:rPr>
              <w:t>Total Earnings Component Opportunity</w:t>
            </w:r>
          </w:p>
        </w:tc>
        <w:tc>
          <w:tcPr>
            <w:tcW w:w="2420" w:type="dxa"/>
            <w:vAlign w:val="bottom"/>
            <w:tcBorders>
              <w:bottom w:val="single" w:sz="8" w:color="646466"/>
            </w:tcBorders>
            <w:shd w:val="clear" w:color="auto" w:fill="E3E5EB"/>
          </w:tcPr>
          <w:p>
            <w:pPr>
              <w:jc w:val="center"/>
              <w:ind w:left="23"/>
              <w:spacing w:after="0"/>
              <w:rPr>
                <w:sz w:val="20"/>
                <w:szCs w:val="20"/>
                <w:color w:val="auto"/>
              </w:rPr>
            </w:pPr>
            <w:r>
              <w:rPr>
                <w:rFonts w:ascii="Arial" w:cs="Arial" w:eastAsia="Arial" w:hAnsi="Arial"/>
                <w:sz w:val="20"/>
                <w:szCs w:val="20"/>
                <w:color w:val="auto"/>
                <w:w w:val="97"/>
              </w:rPr>
              <w:t>Up to 125%</w:t>
            </w:r>
          </w:p>
        </w:tc>
        <w:tc>
          <w:tcPr>
            <w:tcW w:w="1480" w:type="dxa"/>
            <w:vAlign w:val="bottom"/>
            <w:tcBorders>
              <w:bottom w:val="single" w:sz="8" w:color="646466"/>
            </w:tcBorders>
            <w:shd w:val="clear" w:color="auto" w:fill="E3E5EB"/>
          </w:tcPr>
          <w:p>
            <w:pPr>
              <w:jc w:val="center"/>
              <w:ind w:left="24"/>
              <w:spacing w:after="0"/>
              <w:rPr>
                <w:sz w:val="20"/>
                <w:szCs w:val="20"/>
                <w:color w:val="auto"/>
              </w:rPr>
            </w:pPr>
            <w:r>
              <w:rPr>
                <w:rFonts w:ascii="Arial" w:cs="Arial" w:eastAsia="Arial" w:hAnsi="Arial"/>
                <w:sz w:val="20"/>
                <w:szCs w:val="20"/>
                <w:color w:val="auto"/>
                <w:w w:val="98"/>
              </w:rPr>
              <w:t>62.5%</w:t>
            </w:r>
          </w:p>
        </w:tc>
        <w:tc>
          <w:tcPr>
            <w:tcW w:w="0" w:type="dxa"/>
            <w:vAlign w:val="bottom"/>
          </w:tcPr>
          <w:p>
            <w:pPr>
              <w:spacing w:after="0"/>
              <w:rPr>
                <w:sz w:val="1"/>
                <w:szCs w:val="1"/>
                <w:color w:val="auto"/>
              </w:rPr>
            </w:pPr>
          </w:p>
        </w:tc>
      </w:tr>
      <w:tr>
        <w:trPr>
          <w:trHeight w:val="397"/>
        </w:trPr>
        <w:tc>
          <w:tcPr>
            <w:tcW w:w="20" w:type="dxa"/>
            <w:vAlign w:val="bottom"/>
          </w:tcPr>
          <w:p>
            <w:pPr>
              <w:spacing w:after="0"/>
              <w:rPr>
                <w:sz w:val="24"/>
                <w:szCs w:val="24"/>
                <w:color w:val="auto"/>
              </w:rPr>
            </w:pPr>
          </w:p>
        </w:tc>
        <w:tc>
          <w:tcPr>
            <w:tcW w:w="7500" w:type="dxa"/>
            <w:vAlign w:val="bottom"/>
            <w:tcBorders>
              <w:bottom w:val="single" w:sz="8" w:color="646466"/>
            </w:tcBorders>
          </w:tcPr>
          <w:p>
            <w:pPr>
              <w:spacing w:after="0"/>
              <w:rPr>
                <w:sz w:val="24"/>
                <w:szCs w:val="24"/>
                <w:color w:val="auto"/>
              </w:rPr>
            </w:pPr>
          </w:p>
        </w:tc>
        <w:tc>
          <w:tcPr>
            <w:tcW w:w="2420" w:type="dxa"/>
            <w:vAlign w:val="bottom"/>
            <w:tcBorders>
              <w:bottom w:val="single" w:sz="8" w:color="646466"/>
            </w:tcBorders>
          </w:tcPr>
          <w:p>
            <w:pPr>
              <w:spacing w:after="0"/>
              <w:rPr>
                <w:sz w:val="24"/>
                <w:szCs w:val="24"/>
                <w:color w:val="auto"/>
              </w:rPr>
            </w:pPr>
          </w:p>
        </w:tc>
        <w:tc>
          <w:tcPr>
            <w:tcW w:w="1480" w:type="dxa"/>
            <w:vAlign w:val="bottom"/>
            <w:tcBorders>
              <w:bottom w:val="single" w:sz="8" w:color="646466"/>
            </w:tcBorders>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7500" w:type="dxa"/>
            <w:vAlign w:val="bottom"/>
            <w:shd w:val="clear" w:color="auto" w:fill="E3E5EB"/>
          </w:tcPr>
          <w:p>
            <w:pPr>
              <w:spacing w:after="0" w:line="171" w:lineRule="exact"/>
              <w:rPr>
                <w:sz w:val="20"/>
                <w:szCs w:val="20"/>
                <w:color w:val="auto"/>
              </w:rPr>
            </w:pPr>
            <w:r>
              <w:rPr>
                <w:rFonts w:ascii="Arial" w:cs="Arial" w:eastAsia="Arial" w:hAnsi="Arial"/>
                <w:sz w:val="19"/>
                <w:szCs w:val="19"/>
                <w:color w:val="3A5575"/>
              </w:rPr>
              <w:t xml:space="preserve">•  </w:t>
            </w:r>
            <w:r>
              <w:rPr>
                <w:rFonts w:ascii="Arial" w:cs="Arial" w:eastAsia="Arial" w:hAnsi="Arial"/>
                <w:sz w:val="19"/>
                <w:szCs w:val="19"/>
                <w:color w:val="000000"/>
              </w:rPr>
              <w:t>Total Business Unit Performance Component Opportunity (consists of performance</w:t>
            </w:r>
          </w:p>
        </w:tc>
        <w:tc>
          <w:tcPr>
            <w:tcW w:w="2420" w:type="dxa"/>
            <w:vAlign w:val="bottom"/>
            <w:shd w:val="clear" w:color="auto" w:fill="E3E5EB"/>
          </w:tcPr>
          <w:p>
            <w:pPr>
              <w:jc w:val="center"/>
              <w:ind w:left="3"/>
              <w:spacing w:after="0" w:line="171" w:lineRule="exact"/>
              <w:rPr>
                <w:sz w:val="20"/>
                <w:szCs w:val="20"/>
                <w:color w:val="auto"/>
              </w:rPr>
            </w:pPr>
            <w:r>
              <w:rPr>
                <w:rFonts w:ascii="Arial" w:cs="Arial" w:eastAsia="Arial" w:hAnsi="Arial"/>
                <w:sz w:val="19"/>
                <w:szCs w:val="19"/>
                <w:color w:val="auto"/>
              </w:rPr>
              <w:t>Up to 75%</w:t>
            </w:r>
          </w:p>
        </w:tc>
        <w:tc>
          <w:tcPr>
            <w:tcW w:w="1480" w:type="dxa"/>
            <w:vAlign w:val="bottom"/>
            <w:shd w:val="clear" w:color="auto" w:fill="E3E5EB"/>
          </w:tcPr>
          <w:p>
            <w:pPr>
              <w:jc w:val="center"/>
              <w:ind w:left="24"/>
              <w:spacing w:after="0" w:line="171" w:lineRule="exact"/>
              <w:rPr>
                <w:sz w:val="20"/>
                <w:szCs w:val="20"/>
                <w:color w:val="auto"/>
              </w:rPr>
            </w:pPr>
            <w:r>
              <w:rPr>
                <w:rFonts w:ascii="Arial" w:cs="Arial" w:eastAsia="Arial" w:hAnsi="Arial"/>
                <w:sz w:val="19"/>
                <w:szCs w:val="19"/>
                <w:color w:val="auto"/>
              </w:rPr>
              <w:t>37.5%</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7500" w:type="dxa"/>
            <w:vAlign w:val="bottom"/>
            <w:shd w:val="clear" w:color="auto" w:fill="E3E5EB"/>
          </w:tcPr>
          <w:p>
            <w:pPr>
              <w:ind w:left="280"/>
              <w:spacing w:after="0" w:line="221" w:lineRule="exact"/>
              <w:rPr>
                <w:sz w:val="20"/>
                <w:szCs w:val="20"/>
                <w:color w:val="auto"/>
              </w:rPr>
            </w:pPr>
            <w:r>
              <w:rPr>
                <w:rFonts w:ascii="Arial" w:cs="Arial" w:eastAsia="Arial" w:hAnsi="Arial"/>
                <w:sz w:val="20"/>
                <w:szCs w:val="20"/>
                <w:color w:val="auto"/>
                <w:w w:val="97"/>
              </w:rPr>
              <w:t>of the Corporate Resources, Customer Service, Fossil Generation, Palo Verde, and</w:t>
            </w:r>
          </w:p>
        </w:tc>
        <w:tc>
          <w:tcPr>
            <w:tcW w:w="2420" w:type="dxa"/>
            <w:vAlign w:val="bottom"/>
            <w:shd w:val="clear" w:color="auto" w:fill="E3E5EB"/>
          </w:tcPr>
          <w:p>
            <w:pPr>
              <w:spacing w:after="0"/>
              <w:rPr>
                <w:sz w:val="19"/>
                <w:szCs w:val="19"/>
                <w:color w:val="auto"/>
              </w:rPr>
            </w:pPr>
          </w:p>
        </w:tc>
        <w:tc>
          <w:tcPr>
            <w:tcW w:w="148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7500" w:type="dxa"/>
            <w:vAlign w:val="bottom"/>
            <w:shd w:val="clear" w:color="auto" w:fill="E3E5EB"/>
          </w:tcPr>
          <w:p>
            <w:pPr>
              <w:ind w:left="280"/>
              <w:spacing w:after="0" w:line="221" w:lineRule="exact"/>
              <w:rPr>
                <w:sz w:val="20"/>
                <w:szCs w:val="20"/>
                <w:color w:val="auto"/>
              </w:rPr>
            </w:pPr>
            <w:r>
              <w:rPr>
                <w:rFonts w:ascii="Arial" w:cs="Arial" w:eastAsia="Arial" w:hAnsi="Arial"/>
                <w:sz w:val="20"/>
                <w:szCs w:val="20"/>
                <w:color w:val="auto"/>
                <w:w w:val="99"/>
              </w:rPr>
              <w:t>Transmission and Distribution business units under the APS Incentive Plans, each</w:t>
            </w:r>
          </w:p>
        </w:tc>
        <w:tc>
          <w:tcPr>
            <w:tcW w:w="2420" w:type="dxa"/>
            <w:vAlign w:val="bottom"/>
            <w:shd w:val="clear" w:color="auto" w:fill="E3E5EB"/>
          </w:tcPr>
          <w:p>
            <w:pPr>
              <w:spacing w:after="0"/>
              <w:rPr>
                <w:sz w:val="19"/>
                <w:szCs w:val="19"/>
                <w:color w:val="auto"/>
              </w:rPr>
            </w:pPr>
          </w:p>
        </w:tc>
        <w:tc>
          <w:tcPr>
            <w:tcW w:w="148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7500" w:type="dxa"/>
            <w:vAlign w:val="bottom"/>
            <w:tcBorders>
              <w:bottom w:val="single" w:sz="8" w:color="646466"/>
            </w:tcBorders>
            <w:shd w:val="clear" w:color="auto" w:fill="E3E5EB"/>
          </w:tcPr>
          <w:p>
            <w:pPr>
              <w:ind w:left="280"/>
              <w:spacing w:after="0"/>
              <w:rPr>
                <w:sz w:val="20"/>
                <w:szCs w:val="20"/>
                <w:color w:val="auto"/>
              </w:rPr>
            </w:pPr>
            <w:r>
              <w:rPr>
                <w:rFonts w:ascii="Arial" w:cs="Arial" w:eastAsia="Arial" w:hAnsi="Arial"/>
                <w:sz w:val="20"/>
                <w:szCs w:val="20"/>
                <w:color w:val="auto"/>
              </w:rPr>
              <w:t>weighted equally)</w:t>
            </w:r>
          </w:p>
        </w:tc>
        <w:tc>
          <w:tcPr>
            <w:tcW w:w="2420" w:type="dxa"/>
            <w:vAlign w:val="bottom"/>
            <w:tcBorders>
              <w:bottom w:val="single" w:sz="8" w:color="646466"/>
            </w:tcBorders>
            <w:shd w:val="clear" w:color="auto" w:fill="E3E5EB"/>
          </w:tcPr>
          <w:p>
            <w:pPr>
              <w:spacing w:after="0"/>
              <w:rPr>
                <w:sz w:val="21"/>
                <w:szCs w:val="21"/>
                <w:color w:val="auto"/>
              </w:rPr>
            </w:pPr>
          </w:p>
        </w:tc>
        <w:tc>
          <w:tcPr>
            <w:tcW w:w="1480" w:type="dxa"/>
            <w:vAlign w:val="bottom"/>
            <w:tcBorders>
              <w:bottom w:val="single" w:sz="8" w:color="646466"/>
            </w:tcBorders>
            <w:shd w:val="clear" w:color="auto" w:fill="E3E5EB"/>
          </w:tcPr>
          <w:p>
            <w:pPr>
              <w:spacing w:after="0"/>
              <w:rPr>
                <w:sz w:val="21"/>
                <w:szCs w:val="21"/>
                <w:color w:val="auto"/>
              </w:rPr>
            </w:pPr>
          </w:p>
        </w:tc>
        <w:tc>
          <w:tcPr>
            <w:tcW w:w="0" w:type="dxa"/>
            <w:vAlign w:val="bottom"/>
          </w:tcPr>
          <w:p>
            <w:pPr>
              <w:spacing w:after="0"/>
              <w:rPr>
                <w:sz w:val="1"/>
                <w:szCs w:val="1"/>
                <w:color w:val="auto"/>
              </w:rPr>
            </w:pPr>
          </w:p>
        </w:tc>
      </w:tr>
      <w:tr>
        <w:trPr>
          <w:trHeight w:val="397"/>
        </w:trPr>
        <w:tc>
          <w:tcPr>
            <w:tcW w:w="20" w:type="dxa"/>
            <w:vAlign w:val="bottom"/>
          </w:tcPr>
          <w:p>
            <w:pPr>
              <w:spacing w:after="0"/>
              <w:rPr>
                <w:sz w:val="24"/>
                <w:szCs w:val="24"/>
                <w:color w:val="auto"/>
              </w:rPr>
            </w:pPr>
          </w:p>
        </w:tc>
        <w:tc>
          <w:tcPr>
            <w:tcW w:w="7500" w:type="dxa"/>
            <w:vAlign w:val="bottom"/>
            <w:tcBorders>
              <w:bottom w:val="single" w:sz="8" w:color="646466"/>
            </w:tcBorders>
          </w:tcPr>
          <w:p>
            <w:pPr>
              <w:spacing w:after="0"/>
              <w:rPr>
                <w:sz w:val="24"/>
                <w:szCs w:val="24"/>
                <w:color w:val="auto"/>
              </w:rPr>
            </w:pPr>
          </w:p>
        </w:tc>
        <w:tc>
          <w:tcPr>
            <w:tcW w:w="2420" w:type="dxa"/>
            <w:vAlign w:val="bottom"/>
            <w:tcBorders>
              <w:bottom w:val="single" w:sz="8" w:color="646466"/>
            </w:tcBorders>
          </w:tcPr>
          <w:p>
            <w:pPr>
              <w:spacing w:after="0"/>
              <w:rPr>
                <w:sz w:val="24"/>
                <w:szCs w:val="24"/>
                <w:color w:val="auto"/>
              </w:rPr>
            </w:pPr>
          </w:p>
        </w:tc>
        <w:tc>
          <w:tcPr>
            <w:tcW w:w="1480" w:type="dxa"/>
            <w:vAlign w:val="bottom"/>
            <w:tcBorders>
              <w:bottom w:val="single" w:sz="8" w:color="646466"/>
            </w:tcBorders>
          </w:tcPr>
          <w:p>
            <w:pPr>
              <w:spacing w:after="0"/>
              <w:rPr>
                <w:sz w:val="24"/>
                <w:szCs w:val="24"/>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7500" w:type="dxa"/>
            <w:vAlign w:val="bottom"/>
            <w:tcBorders>
              <w:bottom w:val="single" w:sz="8" w:color="395775"/>
            </w:tcBorders>
            <w:shd w:val="clear" w:color="auto" w:fill="E3E5EB"/>
          </w:tcPr>
          <w:p>
            <w:pPr>
              <w:spacing w:after="0" w:line="213" w:lineRule="exact"/>
              <w:rPr>
                <w:sz w:val="20"/>
                <w:szCs w:val="20"/>
                <w:color w:val="auto"/>
              </w:rPr>
            </w:pPr>
            <w:r>
              <w:rPr>
                <w:rFonts w:ascii="Arial" w:cs="Arial" w:eastAsia="Arial" w:hAnsi="Arial"/>
                <w:sz w:val="20"/>
                <w:szCs w:val="20"/>
                <w:color w:val="3A5575"/>
              </w:rPr>
              <w:t xml:space="preserve">•  </w:t>
            </w:r>
            <w:r>
              <w:rPr>
                <w:rFonts w:ascii="Arial" w:cs="Arial" w:eastAsia="Arial" w:hAnsi="Arial"/>
                <w:sz w:val="20"/>
                <w:szCs w:val="20"/>
                <w:color w:val="000000"/>
              </w:rPr>
              <w:t>Total 2015 CEO Incentive Award Maximum Opportunity</w:t>
            </w:r>
          </w:p>
        </w:tc>
        <w:tc>
          <w:tcPr>
            <w:tcW w:w="2420" w:type="dxa"/>
            <w:vAlign w:val="bottom"/>
            <w:tcBorders>
              <w:bottom w:val="single" w:sz="8" w:color="395775"/>
            </w:tcBorders>
            <w:shd w:val="clear" w:color="auto" w:fill="E3E5EB"/>
          </w:tcPr>
          <w:p>
            <w:pPr>
              <w:jc w:val="right"/>
              <w:ind w:right="803"/>
              <w:spacing w:after="0" w:line="213" w:lineRule="exact"/>
              <w:rPr>
                <w:sz w:val="20"/>
                <w:szCs w:val="20"/>
                <w:color w:val="auto"/>
              </w:rPr>
            </w:pPr>
            <w:r>
              <w:rPr>
                <w:rFonts w:ascii="Arial" w:cs="Arial" w:eastAsia="Arial" w:hAnsi="Arial"/>
                <w:sz w:val="20"/>
                <w:szCs w:val="20"/>
                <w:color w:val="auto"/>
              </w:rPr>
              <w:t>200%</w:t>
            </w:r>
          </w:p>
        </w:tc>
        <w:tc>
          <w:tcPr>
            <w:tcW w:w="1480" w:type="dxa"/>
            <w:vAlign w:val="bottom"/>
            <w:tcBorders>
              <w:bottom w:val="single" w:sz="8" w:color="395775"/>
            </w:tcBorders>
            <w:shd w:val="clear" w:color="auto" w:fill="E3E5EB"/>
          </w:tcPr>
          <w:p>
            <w:pPr>
              <w:jc w:val="center"/>
              <w:ind w:left="4"/>
              <w:spacing w:after="0" w:line="213" w:lineRule="exact"/>
              <w:rPr>
                <w:sz w:val="20"/>
                <w:szCs w:val="20"/>
                <w:color w:val="auto"/>
              </w:rPr>
            </w:pPr>
            <w:r>
              <w:rPr>
                <w:rFonts w:ascii="Arial" w:cs="Arial" w:eastAsia="Arial" w:hAnsi="Arial"/>
                <w:sz w:val="20"/>
                <w:szCs w:val="20"/>
                <w:color w:val="auto"/>
                <w:w w:val="97"/>
              </w:rPr>
              <w:t>100%</w:t>
            </w:r>
          </w:p>
        </w:tc>
        <w:tc>
          <w:tcPr>
            <w:tcW w:w="0" w:type="dxa"/>
            <w:vAlign w:val="bottom"/>
          </w:tcPr>
          <w:p>
            <w:pPr>
              <w:spacing w:after="0"/>
              <w:rPr>
                <w:sz w:val="1"/>
                <w:szCs w:val="1"/>
                <w:color w:val="auto"/>
              </w:rPr>
            </w:pPr>
          </w:p>
        </w:tc>
      </w:tr>
    </w:tbl>
    <w:p>
      <w:pPr>
        <w:spacing w:after="0" w:line="277" w:lineRule="exact"/>
        <w:rPr>
          <w:rFonts w:ascii="Arial" w:cs="Arial" w:eastAsia="Arial" w:hAnsi="Arial"/>
          <w:sz w:val="13"/>
          <w:szCs w:val="13"/>
          <w:b w:val="1"/>
          <w:bCs w:val="1"/>
          <w:color w:val="FFFFFE"/>
        </w:rPr>
      </w:pPr>
    </w:p>
    <w:p>
      <w:pPr>
        <w:ind w:right="120"/>
        <w:spacing w:after="0" w:line="249" w:lineRule="auto"/>
        <w:rPr>
          <w:sz w:val="20"/>
          <w:szCs w:val="20"/>
          <w:color w:val="auto"/>
        </w:rPr>
      </w:pPr>
      <w:r>
        <w:rPr>
          <w:rFonts w:ascii="Arial" w:cs="Arial" w:eastAsia="Arial" w:hAnsi="Arial"/>
          <w:sz w:val="19"/>
          <w:szCs w:val="19"/>
          <w:color w:val="auto"/>
        </w:rPr>
        <w:t>The Committee structured the CEO Incentive Plan so that if Pinnacle West earnings came in at the mid-point between threshold and maximum amounts ($417 million) and each business unit achieved its target performance levels, Mr. Brandt would receive an incentive award equal to 125% of his 2015 base salary. The Company believed that the mid-point number represented a reasonable expectation of the achievement of earnings for 2015. Through the Company's ongoing shareholder engagement program, we received feedback regarding the Committee's ability to exercise discretion with respect to the CEO Incentive Plan. As a result, we amended the plan to provide detailed metrics against which his performance would be measured. The 2015 plan limited the Committee's ability to exercise discretion to increase Mr. Brandt's award beyond the parameters described in the table above so that discretion could only be exercised to account for unanticipated events that might arise during the performance period.</w:t>
      </w:r>
    </w:p>
    <w:p>
      <w:pPr>
        <w:spacing w:after="0" w:line="81" w:lineRule="exact"/>
        <w:rPr>
          <w:rFonts w:ascii="Arial" w:cs="Arial" w:eastAsia="Arial" w:hAnsi="Arial"/>
          <w:sz w:val="13"/>
          <w:szCs w:val="13"/>
          <w:b w:val="1"/>
          <w:bCs w:val="1"/>
          <w:color w:val="FFFFFE"/>
        </w:rPr>
      </w:pPr>
    </w:p>
    <w:p>
      <w:pPr>
        <w:ind w:left="7480"/>
        <w:spacing w:after="0"/>
        <w:tabs>
          <w:tab w:leader="none" w:pos="932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47</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56" w:name="page57"/>
    <w:bookmarkEnd w:id="56"/>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17" w:lineRule="exact"/>
        <w:rPr>
          <w:sz w:val="20"/>
          <w:szCs w:val="20"/>
          <w:color w:val="auto"/>
        </w:rPr>
      </w:pPr>
    </w:p>
    <w:tbl>
      <w:tblPr>
        <w:tblLayout w:type="fixed"/>
        <w:tblInd w:w="2" w:type="dxa"/>
        <w:tblCellMar>
          <w:top w:w="0" w:type="dxa"/>
          <w:left w:w="0" w:type="dxa"/>
          <w:bottom w:w="0" w:type="dxa"/>
          <w:right w:w="0" w:type="dxa"/>
        </w:tblCellMar>
      </w:tblPr>
      <w:tr>
        <w:trPr>
          <w:trHeight w:val="225"/>
        </w:trPr>
        <w:tc>
          <w:tcPr>
            <w:tcW w:w="100" w:type="dxa"/>
            <w:vAlign w:val="bottom"/>
            <w:tcBorders>
              <w:bottom w:val="single" w:sz="8" w:color="3A5575"/>
            </w:tcBorders>
            <w:shd w:val="clear" w:color="auto" w:fill="3A5575"/>
          </w:tcPr>
          <w:p>
            <w:pPr>
              <w:spacing w:after="0"/>
              <w:rPr>
                <w:sz w:val="19"/>
                <w:szCs w:val="19"/>
                <w:color w:val="auto"/>
              </w:rPr>
            </w:pPr>
          </w:p>
        </w:tc>
        <w:tc>
          <w:tcPr>
            <w:tcW w:w="2240" w:type="dxa"/>
            <w:vAlign w:val="bottom"/>
            <w:tcBorders>
              <w:bottom w:val="single" w:sz="8" w:color="3A5575"/>
            </w:tcBorders>
            <w:shd w:val="clear" w:color="auto" w:fill="3A5575"/>
          </w:tcPr>
          <w:p>
            <w:pPr>
              <w:ind w:left="360"/>
              <w:spacing w:after="0"/>
              <w:rPr>
                <w:sz w:val="20"/>
                <w:szCs w:val="20"/>
                <w:color w:val="auto"/>
              </w:rPr>
            </w:pPr>
            <w:r>
              <w:rPr>
                <w:rFonts w:ascii="Arial" w:cs="Arial" w:eastAsia="Arial" w:hAnsi="Arial"/>
                <w:sz w:val="13"/>
                <w:szCs w:val="13"/>
                <w:b w:val="1"/>
                <w:bCs w:val="1"/>
                <w:color w:val="FFFFFE"/>
              </w:rPr>
              <w:t>EXECUTIVE COMPENSATION</w:t>
            </w:r>
          </w:p>
        </w:tc>
        <w:tc>
          <w:tcPr>
            <w:tcW w:w="1860" w:type="dxa"/>
            <w:vAlign w:val="bottom"/>
          </w:tcPr>
          <w:p>
            <w:pPr>
              <w:spacing w:after="0"/>
              <w:rPr>
                <w:sz w:val="19"/>
                <w:szCs w:val="19"/>
                <w:color w:val="auto"/>
              </w:rPr>
            </w:pPr>
          </w:p>
        </w:tc>
        <w:tc>
          <w:tcPr>
            <w:tcW w:w="7320" w:type="dxa"/>
            <w:vAlign w:val="bottom"/>
            <w:gridSpan w:val="3"/>
            <w:vMerge w:val="restart"/>
          </w:tcPr>
          <w:p>
            <w:pPr>
              <w:ind w:left="440"/>
              <w:spacing w:after="0"/>
              <w:rPr>
                <w:sz w:val="20"/>
                <w:szCs w:val="20"/>
                <w:color w:val="auto"/>
              </w:rPr>
            </w:pPr>
            <w:r>
              <w:rPr>
                <w:rFonts w:ascii="Arial" w:cs="Arial" w:eastAsia="Arial" w:hAnsi="Arial"/>
                <w:sz w:val="20"/>
                <w:szCs w:val="20"/>
                <w:b w:val="1"/>
                <w:bCs w:val="1"/>
                <w:color w:val="auto"/>
              </w:rPr>
              <w:t>Earnings Component of the CEO Incentive Plan</w:t>
            </w:r>
          </w:p>
        </w:tc>
        <w:tc>
          <w:tcPr>
            <w:tcW w:w="0" w:type="dxa"/>
            <w:vAlign w:val="bottom"/>
          </w:tcPr>
          <w:p>
            <w:pPr>
              <w:spacing w:after="0"/>
              <w:rPr>
                <w:sz w:val="1"/>
                <w:szCs w:val="1"/>
                <w:color w:val="auto"/>
              </w:rPr>
            </w:pPr>
          </w:p>
        </w:tc>
      </w:tr>
      <w:tr>
        <w:trPr>
          <w:trHeight w:val="146"/>
        </w:trPr>
        <w:tc>
          <w:tcPr>
            <w:tcW w:w="100" w:type="dxa"/>
            <w:vAlign w:val="bottom"/>
          </w:tcPr>
          <w:p>
            <w:pPr>
              <w:spacing w:after="0"/>
              <w:rPr>
                <w:sz w:val="12"/>
                <w:szCs w:val="12"/>
                <w:color w:val="auto"/>
              </w:rPr>
            </w:pPr>
          </w:p>
        </w:tc>
        <w:tc>
          <w:tcPr>
            <w:tcW w:w="2240" w:type="dxa"/>
            <w:vAlign w:val="bottom"/>
          </w:tcPr>
          <w:p>
            <w:pPr>
              <w:spacing w:after="0"/>
              <w:rPr>
                <w:sz w:val="12"/>
                <w:szCs w:val="12"/>
                <w:color w:val="auto"/>
              </w:rPr>
            </w:pPr>
          </w:p>
        </w:tc>
        <w:tc>
          <w:tcPr>
            <w:tcW w:w="1860" w:type="dxa"/>
            <w:vAlign w:val="bottom"/>
          </w:tcPr>
          <w:p>
            <w:pPr>
              <w:spacing w:after="0"/>
              <w:rPr>
                <w:sz w:val="12"/>
                <w:szCs w:val="12"/>
                <w:color w:val="auto"/>
              </w:rPr>
            </w:pPr>
          </w:p>
        </w:tc>
        <w:tc>
          <w:tcPr>
            <w:tcW w:w="732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38"/>
        </w:trPr>
        <w:tc>
          <w:tcPr>
            <w:tcW w:w="100" w:type="dxa"/>
            <w:vAlign w:val="bottom"/>
          </w:tcPr>
          <w:p>
            <w:pPr>
              <w:spacing w:after="0"/>
              <w:rPr>
                <w:sz w:val="24"/>
                <w:szCs w:val="24"/>
                <w:color w:val="auto"/>
              </w:rPr>
            </w:pPr>
          </w:p>
        </w:tc>
        <w:tc>
          <w:tcPr>
            <w:tcW w:w="4100" w:type="dxa"/>
            <w:vAlign w:val="bottom"/>
            <w:tcBorders>
              <w:bottom w:val="single" w:sz="8" w:color="646466"/>
            </w:tcBorders>
            <w:gridSpan w:val="2"/>
          </w:tcPr>
          <w:p>
            <w:pPr>
              <w:spacing w:after="0"/>
              <w:rPr>
                <w:sz w:val="20"/>
                <w:szCs w:val="20"/>
                <w:color w:val="auto"/>
              </w:rPr>
            </w:pPr>
            <w:r>
              <w:rPr>
                <w:rFonts w:ascii="Arial" w:cs="Arial" w:eastAsia="Arial" w:hAnsi="Arial"/>
                <w:sz w:val="20"/>
                <w:szCs w:val="20"/>
                <w:b w:val="1"/>
                <w:bCs w:val="1"/>
                <w:color w:val="3A5575"/>
              </w:rPr>
              <w:t>EARNINGS PERFORMANCE MEASURE</w:t>
            </w:r>
          </w:p>
        </w:tc>
        <w:tc>
          <w:tcPr>
            <w:tcW w:w="3860" w:type="dxa"/>
            <w:vAlign w:val="bottom"/>
            <w:tcBorders>
              <w:bottom w:val="single" w:sz="8" w:color="646466"/>
            </w:tcBorders>
            <w:gridSpan w:val="2"/>
          </w:tcPr>
          <w:p>
            <w:pPr>
              <w:ind w:left="1080"/>
              <w:spacing w:after="0"/>
              <w:rPr>
                <w:sz w:val="20"/>
                <w:szCs w:val="20"/>
                <w:color w:val="auto"/>
              </w:rPr>
            </w:pPr>
            <w:r>
              <w:rPr>
                <w:rFonts w:ascii="Arial" w:cs="Arial" w:eastAsia="Arial" w:hAnsi="Arial"/>
                <w:sz w:val="20"/>
                <w:szCs w:val="20"/>
                <w:b w:val="1"/>
                <w:bCs w:val="1"/>
                <w:color w:val="3A5575"/>
              </w:rPr>
              <w:t>2015 LEVELS</w:t>
            </w:r>
          </w:p>
        </w:tc>
        <w:tc>
          <w:tcPr>
            <w:tcW w:w="3460" w:type="dxa"/>
            <w:vAlign w:val="bottom"/>
            <w:tcBorders>
              <w:bottom w:val="single" w:sz="8" w:color="646466"/>
            </w:tcBorders>
          </w:tcPr>
          <w:p>
            <w:pPr>
              <w:jc w:val="center"/>
              <w:ind w:right="2"/>
              <w:spacing w:after="0"/>
              <w:rPr>
                <w:sz w:val="20"/>
                <w:szCs w:val="20"/>
                <w:color w:val="auto"/>
              </w:rPr>
            </w:pPr>
            <w:r>
              <w:rPr>
                <w:rFonts w:ascii="Arial" w:cs="Arial" w:eastAsia="Arial" w:hAnsi="Arial"/>
                <w:sz w:val="20"/>
                <w:szCs w:val="20"/>
                <w:b w:val="1"/>
                <w:bCs w:val="1"/>
                <w:color w:val="3A5575"/>
                <w:w w:val="97"/>
              </w:rPr>
              <w:t>2015 RESULTS</w:t>
            </w:r>
          </w:p>
        </w:tc>
        <w:tc>
          <w:tcPr>
            <w:tcW w:w="0" w:type="dxa"/>
            <w:vAlign w:val="bottom"/>
          </w:tcPr>
          <w:p>
            <w:pPr>
              <w:spacing w:after="0"/>
              <w:rPr>
                <w:sz w:val="1"/>
                <w:szCs w:val="1"/>
                <w:color w:val="auto"/>
              </w:rPr>
            </w:pPr>
          </w:p>
        </w:tc>
      </w:tr>
      <w:tr>
        <w:trPr>
          <w:trHeight w:val="183"/>
        </w:trPr>
        <w:tc>
          <w:tcPr>
            <w:tcW w:w="100" w:type="dxa"/>
            <w:vAlign w:val="bottom"/>
          </w:tcPr>
          <w:p>
            <w:pPr>
              <w:spacing w:after="0"/>
              <w:rPr>
                <w:sz w:val="15"/>
                <w:szCs w:val="15"/>
                <w:color w:val="auto"/>
              </w:rPr>
            </w:pPr>
          </w:p>
        </w:tc>
        <w:tc>
          <w:tcPr>
            <w:tcW w:w="4100" w:type="dxa"/>
            <w:vAlign w:val="bottom"/>
            <w:gridSpan w:val="2"/>
          </w:tcPr>
          <w:p>
            <w:pPr>
              <w:spacing w:after="0" w:line="184" w:lineRule="exact"/>
              <w:rPr>
                <w:sz w:val="20"/>
                <w:szCs w:val="20"/>
                <w:color w:val="auto"/>
              </w:rPr>
            </w:pPr>
            <w:r>
              <w:rPr>
                <w:rFonts w:ascii="Arial" w:cs="Arial" w:eastAsia="Arial" w:hAnsi="Arial"/>
                <w:sz w:val="20"/>
                <w:szCs w:val="20"/>
                <w:color w:val="auto"/>
              </w:rPr>
              <w:t>PNW earnings</w:t>
            </w:r>
          </w:p>
        </w:tc>
        <w:tc>
          <w:tcPr>
            <w:tcW w:w="1560" w:type="dxa"/>
            <w:vAlign w:val="bottom"/>
          </w:tcPr>
          <w:p>
            <w:pPr>
              <w:ind w:left="540"/>
              <w:spacing w:after="0" w:line="184" w:lineRule="exact"/>
              <w:rPr>
                <w:sz w:val="20"/>
                <w:szCs w:val="20"/>
                <w:color w:val="auto"/>
              </w:rPr>
            </w:pPr>
            <w:r>
              <w:rPr>
                <w:rFonts w:ascii="Arial" w:cs="Arial" w:eastAsia="Arial" w:hAnsi="Arial"/>
                <w:sz w:val="20"/>
                <w:szCs w:val="20"/>
                <w:color w:val="auto"/>
              </w:rPr>
              <w:t>Threshold:</w:t>
            </w:r>
          </w:p>
        </w:tc>
        <w:tc>
          <w:tcPr>
            <w:tcW w:w="2300" w:type="dxa"/>
            <w:vAlign w:val="bottom"/>
          </w:tcPr>
          <w:p>
            <w:pPr>
              <w:ind w:left="120"/>
              <w:spacing w:after="0" w:line="184" w:lineRule="exact"/>
              <w:rPr>
                <w:sz w:val="20"/>
                <w:szCs w:val="20"/>
                <w:color w:val="auto"/>
              </w:rPr>
            </w:pPr>
            <w:r>
              <w:rPr>
                <w:rFonts w:ascii="Arial" w:cs="Arial" w:eastAsia="Arial" w:hAnsi="Arial"/>
                <w:sz w:val="20"/>
                <w:szCs w:val="20"/>
                <w:color w:val="auto"/>
              </w:rPr>
              <w:t>$  369 million</w:t>
            </w:r>
          </w:p>
        </w:tc>
        <w:tc>
          <w:tcPr>
            <w:tcW w:w="3460" w:type="dxa"/>
            <w:vAlign w:val="bottom"/>
          </w:tcPr>
          <w:p>
            <w:pPr>
              <w:jc w:val="center"/>
              <w:ind w:right="2"/>
              <w:spacing w:after="0" w:line="184" w:lineRule="exact"/>
              <w:rPr>
                <w:sz w:val="20"/>
                <w:szCs w:val="20"/>
                <w:color w:val="auto"/>
              </w:rPr>
            </w:pPr>
            <w:r>
              <w:rPr>
                <w:rFonts w:ascii="Arial" w:cs="Arial" w:eastAsia="Arial" w:hAnsi="Arial"/>
                <w:sz w:val="20"/>
                <w:szCs w:val="20"/>
                <w:color w:val="auto"/>
                <w:w w:val="97"/>
              </w:rPr>
              <w:t>$465 million</w:t>
            </w: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2240" w:type="dxa"/>
            <w:vAlign w:val="bottom"/>
            <w:tcBorders>
              <w:bottom w:val="single" w:sz="8" w:color="395775"/>
            </w:tcBorders>
          </w:tcPr>
          <w:p>
            <w:pPr>
              <w:spacing w:after="0"/>
              <w:rPr>
                <w:sz w:val="21"/>
                <w:szCs w:val="21"/>
                <w:color w:val="auto"/>
              </w:rPr>
            </w:pPr>
          </w:p>
        </w:tc>
        <w:tc>
          <w:tcPr>
            <w:tcW w:w="1860" w:type="dxa"/>
            <w:vAlign w:val="bottom"/>
            <w:tcBorders>
              <w:bottom w:val="single" w:sz="8" w:color="395775"/>
            </w:tcBorders>
          </w:tcPr>
          <w:p>
            <w:pPr>
              <w:spacing w:after="0"/>
              <w:rPr>
                <w:sz w:val="21"/>
                <w:szCs w:val="21"/>
                <w:color w:val="auto"/>
              </w:rPr>
            </w:pPr>
          </w:p>
        </w:tc>
        <w:tc>
          <w:tcPr>
            <w:tcW w:w="1560" w:type="dxa"/>
            <w:vAlign w:val="bottom"/>
            <w:tcBorders>
              <w:bottom w:val="single" w:sz="8" w:color="395775"/>
            </w:tcBorders>
          </w:tcPr>
          <w:p>
            <w:pPr>
              <w:ind w:left="540"/>
              <w:spacing w:after="0"/>
              <w:rPr>
                <w:sz w:val="20"/>
                <w:szCs w:val="20"/>
                <w:color w:val="auto"/>
              </w:rPr>
            </w:pPr>
            <w:r>
              <w:rPr>
                <w:rFonts w:ascii="Arial" w:cs="Arial" w:eastAsia="Arial" w:hAnsi="Arial"/>
                <w:sz w:val="20"/>
                <w:szCs w:val="20"/>
                <w:color w:val="auto"/>
              </w:rPr>
              <w:t>Maximum:</w:t>
            </w:r>
          </w:p>
        </w:tc>
        <w:tc>
          <w:tcPr>
            <w:tcW w:w="2300" w:type="dxa"/>
            <w:vAlign w:val="bottom"/>
            <w:tcBorders>
              <w:bottom w:val="single" w:sz="8" w:color="395775"/>
            </w:tcBorders>
          </w:tcPr>
          <w:p>
            <w:pPr>
              <w:ind w:left="100"/>
              <w:spacing w:after="0"/>
              <w:rPr>
                <w:sz w:val="20"/>
                <w:szCs w:val="20"/>
                <w:color w:val="auto"/>
              </w:rPr>
            </w:pPr>
            <w:r>
              <w:rPr>
                <w:rFonts w:ascii="Arial" w:cs="Arial" w:eastAsia="Arial" w:hAnsi="Arial"/>
                <w:sz w:val="20"/>
                <w:szCs w:val="20"/>
                <w:color w:val="auto"/>
              </w:rPr>
              <w:t>$437.3 million</w:t>
            </w:r>
          </w:p>
        </w:tc>
        <w:tc>
          <w:tcPr>
            <w:tcW w:w="3460" w:type="dxa"/>
            <w:vAlign w:val="bottom"/>
            <w:tcBorders>
              <w:bottom w:val="single" w:sz="8" w:color="395775"/>
            </w:tcBorders>
          </w:tcPr>
          <w:p>
            <w:pPr>
              <w:spacing w:after="0"/>
              <w:rPr>
                <w:sz w:val="21"/>
                <w:szCs w:val="21"/>
                <w:color w:val="auto"/>
              </w:rPr>
            </w:pPr>
          </w:p>
        </w:tc>
        <w:tc>
          <w:tcPr>
            <w:tcW w:w="0" w:type="dxa"/>
            <w:vAlign w:val="bottom"/>
          </w:tcPr>
          <w:p>
            <w:pPr>
              <w:spacing w:after="0"/>
              <w:rPr>
                <w:sz w:val="1"/>
                <w:szCs w:val="1"/>
                <w:color w:val="auto"/>
              </w:rPr>
            </w:pPr>
          </w:p>
        </w:tc>
      </w:tr>
    </w:tbl>
    <w:p>
      <w:pPr>
        <w:spacing w:after="0" w:line="277" w:lineRule="exact"/>
        <w:rPr>
          <w:sz w:val="20"/>
          <w:szCs w:val="20"/>
          <w:color w:val="auto"/>
        </w:rPr>
      </w:pPr>
    </w:p>
    <w:p>
      <w:pPr>
        <w:ind w:left="2" w:right="120"/>
        <w:spacing w:after="0" w:line="247" w:lineRule="auto"/>
        <w:rPr>
          <w:sz w:val="20"/>
          <w:szCs w:val="20"/>
          <w:color w:val="auto"/>
        </w:rPr>
      </w:pPr>
      <w:r>
        <w:rPr>
          <w:rFonts w:ascii="Arial" w:cs="Arial" w:eastAsia="Arial" w:hAnsi="Arial"/>
          <w:sz w:val="20"/>
          <w:szCs w:val="20"/>
          <w:color w:val="auto"/>
        </w:rPr>
        <w:t>In designing the CEO Incentive Plan, the Committee set the earnings levels above based on a reasonable range of expectations for the year, while taking into account prior year performance and economic conditions. The CEO Incentive Plan provided that if the threshold earnings number is not met, no incentive payment will be awarded, regardless of business unit performance.</w:t>
      </w:r>
    </w:p>
    <w:p>
      <w:pPr>
        <w:spacing w:after="0" w:line="149" w:lineRule="exact"/>
        <w:rPr>
          <w:sz w:val="20"/>
          <w:szCs w:val="20"/>
          <w:color w:val="auto"/>
        </w:rPr>
      </w:pPr>
    </w:p>
    <w:p>
      <w:pPr>
        <w:ind w:left="2" w:right="260"/>
        <w:spacing w:after="0" w:line="236" w:lineRule="auto"/>
        <w:rPr>
          <w:sz w:val="20"/>
          <w:szCs w:val="20"/>
          <w:color w:val="auto"/>
        </w:rPr>
      </w:pPr>
      <w:r>
        <w:rPr>
          <w:rFonts w:ascii="Arial" w:cs="Arial" w:eastAsia="Arial" w:hAnsi="Arial"/>
          <w:sz w:val="20"/>
          <w:szCs w:val="20"/>
          <w:color w:val="auto"/>
        </w:rPr>
        <w:t>The earnings component of the CEO Incentive Plan accounted for 62.5% of Mr. Brandt's incentive opportunity. Because Pinnacle West's actual earnings of $437.3 million exceeded the threshold specified by the plan, Mr. Brandt achieved the threshold incentive opportunity of 50% of base salary. In calculating the achievement of earnings in excess of threshold, actual earnings equated to a level of 71% of the range between the threshold and maximum levels. This 71% achievement applied to his remaining earnings-related opportunity of up to 75% of base salary, resulted in a 53.3% incentive award for earnings achieved in excess of the threshold level. Combined, this resulted in a 2015 earnings component award of 103.3% of Mr. Brandt's base salary, out of a maximum opportunity of 125% of base salary.</w:t>
      </w:r>
    </w:p>
    <w:p>
      <w:pPr>
        <w:spacing w:after="0" w:line="376" w:lineRule="exact"/>
        <w:rPr>
          <w:sz w:val="20"/>
          <w:szCs w:val="20"/>
          <w:color w:val="auto"/>
        </w:rPr>
      </w:pPr>
    </w:p>
    <w:p>
      <w:pPr>
        <w:jc w:val="center"/>
        <w:ind w:right="138"/>
        <w:spacing w:after="0"/>
        <w:rPr>
          <w:sz w:val="20"/>
          <w:szCs w:val="20"/>
          <w:color w:val="auto"/>
        </w:rPr>
      </w:pPr>
      <w:r>
        <w:rPr>
          <w:rFonts w:ascii="Arial" w:cs="Arial" w:eastAsia="Arial" w:hAnsi="Arial"/>
          <w:sz w:val="20"/>
          <w:szCs w:val="20"/>
          <w:b w:val="1"/>
          <w:bCs w:val="1"/>
          <w:color w:val="auto"/>
        </w:rPr>
        <w:t>Business Unit Component of the CEO Incentive Plan</w:t>
      </w:r>
    </w:p>
    <w:p>
      <w:pPr>
        <w:spacing w:after="0" w:line="191" w:lineRule="exact"/>
        <w:rPr>
          <w:sz w:val="20"/>
          <w:szCs w:val="20"/>
          <w:color w:val="auto"/>
        </w:rPr>
      </w:pPr>
    </w:p>
    <w:p>
      <w:pPr>
        <w:ind w:left="2" w:right="280"/>
        <w:spacing w:after="0" w:line="250" w:lineRule="auto"/>
        <w:rPr>
          <w:sz w:val="20"/>
          <w:szCs w:val="20"/>
          <w:color w:val="auto"/>
        </w:rPr>
      </w:pPr>
      <w:r>
        <w:rPr>
          <w:rFonts w:ascii="Arial" w:cs="Arial" w:eastAsia="Arial" w:hAnsi="Arial"/>
          <w:sz w:val="19"/>
          <w:szCs w:val="19"/>
          <w:color w:val="auto"/>
        </w:rPr>
        <w:t>The business unit performance component opportunity of the CEO Incentive Plan accounted for 37.5% of Mr. Brandt's incentive opportunity. This component was based on the achievement of specific performance goals established for the Corporate Resources, Customer Service, Fossil Generation, Palo Verde, and Transmission and Distribution business units, each weighted equally. The details about these performance metrics are set forth in the Business Unit Components of the APS Incentive Plans section on page 50 of this Proxy Statement. The incorporation of the business unit performance metrics into the CEO Incentive Plan was designed to tie Mr. Brandt's incentive to the overall operational performance of the business units, and not to emphasize any one unit's performance over the others. The performance of the business units in 2015 against these metrics was as follows:</w:t>
      </w:r>
    </w:p>
    <w:p>
      <w:pPr>
        <w:spacing w:after="0" w:line="200" w:lineRule="exact"/>
        <w:rPr>
          <w:sz w:val="20"/>
          <w:szCs w:val="20"/>
          <w:color w:val="auto"/>
        </w:rPr>
      </w:pPr>
    </w:p>
    <w:p>
      <w:pPr>
        <w:spacing w:after="0" w:line="279" w:lineRule="exact"/>
        <w:rPr>
          <w:sz w:val="20"/>
          <w:szCs w:val="20"/>
          <w:color w:val="auto"/>
        </w:rPr>
      </w:pPr>
    </w:p>
    <w:tbl>
      <w:tblPr>
        <w:tblLayout w:type="fixed"/>
        <w:tblInd w:w="102" w:type="dxa"/>
        <w:tblCellMar>
          <w:top w:w="0" w:type="dxa"/>
          <w:left w:w="0" w:type="dxa"/>
          <w:bottom w:w="0" w:type="dxa"/>
          <w:right w:w="0" w:type="dxa"/>
        </w:tblCellMar>
      </w:tblPr>
      <w:tr>
        <w:trPr>
          <w:trHeight w:val="230"/>
        </w:trPr>
        <w:tc>
          <w:tcPr>
            <w:tcW w:w="6100" w:type="dxa"/>
            <w:vAlign w:val="bottom"/>
            <w:vMerge w:val="restart"/>
          </w:tcPr>
          <w:p>
            <w:pPr>
              <w:spacing w:after="0"/>
              <w:rPr>
                <w:sz w:val="20"/>
                <w:szCs w:val="20"/>
                <w:color w:val="auto"/>
              </w:rPr>
            </w:pPr>
            <w:r>
              <w:rPr>
                <w:rFonts w:ascii="Arial" w:cs="Arial" w:eastAsia="Arial" w:hAnsi="Arial"/>
                <w:sz w:val="20"/>
                <w:szCs w:val="20"/>
                <w:b w:val="1"/>
                <w:bCs w:val="1"/>
                <w:color w:val="3A5575"/>
              </w:rPr>
              <w:t>BUSINESS UNIT</w:t>
            </w:r>
            <w:r>
              <w:rPr>
                <w:rFonts w:ascii="Arial" w:cs="Arial" w:eastAsia="Arial" w:hAnsi="Arial"/>
                <w:sz w:val="32"/>
                <w:szCs w:val="32"/>
                <w:b w:val="1"/>
                <w:bCs w:val="1"/>
                <w:color w:val="3A5575"/>
                <w:vertAlign w:val="superscript"/>
              </w:rPr>
              <w:t>(1)</w:t>
            </w:r>
          </w:p>
        </w:tc>
        <w:tc>
          <w:tcPr>
            <w:tcW w:w="5320" w:type="dxa"/>
            <w:vAlign w:val="bottom"/>
          </w:tcPr>
          <w:p>
            <w:pPr>
              <w:jc w:val="center"/>
              <w:ind w:left="3182"/>
              <w:spacing w:after="0"/>
              <w:rPr>
                <w:sz w:val="20"/>
                <w:szCs w:val="20"/>
                <w:color w:val="auto"/>
              </w:rPr>
            </w:pPr>
            <w:r>
              <w:rPr>
                <w:rFonts w:ascii="Arial" w:cs="Arial" w:eastAsia="Arial" w:hAnsi="Arial"/>
                <w:sz w:val="20"/>
                <w:szCs w:val="20"/>
                <w:b w:val="1"/>
                <w:bCs w:val="1"/>
                <w:color w:val="3A5575"/>
                <w:w w:val="98"/>
              </w:rPr>
              <w:t>2015 PERFORMANCE</w:t>
            </w:r>
          </w:p>
        </w:tc>
        <w:tc>
          <w:tcPr>
            <w:tcW w:w="0" w:type="dxa"/>
            <w:vAlign w:val="bottom"/>
          </w:tcPr>
          <w:p>
            <w:pPr>
              <w:spacing w:after="0"/>
              <w:rPr>
                <w:sz w:val="1"/>
                <w:szCs w:val="1"/>
                <w:color w:val="auto"/>
              </w:rPr>
            </w:pPr>
          </w:p>
        </w:tc>
      </w:tr>
      <w:tr>
        <w:trPr>
          <w:trHeight w:val="255"/>
        </w:trPr>
        <w:tc>
          <w:tcPr>
            <w:tcW w:w="6100" w:type="dxa"/>
            <w:vAlign w:val="bottom"/>
            <w:tcBorders>
              <w:bottom w:val="single" w:sz="8" w:color="646466"/>
            </w:tcBorders>
            <w:vMerge w:val="continue"/>
          </w:tcPr>
          <w:p>
            <w:pPr>
              <w:spacing w:after="0"/>
              <w:rPr>
                <w:sz w:val="22"/>
                <w:szCs w:val="22"/>
                <w:color w:val="auto"/>
              </w:rPr>
            </w:pPr>
          </w:p>
        </w:tc>
        <w:tc>
          <w:tcPr>
            <w:tcW w:w="5320" w:type="dxa"/>
            <w:vAlign w:val="bottom"/>
            <w:tcBorders>
              <w:bottom w:val="single" w:sz="8" w:color="646466"/>
            </w:tcBorders>
          </w:tcPr>
          <w:p>
            <w:pPr>
              <w:jc w:val="center"/>
              <w:ind w:left="3182"/>
              <w:spacing w:after="0"/>
              <w:rPr>
                <w:sz w:val="20"/>
                <w:szCs w:val="20"/>
                <w:color w:val="auto"/>
              </w:rPr>
            </w:pPr>
            <w:r>
              <w:rPr>
                <w:rFonts w:ascii="Arial" w:cs="Arial" w:eastAsia="Arial" w:hAnsi="Arial"/>
                <w:sz w:val="20"/>
                <w:szCs w:val="20"/>
                <w:b w:val="1"/>
                <w:bCs w:val="1"/>
                <w:color w:val="3A5575"/>
                <w:w w:val="97"/>
              </w:rPr>
              <w:t>(% OF TARGET)</w:t>
            </w:r>
          </w:p>
        </w:tc>
        <w:tc>
          <w:tcPr>
            <w:tcW w:w="0" w:type="dxa"/>
            <w:vAlign w:val="bottom"/>
          </w:tcPr>
          <w:p>
            <w:pPr>
              <w:spacing w:after="0"/>
              <w:rPr>
                <w:sz w:val="1"/>
                <w:szCs w:val="1"/>
                <w:color w:val="auto"/>
              </w:rPr>
            </w:pPr>
          </w:p>
        </w:tc>
      </w:tr>
      <w:tr>
        <w:trPr>
          <w:trHeight w:val="213"/>
        </w:trPr>
        <w:tc>
          <w:tcPr>
            <w:tcW w:w="610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Corporate Resources</w:t>
            </w:r>
          </w:p>
        </w:tc>
        <w:tc>
          <w:tcPr>
            <w:tcW w:w="5320" w:type="dxa"/>
            <w:vAlign w:val="bottom"/>
            <w:shd w:val="clear" w:color="auto" w:fill="E3E5EB"/>
          </w:tcPr>
          <w:p>
            <w:pPr>
              <w:jc w:val="center"/>
              <w:ind w:left="3202"/>
              <w:spacing w:after="0" w:line="213" w:lineRule="exact"/>
              <w:rPr>
                <w:sz w:val="20"/>
                <w:szCs w:val="20"/>
                <w:color w:val="auto"/>
              </w:rPr>
            </w:pPr>
            <w:r>
              <w:rPr>
                <w:rFonts w:ascii="Arial" w:cs="Arial" w:eastAsia="Arial" w:hAnsi="Arial"/>
                <w:sz w:val="20"/>
                <w:szCs w:val="20"/>
                <w:color w:val="auto"/>
                <w:w w:val="97"/>
              </w:rPr>
              <w:t>169%</w:t>
            </w:r>
          </w:p>
        </w:tc>
        <w:tc>
          <w:tcPr>
            <w:tcW w:w="0" w:type="dxa"/>
            <w:vAlign w:val="bottom"/>
          </w:tcPr>
          <w:p>
            <w:pPr>
              <w:spacing w:after="0"/>
              <w:rPr>
                <w:sz w:val="1"/>
                <w:szCs w:val="1"/>
                <w:color w:val="auto"/>
              </w:rPr>
            </w:pPr>
          </w:p>
        </w:tc>
      </w:tr>
      <w:tr>
        <w:trPr>
          <w:trHeight w:val="221"/>
        </w:trPr>
        <w:tc>
          <w:tcPr>
            <w:tcW w:w="6100" w:type="dxa"/>
            <w:vAlign w:val="bottom"/>
          </w:tcPr>
          <w:p>
            <w:pPr>
              <w:spacing w:after="0" w:line="221" w:lineRule="exact"/>
              <w:rPr>
                <w:sz w:val="20"/>
                <w:szCs w:val="20"/>
                <w:color w:val="auto"/>
              </w:rPr>
            </w:pPr>
            <w:r>
              <w:rPr>
                <w:rFonts w:ascii="Arial" w:cs="Arial" w:eastAsia="Arial" w:hAnsi="Arial"/>
                <w:sz w:val="20"/>
                <w:szCs w:val="20"/>
                <w:color w:val="auto"/>
              </w:rPr>
              <w:t>Customer Service</w:t>
            </w:r>
          </w:p>
        </w:tc>
        <w:tc>
          <w:tcPr>
            <w:tcW w:w="5320" w:type="dxa"/>
            <w:vAlign w:val="bottom"/>
          </w:tcPr>
          <w:p>
            <w:pPr>
              <w:jc w:val="center"/>
              <w:ind w:left="3202"/>
              <w:spacing w:after="0" w:line="221" w:lineRule="exact"/>
              <w:rPr>
                <w:sz w:val="20"/>
                <w:szCs w:val="20"/>
                <w:color w:val="auto"/>
              </w:rPr>
            </w:pPr>
            <w:r>
              <w:rPr>
                <w:rFonts w:ascii="Arial" w:cs="Arial" w:eastAsia="Arial" w:hAnsi="Arial"/>
                <w:sz w:val="20"/>
                <w:szCs w:val="20"/>
                <w:color w:val="auto"/>
                <w:w w:val="97"/>
              </w:rPr>
              <w:t>168%</w:t>
            </w:r>
          </w:p>
        </w:tc>
        <w:tc>
          <w:tcPr>
            <w:tcW w:w="0" w:type="dxa"/>
            <w:vAlign w:val="bottom"/>
          </w:tcPr>
          <w:p>
            <w:pPr>
              <w:spacing w:after="0"/>
              <w:rPr>
                <w:sz w:val="1"/>
                <w:szCs w:val="1"/>
                <w:color w:val="auto"/>
              </w:rPr>
            </w:pPr>
          </w:p>
        </w:tc>
      </w:tr>
      <w:tr>
        <w:trPr>
          <w:trHeight w:val="221"/>
        </w:trPr>
        <w:tc>
          <w:tcPr>
            <w:tcW w:w="610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Fossil Generation</w:t>
            </w:r>
          </w:p>
        </w:tc>
        <w:tc>
          <w:tcPr>
            <w:tcW w:w="5320" w:type="dxa"/>
            <w:vAlign w:val="bottom"/>
            <w:shd w:val="clear" w:color="auto" w:fill="E3E5EB"/>
          </w:tcPr>
          <w:p>
            <w:pPr>
              <w:jc w:val="center"/>
              <w:ind w:left="3202"/>
              <w:spacing w:after="0" w:line="221" w:lineRule="exact"/>
              <w:rPr>
                <w:sz w:val="20"/>
                <w:szCs w:val="20"/>
                <w:color w:val="auto"/>
              </w:rPr>
            </w:pPr>
            <w:r>
              <w:rPr>
                <w:rFonts w:ascii="Arial" w:cs="Arial" w:eastAsia="Arial" w:hAnsi="Arial"/>
                <w:sz w:val="20"/>
                <w:szCs w:val="20"/>
                <w:color w:val="auto"/>
                <w:w w:val="97"/>
              </w:rPr>
              <w:t>146%</w:t>
            </w:r>
          </w:p>
        </w:tc>
        <w:tc>
          <w:tcPr>
            <w:tcW w:w="0" w:type="dxa"/>
            <w:vAlign w:val="bottom"/>
          </w:tcPr>
          <w:p>
            <w:pPr>
              <w:spacing w:after="0"/>
              <w:rPr>
                <w:sz w:val="1"/>
                <w:szCs w:val="1"/>
                <w:color w:val="auto"/>
              </w:rPr>
            </w:pPr>
          </w:p>
        </w:tc>
      </w:tr>
      <w:tr>
        <w:trPr>
          <w:trHeight w:val="221"/>
        </w:trPr>
        <w:tc>
          <w:tcPr>
            <w:tcW w:w="6100" w:type="dxa"/>
            <w:vAlign w:val="bottom"/>
          </w:tcPr>
          <w:p>
            <w:pPr>
              <w:spacing w:after="0" w:line="221" w:lineRule="exact"/>
              <w:rPr>
                <w:sz w:val="20"/>
                <w:szCs w:val="20"/>
                <w:color w:val="auto"/>
              </w:rPr>
            </w:pPr>
            <w:r>
              <w:rPr>
                <w:rFonts w:ascii="Arial" w:cs="Arial" w:eastAsia="Arial" w:hAnsi="Arial"/>
                <w:sz w:val="20"/>
                <w:szCs w:val="20"/>
                <w:color w:val="auto"/>
              </w:rPr>
              <w:t>Palo Verde</w:t>
            </w:r>
          </w:p>
        </w:tc>
        <w:tc>
          <w:tcPr>
            <w:tcW w:w="5320" w:type="dxa"/>
            <w:vAlign w:val="bottom"/>
          </w:tcPr>
          <w:p>
            <w:pPr>
              <w:jc w:val="center"/>
              <w:ind w:left="3202"/>
              <w:spacing w:after="0" w:line="221" w:lineRule="exact"/>
              <w:rPr>
                <w:sz w:val="20"/>
                <w:szCs w:val="20"/>
                <w:color w:val="auto"/>
              </w:rPr>
            </w:pPr>
            <w:r>
              <w:rPr>
                <w:rFonts w:ascii="Arial" w:cs="Arial" w:eastAsia="Arial" w:hAnsi="Arial"/>
                <w:sz w:val="20"/>
                <w:szCs w:val="20"/>
                <w:color w:val="auto"/>
                <w:w w:val="97"/>
              </w:rPr>
              <w:t>178%</w:t>
            </w:r>
          </w:p>
        </w:tc>
        <w:tc>
          <w:tcPr>
            <w:tcW w:w="0" w:type="dxa"/>
            <w:vAlign w:val="bottom"/>
          </w:tcPr>
          <w:p>
            <w:pPr>
              <w:spacing w:after="0"/>
              <w:rPr>
                <w:sz w:val="1"/>
                <w:szCs w:val="1"/>
                <w:color w:val="auto"/>
              </w:rPr>
            </w:pPr>
          </w:p>
        </w:tc>
      </w:tr>
      <w:tr>
        <w:trPr>
          <w:trHeight w:val="221"/>
        </w:trPr>
        <w:tc>
          <w:tcPr>
            <w:tcW w:w="610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Transmission and Distribution</w:t>
            </w:r>
          </w:p>
        </w:tc>
        <w:tc>
          <w:tcPr>
            <w:tcW w:w="5320" w:type="dxa"/>
            <w:vAlign w:val="bottom"/>
            <w:shd w:val="clear" w:color="auto" w:fill="E3E5EB"/>
          </w:tcPr>
          <w:p>
            <w:pPr>
              <w:jc w:val="center"/>
              <w:ind w:left="3202"/>
              <w:spacing w:after="0" w:line="221" w:lineRule="exact"/>
              <w:rPr>
                <w:sz w:val="20"/>
                <w:szCs w:val="20"/>
                <w:color w:val="auto"/>
              </w:rPr>
            </w:pPr>
            <w:r>
              <w:rPr>
                <w:rFonts w:ascii="Arial" w:cs="Arial" w:eastAsia="Arial" w:hAnsi="Arial"/>
                <w:sz w:val="20"/>
                <w:szCs w:val="20"/>
                <w:color w:val="auto"/>
                <w:w w:val="97"/>
              </w:rPr>
              <w:t>120%</w:t>
            </w:r>
          </w:p>
        </w:tc>
        <w:tc>
          <w:tcPr>
            <w:tcW w:w="0" w:type="dxa"/>
            <w:vAlign w:val="bottom"/>
          </w:tcPr>
          <w:p>
            <w:pPr>
              <w:spacing w:after="0"/>
              <w:rPr>
                <w:sz w:val="1"/>
                <w:szCs w:val="1"/>
                <w:color w:val="auto"/>
              </w:rPr>
            </w:pPr>
          </w:p>
        </w:tc>
      </w:tr>
      <w:tr>
        <w:trPr>
          <w:trHeight w:val="221"/>
        </w:trPr>
        <w:tc>
          <w:tcPr>
            <w:tcW w:w="6100" w:type="dxa"/>
            <w:vAlign w:val="bottom"/>
            <w:tcBorders>
              <w:bottom w:val="single" w:sz="8" w:color="395775"/>
            </w:tcBorders>
          </w:tcPr>
          <w:p>
            <w:pPr>
              <w:ind w:left="200"/>
              <w:spacing w:after="0" w:line="221" w:lineRule="exact"/>
              <w:rPr>
                <w:sz w:val="20"/>
                <w:szCs w:val="20"/>
                <w:color w:val="auto"/>
              </w:rPr>
            </w:pPr>
            <w:r>
              <w:rPr>
                <w:rFonts w:ascii="Arial" w:cs="Arial" w:eastAsia="Arial" w:hAnsi="Arial"/>
                <w:sz w:val="20"/>
                <w:szCs w:val="20"/>
                <w:color w:val="auto"/>
              </w:rPr>
              <w:t>Average of All Business Units:</w:t>
            </w:r>
          </w:p>
        </w:tc>
        <w:tc>
          <w:tcPr>
            <w:tcW w:w="5320" w:type="dxa"/>
            <w:vAlign w:val="bottom"/>
            <w:tcBorders>
              <w:bottom w:val="single" w:sz="8" w:color="395775"/>
            </w:tcBorders>
          </w:tcPr>
          <w:p>
            <w:pPr>
              <w:jc w:val="center"/>
              <w:ind w:left="3202"/>
              <w:spacing w:after="0" w:line="221" w:lineRule="exact"/>
              <w:rPr>
                <w:sz w:val="20"/>
                <w:szCs w:val="20"/>
                <w:color w:val="auto"/>
              </w:rPr>
            </w:pPr>
            <w:r>
              <w:rPr>
                <w:rFonts w:ascii="Arial" w:cs="Arial" w:eastAsia="Arial" w:hAnsi="Arial"/>
                <w:sz w:val="20"/>
                <w:szCs w:val="20"/>
                <w:color w:val="auto"/>
                <w:w w:val="97"/>
              </w:rPr>
              <w:t>156%</w:t>
            </w:r>
          </w:p>
        </w:tc>
        <w:tc>
          <w:tcPr>
            <w:tcW w:w="0" w:type="dxa"/>
            <w:vAlign w:val="bottom"/>
          </w:tcPr>
          <w:p>
            <w:pPr>
              <w:spacing w:after="0"/>
              <w:rPr>
                <w:sz w:val="1"/>
                <w:szCs w:val="1"/>
                <w:color w:val="auto"/>
              </w:rPr>
            </w:pPr>
          </w:p>
        </w:tc>
      </w:tr>
    </w:tbl>
    <w:p>
      <w:pPr>
        <w:spacing w:after="0" w:line="302" w:lineRule="exact"/>
        <w:rPr>
          <w:sz w:val="20"/>
          <w:szCs w:val="20"/>
          <w:color w:val="auto"/>
        </w:rPr>
      </w:pPr>
    </w:p>
    <w:p>
      <w:pPr>
        <w:ind w:left="482" w:right="440" w:hanging="482"/>
        <w:spacing w:after="0" w:line="279" w:lineRule="auto"/>
        <w:tabs>
          <w:tab w:leader="none" w:pos="482"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specific performance metrics for Customer Service, Fossil Generation, and Transmission and Distribution business units are set forth below under Mr. Schiavoni's performance metrics. The specific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151765</wp:posOffset>
            </wp:positionV>
            <wp:extent cx="841375" cy="16383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25"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48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57" w:name="page58"/>
    <w:bookmarkEnd w:id="57"/>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0" w:lineRule="exact"/>
        <w:rPr>
          <w:rFonts w:ascii="Arial" w:cs="Arial" w:eastAsia="Arial" w:hAnsi="Arial"/>
          <w:sz w:val="13"/>
          <w:szCs w:val="13"/>
          <w:b w:val="1"/>
          <w:bCs w:val="1"/>
          <w:color w:val="FFFFFE"/>
        </w:rPr>
      </w:pPr>
    </w:p>
    <w:p>
      <w:pPr>
        <w:ind w:left="480" w:right="2560"/>
        <w:spacing w:after="0" w:line="253" w:lineRule="auto"/>
        <w:rPr>
          <w:sz w:val="20"/>
          <w:szCs w:val="20"/>
          <w:color w:val="auto"/>
        </w:rPr>
      </w:pPr>
      <w:r>
        <w:rPr>
          <w:rFonts w:ascii="Arial" w:cs="Arial" w:eastAsia="Arial" w:hAnsi="Arial"/>
          <w:sz w:val="16"/>
          <w:szCs w:val="16"/>
          <w:color w:val="auto"/>
        </w:rPr>
        <w:t>metrics for the Palo Verde business unit are set forth under Mr. Edington's performance metrics. Corporate Resources is divided into nine functional operational areas, and the specific performance metrics for: Finance, Human</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-234950</wp:posOffset>
            </wp:positionV>
            <wp:extent cx="1487805" cy="15557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480" w:right="140"/>
        <w:spacing w:after="0" w:line="244" w:lineRule="auto"/>
        <w:rPr>
          <w:sz w:val="20"/>
          <w:szCs w:val="20"/>
          <w:color w:val="auto"/>
        </w:rPr>
      </w:pPr>
      <w:r>
        <w:rPr>
          <w:rFonts w:ascii="Arial" w:cs="Arial" w:eastAsia="Arial" w:hAnsi="Arial"/>
          <w:sz w:val="16"/>
          <w:szCs w:val="16"/>
          <w:color w:val="auto"/>
        </w:rPr>
        <w:t>Resources/Ethics and Information Technology are set forth under Mr. Hatfield's performance metrics; Legal are set forth under Mr. Falck's performance metrics; and Resource Management, Supply Chain, and Sustainability, are set forth under Mr. Schiavoni's performance metrics. Corporate Resources also included the Communications and Public Policy functional operating areas; however, each of the metrics for these two areas contributed to less than 2% of Mr. Brandt's incentive opportunity and are omitted.</w:t>
      </w:r>
    </w:p>
    <w:p>
      <w:pPr>
        <w:spacing w:after="0" w:line="151" w:lineRule="exact"/>
        <w:rPr>
          <w:rFonts w:ascii="Arial" w:cs="Arial" w:eastAsia="Arial" w:hAnsi="Arial"/>
          <w:sz w:val="13"/>
          <w:szCs w:val="13"/>
          <w:b w:val="1"/>
          <w:bCs w:val="1"/>
          <w:color w:val="FFFFFE"/>
        </w:rPr>
      </w:pPr>
    </w:p>
    <w:p>
      <w:pPr>
        <w:ind w:right="100"/>
        <w:spacing w:after="0" w:line="239" w:lineRule="auto"/>
        <w:rPr>
          <w:sz w:val="20"/>
          <w:szCs w:val="20"/>
          <w:color w:val="auto"/>
        </w:rPr>
      </w:pPr>
      <w:r>
        <w:rPr>
          <w:rFonts w:ascii="Arial" w:cs="Arial" w:eastAsia="Arial" w:hAnsi="Arial"/>
          <w:sz w:val="20"/>
          <w:szCs w:val="20"/>
          <w:color w:val="auto"/>
        </w:rPr>
        <w:t>Under the terms of the CEO Incentive Plan, the business unit performance results were averaged, converted to a percentage of the earnings cap and then applied to the CEO's maximum performance-related incentive opportunity for this component. This resulted in a component award of 58.5% of Mr. Brandt's base salary, out of a maximum opportunity of 75% of base salary. Based on the sum of the 103.3% achievement of the earnings component and the 58.5% achievement of the business unit performance component, Mr. Brandt's total incentive award equaled 161.8% of base salary, resulting in an award of $2,066,186.</w:t>
      </w:r>
    </w:p>
    <w:p>
      <w:pPr>
        <w:spacing w:after="0" w:line="155" w:lineRule="exact"/>
        <w:rPr>
          <w:rFonts w:ascii="Arial" w:cs="Arial" w:eastAsia="Arial" w:hAnsi="Arial"/>
          <w:sz w:val="13"/>
          <w:szCs w:val="13"/>
          <w:b w:val="1"/>
          <w:bCs w:val="1"/>
          <w:color w:val="FFFFFE"/>
        </w:rPr>
      </w:pPr>
    </w:p>
    <w:p>
      <w:pPr>
        <w:ind w:right="200"/>
        <w:spacing w:after="0" w:line="265" w:lineRule="auto"/>
        <w:rPr>
          <w:sz w:val="20"/>
          <w:szCs w:val="20"/>
          <w:color w:val="auto"/>
        </w:rPr>
      </w:pPr>
      <w:r>
        <w:rPr>
          <w:rFonts w:ascii="Arial" w:cs="Arial" w:eastAsia="Arial" w:hAnsi="Arial"/>
          <w:sz w:val="20"/>
          <w:szCs w:val="20"/>
          <w:color w:val="auto"/>
        </w:rPr>
        <w:t>The Committee determined Mr. Brandt's incentive award exclusively on the metrics set forth in the CEO Incentive Plan, and did not exercise any discretion to make adjustments to the award based on unanticipated events.</w:t>
      </w:r>
    </w:p>
    <w:p>
      <w:pPr>
        <w:spacing w:after="0" w:line="351" w:lineRule="exact"/>
        <w:rPr>
          <w:rFonts w:ascii="Arial" w:cs="Arial" w:eastAsia="Arial" w:hAnsi="Arial"/>
          <w:sz w:val="13"/>
          <w:szCs w:val="13"/>
          <w:b w:val="1"/>
          <w:bCs w:val="1"/>
          <w:color w:val="FFFFFE"/>
        </w:rPr>
      </w:pPr>
    </w:p>
    <w:p>
      <w:pPr>
        <w:ind w:left="3820"/>
        <w:spacing w:after="0"/>
        <w:rPr>
          <w:sz w:val="20"/>
          <w:szCs w:val="20"/>
          <w:color w:val="auto"/>
        </w:rPr>
      </w:pPr>
      <w:r>
        <w:rPr>
          <w:rFonts w:ascii="Arial" w:cs="Arial" w:eastAsia="Arial" w:hAnsi="Arial"/>
          <w:sz w:val="20"/>
          <w:szCs w:val="20"/>
          <w:b w:val="1"/>
          <w:bCs w:val="1"/>
          <w:i w:val="1"/>
          <w:iCs w:val="1"/>
          <w:color w:val="auto"/>
        </w:rPr>
        <w:t>APS Incentive Plans Award Opportunity</w:t>
      </w:r>
    </w:p>
    <w:p>
      <w:pPr>
        <w:spacing w:after="0" w:line="187"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color w:val="auto"/>
        </w:rPr>
        <w:t>The award opportunity under the 2015 Incentive Plans for each of the Named Executive Officers was as follows:</w:t>
      </w:r>
    </w:p>
    <w:p>
      <w:pPr>
        <w:spacing w:after="0" w:line="200" w:lineRule="exact"/>
        <w:rPr>
          <w:rFonts w:ascii="Arial" w:cs="Arial" w:eastAsia="Arial" w:hAnsi="Arial"/>
          <w:sz w:val="13"/>
          <w:szCs w:val="13"/>
          <w:b w:val="1"/>
          <w:bCs w:val="1"/>
          <w:color w:val="FFFFFE"/>
        </w:rPr>
      </w:pPr>
    </w:p>
    <w:p>
      <w:pPr>
        <w:spacing w:after="0" w:line="341" w:lineRule="exact"/>
        <w:rPr>
          <w:rFonts w:ascii="Arial" w:cs="Arial" w:eastAsia="Arial" w:hAnsi="Arial"/>
          <w:sz w:val="13"/>
          <w:szCs w:val="13"/>
          <w:b w:val="1"/>
          <w:bCs w:val="1"/>
          <w:color w:val="FFFFFE"/>
        </w:rPr>
      </w:pPr>
    </w:p>
    <w:tbl>
      <w:tblPr>
        <w:tblLayout w:type="fixed"/>
        <w:tblInd w:w="100" w:type="dxa"/>
        <w:tblCellMar>
          <w:top w:w="0" w:type="dxa"/>
          <w:left w:w="0" w:type="dxa"/>
          <w:bottom w:w="0" w:type="dxa"/>
          <w:right w:w="0" w:type="dxa"/>
        </w:tblCellMar>
      </w:tblPr>
      <w:tr>
        <w:trPr>
          <w:trHeight w:val="184"/>
        </w:trPr>
        <w:tc>
          <w:tcPr>
            <w:tcW w:w="13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6200" w:type="dxa"/>
            <w:vAlign w:val="bottom"/>
          </w:tcPr>
          <w:p>
            <w:pPr>
              <w:jc w:val="center"/>
              <w:ind w:left="40"/>
              <w:spacing w:after="0"/>
              <w:rPr>
                <w:sz w:val="20"/>
                <w:szCs w:val="20"/>
                <w:color w:val="auto"/>
              </w:rPr>
            </w:pPr>
            <w:r>
              <w:rPr>
                <w:rFonts w:ascii="Arial" w:cs="Arial" w:eastAsia="Arial" w:hAnsi="Arial"/>
                <w:sz w:val="16"/>
                <w:szCs w:val="16"/>
                <w:b w:val="1"/>
                <w:bCs w:val="1"/>
                <w:color w:val="3A5575"/>
              </w:rPr>
              <w:t>BUSINESS UNIT</w:t>
            </w:r>
          </w:p>
        </w:tc>
        <w:tc>
          <w:tcPr>
            <w:tcW w:w="1880" w:type="dxa"/>
            <w:vAlign w:val="bottom"/>
          </w:tcPr>
          <w:p>
            <w:pPr>
              <w:jc w:val="center"/>
              <w:ind w:left="40"/>
              <w:spacing w:after="0"/>
              <w:rPr>
                <w:sz w:val="20"/>
                <w:szCs w:val="20"/>
                <w:color w:val="auto"/>
              </w:rPr>
            </w:pPr>
            <w:r>
              <w:rPr>
                <w:rFonts w:ascii="Arial" w:cs="Arial" w:eastAsia="Arial" w:hAnsi="Arial"/>
                <w:sz w:val="16"/>
                <w:szCs w:val="16"/>
                <w:b w:val="1"/>
                <w:bCs w:val="1"/>
                <w:color w:val="3A5575"/>
                <w:w w:val="97"/>
              </w:rPr>
              <w:t>TOTAL INCENTIVE</w:t>
            </w:r>
          </w:p>
        </w:tc>
      </w:tr>
      <w:tr>
        <w:trPr>
          <w:trHeight w:val="184"/>
        </w:trPr>
        <w:tc>
          <w:tcPr>
            <w:tcW w:w="1380" w:type="dxa"/>
            <w:vAlign w:val="bottom"/>
          </w:tcPr>
          <w:p>
            <w:pPr>
              <w:spacing w:after="0"/>
              <w:rPr>
                <w:sz w:val="16"/>
                <w:szCs w:val="16"/>
                <w:color w:val="auto"/>
              </w:rPr>
            </w:pPr>
          </w:p>
        </w:tc>
        <w:tc>
          <w:tcPr>
            <w:tcW w:w="1960" w:type="dxa"/>
            <w:vAlign w:val="bottom"/>
          </w:tcPr>
          <w:p>
            <w:pPr>
              <w:jc w:val="center"/>
              <w:ind w:left="120"/>
              <w:spacing w:after="0"/>
              <w:rPr>
                <w:sz w:val="20"/>
                <w:szCs w:val="20"/>
                <w:color w:val="auto"/>
              </w:rPr>
            </w:pPr>
            <w:r>
              <w:rPr>
                <w:rFonts w:ascii="Arial" w:cs="Arial" w:eastAsia="Arial" w:hAnsi="Arial"/>
                <w:sz w:val="16"/>
                <w:szCs w:val="16"/>
                <w:b w:val="1"/>
                <w:bCs w:val="1"/>
                <w:color w:val="3A5575"/>
                <w:w w:val="99"/>
              </w:rPr>
              <w:t>EARNINGS</w:t>
            </w:r>
          </w:p>
        </w:tc>
        <w:tc>
          <w:tcPr>
            <w:tcW w:w="6200" w:type="dxa"/>
            <w:vAlign w:val="bottom"/>
          </w:tcPr>
          <w:p>
            <w:pPr>
              <w:jc w:val="center"/>
              <w:ind w:left="40"/>
              <w:spacing w:after="0"/>
              <w:rPr>
                <w:sz w:val="20"/>
                <w:szCs w:val="20"/>
                <w:color w:val="auto"/>
              </w:rPr>
            </w:pPr>
            <w:r>
              <w:rPr>
                <w:rFonts w:ascii="Arial" w:cs="Arial" w:eastAsia="Arial" w:hAnsi="Arial"/>
                <w:sz w:val="16"/>
                <w:szCs w:val="16"/>
                <w:b w:val="1"/>
                <w:bCs w:val="1"/>
                <w:color w:val="3A5575"/>
                <w:w w:val="98"/>
              </w:rPr>
              <w:t>PERFORMANCE</w:t>
            </w:r>
          </w:p>
        </w:tc>
        <w:tc>
          <w:tcPr>
            <w:tcW w:w="1880" w:type="dxa"/>
            <w:vAlign w:val="bottom"/>
          </w:tcPr>
          <w:p>
            <w:pPr>
              <w:jc w:val="center"/>
              <w:ind w:left="40"/>
              <w:spacing w:after="0"/>
              <w:rPr>
                <w:sz w:val="20"/>
                <w:szCs w:val="20"/>
                <w:color w:val="auto"/>
              </w:rPr>
            </w:pPr>
            <w:r>
              <w:rPr>
                <w:rFonts w:ascii="Arial" w:cs="Arial" w:eastAsia="Arial" w:hAnsi="Arial"/>
                <w:sz w:val="16"/>
                <w:szCs w:val="16"/>
                <w:b w:val="1"/>
                <w:bCs w:val="1"/>
                <w:color w:val="3A5575"/>
              </w:rPr>
              <w:t>OPPORTUNITY</w:t>
            </w:r>
          </w:p>
        </w:tc>
      </w:tr>
      <w:tr>
        <w:trPr>
          <w:trHeight w:val="203"/>
        </w:trPr>
        <w:tc>
          <w:tcPr>
            <w:tcW w:w="138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NAME</w:t>
            </w:r>
          </w:p>
        </w:tc>
        <w:tc>
          <w:tcPr>
            <w:tcW w:w="1960" w:type="dxa"/>
            <w:vAlign w:val="bottom"/>
            <w:tcBorders>
              <w:bottom w:val="single" w:sz="8" w:color="646466"/>
            </w:tcBorders>
          </w:tcPr>
          <w:p>
            <w:pPr>
              <w:jc w:val="center"/>
              <w:ind w:left="100"/>
              <w:spacing w:after="0"/>
              <w:rPr>
                <w:sz w:val="20"/>
                <w:szCs w:val="20"/>
                <w:color w:val="auto"/>
              </w:rPr>
            </w:pPr>
            <w:r>
              <w:rPr>
                <w:rFonts w:ascii="Arial" w:cs="Arial" w:eastAsia="Arial" w:hAnsi="Arial"/>
                <w:sz w:val="16"/>
                <w:szCs w:val="16"/>
                <w:b w:val="1"/>
                <w:bCs w:val="1"/>
                <w:color w:val="3A5575"/>
                <w:w w:val="99"/>
              </w:rPr>
              <w:t>(% OF BASE SALARY)</w:t>
            </w:r>
          </w:p>
        </w:tc>
        <w:tc>
          <w:tcPr>
            <w:tcW w:w="6200" w:type="dxa"/>
            <w:vAlign w:val="bottom"/>
            <w:tcBorders>
              <w:bottom w:val="single" w:sz="8" w:color="646466"/>
            </w:tcBorders>
          </w:tcPr>
          <w:p>
            <w:pPr>
              <w:jc w:val="center"/>
              <w:ind w:left="20"/>
              <w:spacing w:after="0"/>
              <w:rPr>
                <w:sz w:val="20"/>
                <w:szCs w:val="20"/>
                <w:color w:val="auto"/>
              </w:rPr>
            </w:pPr>
            <w:r>
              <w:rPr>
                <w:rFonts w:ascii="Arial" w:cs="Arial" w:eastAsia="Arial" w:hAnsi="Arial"/>
                <w:sz w:val="16"/>
                <w:szCs w:val="16"/>
                <w:b w:val="1"/>
                <w:bCs w:val="1"/>
                <w:color w:val="3A5575"/>
                <w:w w:val="99"/>
              </w:rPr>
              <w:t>(% OF BASE SALARY)</w:t>
            </w:r>
          </w:p>
        </w:tc>
        <w:tc>
          <w:tcPr>
            <w:tcW w:w="1880" w:type="dxa"/>
            <w:vAlign w:val="bottom"/>
            <w:tcBorders>
              <w:bottom w:val="single" w:sz="8" w:color="646466"/>
            </w:tcBorders>
          </w:tcPr>
          <w:p>
            <w:pPr>
              <w:jc w:val="center"/>
              <w:ind w:left="40"/>
              <w:spacing w:after="0"/>
              <w:rPr>
                <w:sz w:val="20"/>
                <w:szCs w:val="20"/>
                <w:color w:val="auto"/>
              </w:rPr>
            </w:pPr>
            <w:r>
              <w:rPr>
                <w:rFonts w:ascii="Arial" w:cs="Arial" w:eastAsia="Arial" w:hAnsi="Arial"/>
                <w:sz w:val="16"/>
                <w:szCs w:val="16"/>
                <w:b w:val="1"/>
                <w:bCs w:val="1"/>
                <w:color w:val="3A5575"/>
                <w:w w:val="98"/>
              </w:rPr>
              <w:t>(% OF BASE SALARY)</w:t>
            </w:r>
          </w:p>
        </w:tc>
      </w:tr>
      <w:tr>
        <w:trPr>
          <w:trHeight w:val="159"/>
        </w:trPr>
        <w:tc>
          <w:tcPr>
            <w:tcW w:w="1380" w:type="dxa"/>
            <w:vAlign w:val="bottom"/>
            <w:shd w:val="clear" w:color="auto" w:fill="E3E5EB"/>
          </w:tcPr>
          <w:p>
            <w:pPr>
              <w:spacing w:after="0" w:line="159" w:lineRule="exact"/>
              <w:rPr>
                <w:sz w:val="20"/>
                <w:szCs w:val="20"/>
                <w:color w:val="auto"/>
              </w:rPr>
            </w:pPr>
            <w:r>
              <w:rPr>
                <w:rFonts w:ascii="Arial" w:cs="Arial" w:eastAsia="Arial" w:hAnsi="Arial"/>
                <w:sz w:val="16"/>
                <w:szCs w:val="16"/>
                <w:b w:val="1"/>
                <w:bCs w:val="1"/>
                <w:color w:val="auto"/>
              </w:rPr>
              <w:t>Mr. Hatfield:</w:t>
            </w:r>
          </w:p>
        </w:tc>
        <w:tc>
          <w:tcPr>
            <w:tcW w:w="1960" w:type="dxa"/>
            <w:vAlign w:val="bottom"/>
            <w:shd w:val="clear" w:color="auto" w:fill="E3E5EB"/>
          </w:tcPr>
          <w:p>
            <w:pPr>
              <w:jc w:val="center"/>
              <w:ind w:left="120"/>
              <w:spacing w:after="0" w:line="159" w:lineRule="exact"/>
              <w:rPr>
                <w:sz w:val="20"/>
                <w:szCs w:val="20"/>
                <w:color w:val="auto"/>
              </w:rPr>
            </w:pPr>
            <w:r>
              <w:rPr>
                <w:rFonts w:ascii="Arial" w:cs="Arial" w:eastAsia="Arial" w:hAnsi="Arial"/>
                <w:sz w:val="16"/>
                <w:szCs w:val="16"/>
                <w:color w:val="auto"/>
              </w:rPr>
              <w:t>APS Earnings</w:t>
            </w:r>
          </w:p>
        </w:tc>
        <w:tc>
          <w:tcPr>
            <w:tcW w:w="6200" w:type="dxa"/>
            <w:vAlign w:val="bottom"/>
            <w:shd w:val="clear" w:color="auto" w:fill="E3E5EB"/>
          </w:tcPr>
          <w:p>
            <w:pPr>
              <w:jc w:val="center"/>
              <w:ind w:left="40"/>
              <w:spacing w:after="0" w:line="159" w:lineRule="exact"/>
              <w:rPr>
                <w:sz w:val="20"/>
                <w:szCs w:val="20"/>
                <w:color w:val="auto"/>
              </w:rPr>
            </w:pPr>
            <w:r>
              <w:rPr>
                <w:rFonts w:ascii="Arial" w:cs="Arial" w:eastAsia="Arial" w:hAnsi="Arial"/>
                <w:sz w:val="16"/>
                <w:szCs w:val="16"/>
                <w:color w:val="auto"/>
                <w:w w:val="99"/>
              </w:rPr>
              <w:t>Corporate Resources Business Unit (Finance, Human Resources/Ethics and</w:t>
            </w:r>
          </w:p>
        </w:tc>
        <w:tc>
          <w:tcPr>
            <w:tcW w:w="1880" w:type="dxa"/>
            <w:vAlign w:val="bottom"/>
            <w:shd w:val="clear" w:color="auto" w:fill="E3E5EB"/>
          </w:tcPr>
          <w:p>
            <w:pPr>
              <w:spacing w:after="0"/>
              <w:rPr>
                <w:sz w:val="13"/>
                <w:szCs w:val="13"/>
                <w:color w:val="auto"/>
              </w:rPr>
            </w:pPr>
          </w:p>
        </w:tc>
      </w:tr>
      <w:tr>
        <w:trPr>
          <w:trHeight w:val="201"/>
        </w:trPr>
        <w:tc>
          <w:tcPr>
            <w:tcW w:w="1380" w:type="dxa"/>
            <w:vAlign w:val="bottom"/>
            <w:shd w:val="clear" w:color="auto" w:fill="E3E5EB"/>
          </w:tcPr>
          <w:p>
            <w:pPr>
              <w:spacing w:after="0"/>
              <w:rPr>
                <w:sz w:val="17"/>
                <w:szCs w:val="17"/>
                <w:color w:val="auto"/>
              </w:rPr>
            </w:pPr>
          </w:p>
        </w:tc>
        <w:tc>
          <w:tcPr>
            <w:tcW w:w="1960" w:type="dxa"/>
            <w:vAlign w:val="bottom"/>
            <w:shd w:val="clear" w:color="auto" w:fill="E3E5EB"/>
          </w:tcPr>
          <w:p>
            <w:pPr>
              <w:spacing w:after="0"/>
              <w:rPr>
                <w:sz w:val="17"/>
                <w:szCs w:val="17"/>
                <w:color w:val="auto"/>
              </w:rPr>
            </w:pPr>
          </w:p>
        </w:tc>
        <w:tc>
          <w:tcPr>
            <w:tcW w:w="620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8"/>
              </w:rPr>
              <w:t>Information Technology)</w:t>
            </w:r>
          </w:p>
        </w:tc>
        <w:tc>
          <w:tcPr>
            <w:tcW w:w="1880" w:type="dxa"/>
            <w:vAlign w:val="bottom"/>
            <w:shd w:val="clear" w:color="auto" w:fill="E3E5EB"/>
          </w:tcPr>
          <w:p>
            <w:pPr>
              <w:spacing w:after="0"/>
              <w:rPr>
                <w:sz w:val="17"/>
                <w:szCs w:val="17"/>
                <w:color w:val="auto"/>
              </w:rPr>
            </w:pP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Threshold</w:t>
            </w:r>
          </w:p>
        </w:tc>
        <w:tc>
          <w:tcPr>
            <w:tcW w:w="1960" w:type="dxa"/>
            <w:vAlign w:val="bottom"/>
            <w:shd w:val="clear" w:color="auto" w:fill="E3E5EB"/>
          </w:tcPr>
          <w:p>
            <w:pPr>
              <w:jc w:val="right"/>
              <w:ind w:right="720"/>
              <w:spacing w:after="0"/>
              <w:rPr>
                <w:sz w:val="20"/>
                <w:szCs w:val="20"/>
                <w:color w:val="auto"/>
              </w:rPr>
            </w:pPr>
            <w:r>
              <w:rPr>
                <w:rFonts w:ascii="Arial" w:cs="Arial" w:eastAsia="Arial" w:hAnsi="Arial"/>
                <w:sz w:val="16"/>
                <w:szCs w:val="16"/>
                <w:color w:val="auto"/>
              </w:rPr>
              <w:t>—</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15.0%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15.0%</w:t>
            </w: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Target</w:t>
            </w:r>
          </w:p>
        </w:tc>
        <w:tc>
          <w:tcPr>
            <w:tcW w:w="1960" w:type="dxa"/>
            <w:vAlign w:val="bottom"/>
            <w:shd w:val="clear" w:color="auto" w:fill="E3E5EB"/>
          </w:tcPr>
          <w:p>
            <w:pPr>
              <w:jc w:val="right"/>
              <w:ind w:right="580"/>
              <w:spacing w:after="0"/>
              <w:rPr>
                <w:sz w:val="20"/>
                <w:szCs w:val="20"/>
                <w:color w:val="auto"/>
              </w:rPr>
            </w:pPr>
            <w:r>
              <w:rPr>
                <w:rFonts w:ascii="Arial" w:cs="Arial" w:eastAsia="Arial" w:hAnsi="Arial"/>
                <w:sz w:val="16"/>
                <w:szCs w:val="16"/>
                <w:color w:val="auto"/>
              </w:rPr>
              <w:t>30.0%</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30.0%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60.0%</w:t>
            </w: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Maximum</w:t>
            </w:r>
          </w:p>
        </w:tc>
        <w:tc>
          <w:tcPr>
            <w:tcW w:w="1960" w:type="dxa"/>
            <w:vAlign w:val="bottom"/>
            <w:shd w:val="clear" w:color="auto" w:fill="E3E5EB"/>
          </w:tcPr>
          <w:p>
            <w:pPr>
              <w:jc w:val="right"/>
              <w:ind w:right="580"/>
              <w:spacing w:after="0"/>
              <w:rPr>
                <w:sz w:val="20"/>
                <w:szCs w:val="20"/>
                <w:color w:val="auto"/>
              </w:rPr>
            </w:pPr>
            <w:r>
              <w:rPr>
                <w:rFonts w:ascii="Arial" w:cs="Arial" w:eastAsia="Arial" w:hAnsi="Arial"/>
                <w:sz w:val="16"/>
                <w:szCs w:val="16"/>
                <w:color w:val="auto"/>
              </w:rPr>
              <w:t>60.0%</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60.0%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120.0%</w:t>
            </w:r>
          </w:p>
        </w:tc>
      </w:tr>
      <w:tr>
        <w:trPr>
          <w:trHeight w:val="167"/>
        </w:trPr>
        <w:tc>
          <w:tcPr>
            <w:tcW w:w="1380" w:type="dxa"/>
            <w:vAlign w:val="bottom"/>
          </w:tcPr>
          <w:p>
            <w:pPr>
              <w:spacing w:after="0" w:line="167" w:lineRule="exact"/>
              <w:rPr>
                <w:sz w:val="20"/>
                <w:szCs w:val="20"/>
                <w:color w:val="auto"/>
              </w:rPr>
            </w:pPr>
            <w:r>
              <w:rPr>
                <w:rFonts w:ascii="Arial" w:cs="Arial" w:eastAsia="Arial" w:hAnsi="Arial"/>
                <w:sz w:val="16"/>
                <w:szCs w:val="16"/>
                <w:b w:val="1"/>
                <w:bCs w:val="1"/>
                <w:color w:val="auto"/>
              </w:rPr>
              <w:t>Mr. Edington:</w:t>
            </w:r>
          </w:p>
        </w:tc>
        <w:tc>
          <w:tcPr>
            <w:tcW w:w="1960" w:type="dxa"/>
            <w:vAlign w:val="bottom"/>
          </w:tcPr>
          <w:p>
            <w:pPr>
              <w:jc w:val="center"/>
              <w:ind w:left="120"/>
              <w:spacing w:after="0" w:line="167" w:lineRule="exact"/>
              <w:rPr>
                <w:sz w:val="20"/>
                <w:szCs w:val="20"/>
                <w:color w:val="auto"/>
              </w:rPr>
            </w:pPr>
            <w:r>
              <w:rPr>
                <w:rFonts w:ascii="Arial" w:cs="Arial" w:eastAsia="Arial" w:hAnsi="Arial"/>
                <w:sz w:val="16"/>
                <w:szCs w:val="16"/>
                <w:color w:val="auto"/>
              </w:rPr>
              <w:t>APS Earnings</w:t>
            </w:r>
          </w:p>
        </w:tc>
        <w:tc>
          <w:tcPr>
            <w:tcW w:w="620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9"/>
              </w:rPr>
              <w:t>Palo Verde Business Unit</w:t>
            </w:r>
          </w:p>
        </w:tc>
        <w:tc>
          <w:tcPr>
            <w:tcW w:w="1880" w:type="dxa"/>
            <w:vAlign w:val="bottom"/>
          </w:tcPr>
          <w:p>
            <w:pPr>
              <w:spacing w:after="0"/>
              <w:rPr>
                <w:sz w:val="14"/>
                <w:szCs w:val="14"/>
                <w:color w:val="auto"/>
              </w:rPr>
            </w:pPr>
          </w:p>
        </w:tc>
      </w:tr>
      <w:tr>
        <w:trPr>
          <w:trHeight w:val="184"/>
        </w:trPr>
        <w:tc>
          <w:tcPr>
            <w:tcW w:w="1380" w:type="dxa"/>
            <w:vAlign w:val="bottom"/>
          </w:tcPr>
          <w:p>
            <w:pPr>
              <w:spacing w:after="0"/>
              <w:rPr>
                <w:sz w:val="20"/>
                <w:szCs w:val="20"/>
                <w:color w:val="auto"/>
              </w:rPr>
            </w:pPr>
            <w:r>
              <w:rPr>
                <w:rFonts w:ascii="Arial" w:cs="Arial" w:eastAsia="Arial" w:hAnsi="Arial"/>
                <w:sz w:val="16"/>
                <w:szCs w:val="16"/>
                <w:color w:val="auto"/>
              </w:rPr>
              <w:t>Threshold</w:t>
            </w:r>
          </w:p>
        </w:tc>
        <w:tc>
          <w:tcPr>
            <w:tcW w:w="1960" w:type="dxa"/>
            <w:vAlign w:val="bottom"/>
          </w:tcPr>
          <w:p>
            <w:pPr>
              <w:jc w:val="right"/>
              <w:ind w:right="720"/>
              <w:spacing w:after="0"/>
              <w:rPr>
                <w:sz w:val="20"/>
                <w:szCs w:val="20"/>
                <w:color w:val="auto"/>
              </w:rPr>
            </w:pPr>
            <w:r>
              <w:rPr>
                <w:rFonts w:ascii="Arial" w:cs="Arial" w:eastAsia="Arial" w:hAnsi="Arial"/>
                <w:sz w:val="16"/>
                <w:szCs w:val="16"/>
                <w:color w:val="auto"/>
              </w:rPr>
              <w:t>—</w:t>
            </w:r>
          </w:p>
        </w:tc>
        <w:tc>
          <w:tcPr>
            <w:tcW w:w="6200" w:type="dxa"/>
            <w:vAlign w:val="bottom"/>
          </w:tcPr>
          <w:p>
            <w:pPr>
              <w:jc w:val="center"/>
              <w:ind w:left="20"/>
              <w:spacing w:after="0"/>
              <w:rPr>
                <w:sz w:val="20"/>
                <w:szCs w:val="20"/>
                <w:color w:val="auto"/>
              </w:rPr>
            </w:pPr>
            <w:r>
              <w:rPr>
                <w:rFonts w:ascii="Arial" w:cs="Arial" w:eastAsia="Arial" w:hAnsi="Arial"/>
                <w:sz w:val="16"/>
                <w:szCs w:val="16"/>
                <w:color w:val="auto"/>
                <w:w w:val="99"/>
              </w:rPr>
              <w:t>16.25%</w:t>
            </w:r>
          </w:p>
        </w:tc>
        <w:tc>
          <w:tcPr>
            <w:tcW w:w="1880" w:type="dxa"/>
            <w:vAlign w:val="bottom"/>
          </w:tcPr>
          <w:p>
            <w:pPr>
              <w:jc w:val="right"/>
              <w:ind w:right="480"/>
              <w:spacing w:after="0"/>
              <w:rPr>
                <w:sz w:val="20"/>
                <w:szCs w:val="20"/>
                <w:color w:val="auto"/>
              </w:rPr>
            </w:pPr>
            <w:r>
              <w:rPr>
                <w:rFonts w:ascii="Arial" w:cs="Arial" w:eastAsia="Arial" w:hAnsi="Arial"/>
                <w:sz w:val="16"/>
                <w:szCs w:val="16"/>
                <w:color w:val="auto"/>
              </w:rPr>
              <w:t>16.25%</w:t>
            </w:r>
          </w:p>
        </w:tc>
      </w:tr>
      <w:tr>
        <w:trPr>
          <w:trHeight w:val="184"/>
        </w:trPr>
        <w:tc>
          <w:tcPr>
            <w:tcW w:w="1380" w:type="dxa"/>
            <w:vAlign w:val="bottom"/>
          </w:tcPr>
          <w:p>
            <w:pPr>
              <w:spacing w:after="0"/>
              <w:rPr>
                <w:sz w:val="20"/>
                <w:szCs w:val="20"/>
                <w:color w:val="auto"/>
              </w:rPr>
            </w:pPr>
            <w:r>
              <w:rPr>
                <w:rFonts w:ascii="Arial" w:cs="Arial" w:eastAsia="Arial" w:hAnsi="Arial"/>
                <w:sz w:val="16"/>
                <w:szCs w:val="16"/>
                <w:color w:val="auto"/>
              </w:rPr>
              <w:t>Target</w:t>
            </w:r>
          </w:p>
        </w:tc>
        <w:tc>
          <w:tcPr>
            <w:tcW w:w="1960" w:type="dxa"/>
            <w:vAlign w:val="bottom"/>
          </w:tcPr>
          <w:p>
            <w:pPr>
              <w:jc w:val="right"/>
              <w:ind w:right="580"/>
              <w:spacing w:after="0"/>
              <w:rPr>
                <w:sz w:val="20"/>
                <w:szCs w:val="20"/>
                <w:color w:val="auto"/>
              </w:rPr>
            </w:pPr>
            <w:r>
              <w:rPr>
                <w:rFonts w:ascii="Arial" w:cs="Arial" w:eastAsia="Arial" w:hAnsi="Arial"/>
                <w:sz w:val="16"/>
                <w:szCs w:val="16"/>
                <w:color w:val="auto"/>
              </w:rPr>
              <w:t>32.5%</w:t>
            </w: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6"/>
              </w:rPr>
              <w:t>32.5%</w:t>
            </w:r>
          </w:p>
        </w:tc>
        <w:tc>
          <w:tcPr>
            <w:tcW w:w="1880" w:type="dxa"/>
            <w:vAlign w:val="bottom"/>
          </w:tcPr>
          <w:p>
            <w:pPr>
              <w:jc w:val="right"/>
              <w:ind w:right="540"/>
              <w:spacing w:after="0"/>
              <w:rPr>
                <w:sz w:val="20"/>
                <w:szCs w:val="20"/>
                <w:color w:val="auto"/>
              </w:rPr>
            </w:pPr>
            <w:r>
              <w:rPr>
                <w:rFonts w:ascii="Arial" w:cs="Arial" w:eastAsia="Arial" w:hAnsi="Arial"/>
                <w:sz w:val="16"/>
                <w:szCs w:val="16"/>
                <w:color w:val="auto"/>
              </w:rPr>
              <w:t>65.0%</w:t>
            </w:r>
          </w:p>
        </w:tc>
      </w:tr>
      <w:tr>
        <w:trPr>
          <w:trHeight w:val="201"/>
        </w:trPr>
        <w:tc>
          <w:tcPr>
            <w:tcW w:w="1380" w:type="dxa"/>
            <w:vAlign w:val="bottom"/>
          </w:tcPr>
          <w:p>
            <w:pPr>
              <w:spacing w:after="0"/>
              <w:rPr>
                <w:sz w:val="20"/>
                <w:szCs w:val="20"/>
                <w:color w:val="auto"/>
              </w:rPr>
            </w:pPr>
            <w:r>
              <w:rPr>
                <w:rFonts w:ascii="Arial" w:cs="Arial" w:eastAsia="Arial" w:hAnsi="Arial"/>
                <w:sz w:val="16"/>
                <w:szCs w:val="16"/>
                <w:color w:val="auto"/>
              </w:rPr>
              <w:t>Maximum</w:t>
            </w:r>
          </w:p>
        </w:tc>
        <w:tc>
          <w:tcPr>
            <w:tcW w:w="1960" w:type="dxa"/>
            <w:vAlign w:val="bottom"/>
          </w:tcPr>
          <w:p>
            <w:pPr>
              <w:jc w:val="right"/>
              <w:ind w:right="580"/>
              <w:spacing w:after="0"/>
              <w:rPr>
                <w:sz w:val="20"/>
                <w:szCs w:val="20"/>
                <w:color w:val="auto"/>
              </w:rPr>
            </w:pPr>
            <w:r>
              <w:rPr>
                <w:rFonts w:ascii="Arial" w:cs="Arial" w:eastAsia="Arial" w:hAnsi="Arial"/>
                <w:sz w:val="16"/>
                <w:szCs w:val="16"/>
                <w:color w:val="auto"/>
              </w:rPr>
              <w:t>65.0%</w:t>
            </w: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6"/>
              </w:rPr>
              <w:t>65.0%</w:t>
            </w:r>
          </w:p>
        </w:tc>
        <w:tc>
          <w:tcPr>
            <w:tcW w:w="1880" w:type="dxa"/>
            <w:vAlign w:val="bottom"/>
          </w:tcPr>
          <w:p>
            <w:pPr>
              <w:jc w:val="right"/>
              <w:ind w:right="540"/>
              <w:spacing w:after="0"/>
              <w:rPr>
                <w:sz w:val="20"/>
                <w:szCs w:val="20"/>
                <w:color w:val="auto"/>
              </w:rPr>
            </w:pPr>
            <w:r>
              <w:rPr>
                <w:rFonts w:ascii="Arial" w:cs="Arial" w:eastAsia="Arial" w:hAnsi="Arial"/>
                <w:sz w:val="16"/>
                <w:szCs w:val="16"/>
                <w:color w:val="auto"/>
              </w:rPr>
              <w:t>130.0%</w:t>
            </w: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Mr. Falck:</w:t>
            </w:r>
          </w:p>
        </w:tc>
        <w:tc>
          <w:tcPr>
            <w:tcW w:w="1960" w:type="dxa"/>
            <w:vAlign w:val="bottom"/>
            <w:shd w:val="clear" w:color="auto" w:fill="E3E5EB"/>
          </w:tcPr>
          <w:p>
            <w:pPr>
              <w:jc w:val="center"/>
              <w:ind w:left="120"/>
              <w:spacing w:after="0"/>
              <w:rPr>
                <w:sz w:val="20"/>
                <w:szCs w:val="20"/>
                <w:color w:val="auto"/>
              </w:rPr>
            </w:pPr>
            <w:r>
              <w:rPr>
                <w:rFonts w:ascii="Arial" w:cs="Arial" w:eastAsia="Arial" w:hAnsi="Arial"/>
                <w:sz w:val="16"/>
                <w:szCs w:val="16"/>
                <w:color w:val="auto"/>
              </w:rPr>
              <w:t>APS Earnings</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9"/>
              </w:rPr>
              <w:t>Corporate Resources Business Unit (Legal)</w:t>
            </w:r>
          </w:p>
        </w:tc>
        <w:tc>
          <w:tcPr>
            <w:tcW w:w="1880" w:type="dxa"/>
            <w:vAlign w:val="bottom"/>
            <w:shd w:val="clear" w:color="auto" w:fill="E3E5EB"/>
          </w:tcPr>
          <w:p>
            <w:pPr>
              <w:spacing w:after="0"/>
              <w:rPr>
                <w:sz w:val="16"/>
                <w:szCs w:val="16"/>
                <w:color w:val="auto"/>
              </w:rPr>
            </w:pP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Threshold</w:t>
            </w:r>
          </w:p>
        </w:tc>
        <w:tc>
          <w:tcPr>
            <w:tcW w:w="1960" w:type="dxa"/>
            <w:vAlign w:val="bottom"/>
            <w:shd w:val="clear" w:color="auto" w:fill="E3E5EB"/>
          </w:tcPr>
          <w:p>
            <w:pPr>
              <w:jc w:val="right"/>
              <w:ind w:right="720"/>
              <w:spacing w:after="0"/>
              <w:rPr>
                <w:sz w:val="20"/>
                <w:szCs w:val="20"/>
                <w:color w:val="auto"/>
              </w:rPr>
            </w:pPr>
            <w:r>
              <w:rPr>
                <w:rFonts w:ascii="Arial" w:cs="Arial" w:eastAsia="Arial" w:hAnsi="Arial"/>
                <w:sz w:val="16"/>
                <w:szCs w:val="16"/>
                <w:color w:val="auto"/>
              </w:rPr>
              <w:t>—</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15.0%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15.0%</w:t>
            </w: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Target</w:t>
            </w:r>
          </w:p>
        </w:tc>
        <w:tc>
          <w:tcPr>
            <w:tcW w:w="1960" w:type="dxa"/>
            <w:vAlign w:val="bottom"/>
            <w:shd w:val="clear" w:color="auto" w:fill="E3E5EB"/>
          </w:tcPr>
          <w:p>
            <w:pPr>
              <w:jc w:val="right"/>
              <w:ind w:right="580"/>
              <w:spacing w:after="0"/>
              <w:rPr>
                <w:sz w:val="20"/>
                <w:szCs w:val="20"/>
                <w:color w:val="auto"/>
              </w:rPr>
            </w:pPr>
            <w:r>
              <w:rPr>
                <w:rFonts w:ascii="Arial" w:cs="Arial" w:eastAsia="Arial" w:hAnsi="Arial"/>
                <w:sz w:val="16"/>
                <w:szCs w:val="16"/>
                <w:color w:val="auto"/>
              </w:rPr>
              <w:t>30.0%</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30.0%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60.0%</w:t>
            </w:r>
          </w:p>
        </w:tc>
      </w:tr>
      <w:tr>
        <w:trPr>
          <w:trHeight w:val="184"/>
        </w:trPr>
        <w:tc>
          <w:tcPr>
            <w:tcW w:w="1380" w:type="dxa"/>
            <w:vAlign w:val="bottom"/>
            <w:shd w:val="clear" w:color="auto" w:fill="E3E5EB"/>
          </w:tcPr>
          <w:p>
            <w:pPr>
              <w:spacing w:after="0"/>
              <w:rPr>
                <w:sz w:val="20"/>
                <w:szCs w:val="20"/>
                <w:color w:val="auto"/>
              </w:rPr>
            </w:pPr>
            <w:r>
              <w:rPr>
                <w:rFonts w:ascii="Arial" w:cs="Arial" w:eastAsia="Arial" w:hAnsi="Arial"/>
                <w:sz w:val="16"/>
                <w:szCs w:val="16"/>
                <w:color w:val="auto"/>
              </w:rPr>
              <w:t>Maximum</w:t>
            </w:r>
          </w:p>
        </w:tc>
        <w:tc>
          <w:tcPr>
            <w:tcW w:w="1960" w:type="dxa"/>
            <w:vAlign w:val="bottom"/>
            <w:shd w:val="clear" w:color="auto" w:fill="E3E5EB"/>
          </w:tcPr>
          <w:p>
            <w:pPr>
              <w:jc w:val="right"/>
              <w:ind w:right="580"/>
              <w:spacing w:after="0"/>
              <w:rPr>
                <w:sz w:val="20"/>
                <w:szCs w:val="20"/>
                <w:color w:val="auto"/>
              </w:rPr>
            </w:pPr>
            <w:r>
              <w:rPr>
                <w:rFonts w:ascii="Arial" w:cs="Arial" w:eastAsia="Arial" w:hAnsi="Arial"/>
                <w:sz w:val="16"/>
                <w:szCs w:val="16"/>
                <w:color w:val="auto"/>
              </w:rPr>
              <w:t>60.0%</w:t>
            </w:r>
          </w:p>
        </w:tc>
        <w:tc>
          <w:tcPr>
            <w:tcW w:w="62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6"/>
              </w:rPr>
              <w:t>60.0%</w:t>
            </w:r>
          </w:p>
        </w:tc>
        <w:tc>
          <w:tcPr>
            <w:tcW w:w="1880" w:type="dxa"/>
            <w:vAlign w:val="bottom"/>
            <w:shd w:val="clear" w:color="auto" w:fill="E3E5EB"/>
          </w:tcPr>
          <w:p>
            <w:pPr>
              <w:jc w:val="right"/>
              <w:ind w:right="540"/>
              <w:spacing w:after="0"/>
              <w:rPr>
                <w:sz w:val="20"/>
                <w:szCs w:val="20"/>
                <w:color w:val="auto"/>
              </w:rPr>
            </w:pPr>
            <w:r>
              <w:rPr>
                <w:rFonts w:ascii="Arial" w:cs="Arial" w:eastAsia="Arial" w:hAnsi="Arial"/>
                <w:sz w:val="16"/>
                <w:szCs w:val="16"/>
                <w:color w:val="auto"/>
              </w:rPr>
              <w:t>120.0%</w:t>
            </w:r>
          </w:p>
        </w:tc>
      </w:tr>
      <w:tr>
        <w:trPr>
          <w:trHeight w:val="167"/>
        </w:trPr>
        <w:tc>
          <w:tcPr>
            <w:tcW w:w="1380" w:type="dxa"/>
            <w:vAlign w:val="bottom"/>
          </w:tcPr>
          <w:p>
            <w:pPr>
              <w:spacing w:after="0" w:line="167" w:lineRule="exact"/>
              <w:rPr>
                <w:sz w:val="20"/>
                <w:szCs w:val="20"/>
                <w:color w:val="auto"/>
              </w:rPr>
            </w:pPr>
            <w:r>
              <w:rPr>
                <w:rFonts w:ascii="Arial" w:cs="Arial" w:eastAsia="Arial" w:hAnsi="Arial"/>
                <w:sz w:val="16"/>
                <w:szCs w:val="16"/>
                <w:b w:val="1"/>
                <w:bCs w:val="1"/>
                <w:color w:val="auto"/>
              </w:rPr>
              <w:t>Mr. Schiavoni:</w:t>
            </w:r>
          </w:p>
        </w:tc>
        <w:tc>
          <w:tcPr>
            <w:tcW w:w="1960" w:type="dxa"/>
            <w:vAlign w:val="bottom"/>
          </w:tcPr>
          <w:p>
            <w:pPr>
              <w:jc w:val="center"/>
              <w:ind w:left="120"/>
              <w:spacing w:after="0" w:line="167" w:lineRule="exact"/>
              <w:rPr>
                <w:sz w:val="20"/>
                <w:szCs w:val="20"/>
                <w:color w:val="auto"/>
              </w:rPr>
            </w:pPr>
            <w:r>
              <w:rPr>
                <w:rFonts w:ascii="Arial" w:cs="Arial" w:eastAsia="Arial" w:hAnsi="Arial"/>
                <w:sz w:val="16"/>
                <w:szCs w:val="16"/>
                <w:color w:val="auto"/>
              </w:rPr>
              <w:t>APS Earnings</w:t>
            </w:r>
          </w:p>
        </w:tc>
        <w:tc>
          <w:tcPr>
            <w:tcW w:w="6200" w:type="dxa"/>
            <w:vAlign w:val="bottom"/>
          </w:tcPr>
          <w:p>
            <w:pPr>
              <w:jc w:val="center"/>
              <w:ind w:left="20"/>
              <w:spacing w:after="0" w:line="167" w:lineRule="exact"/>
              <w:rPr>
                <w:sz w:val="20"/>
                <w:szCs w:val="20"/>
                <w:color w:val="auto"/>
              </w:rPr>
            </w:pPr>
            <w:r>
              <w:rPr>
                <w:rFonts w:ascii="Arial" w:cs="Arial" w:eastAsia="Arial" w:hAnsi="Arial"/>
                <w:sz w:val="16"/>
                <w:szCs w:val="16"/>
                <w:color w:val="auto"/>
                <w:w w:val="99"/>
              </w:rPr>
              <w:t>Corporate Resources (Resource Management, Supply Chain, and Sustainability),</w:t>
            </w:r>
          </w:p>
        </w:tc>
        <w:tc>
          <w:tcPr>
            <w:tcW w:w="1880" w:type="dxa"/>
            <w:vAlign w:val="bottom"/>
          </w:tcPr>
          <w:p>
            <w:pPr>
              <w:spacing w:after="0"/>
              <w:rPr>
                <w:sz w:val="14"/>
                <w:szCs w:val="14"/>
                <w:color w:val="auto"/>
              </w:rPr>
            </w:pPr>
          </w:p>
        </w:tc>
      </w:tr>
      <w:tr>
        <w:trPr>
          <w:trHeight w:val="184"/>
        </w:trPr>
        <w:tc>
          <w:tcPr>
            <w:tcW w:w="13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9"/>
              </w:rPr>
              <w:t>Customer Service, Fossil Generation, and Transmission and Distribution Business</w:t>
            </w:r>
          </w:p>
        </w:tc>
        <w:tc>
          <w:tcPr>
            <w:tcW w:w="1880" w:type="dxa"/>
            <w:vAlign w:val="bottom"/>
          </w:tcPr>
          <w:p>
            <w:pPr>
              <w:spacing w:after="0"/>
              <w:rPr>
                <w:sz w:val="16"/>
                <w:szCs w:val="16"/>
                <w:color w:val="auto"/>
              </w:rPr>
            </w:pPr>
          </w:p>
        </w:tc>
      </w:tr>
      <w:tr>
        <w:trPr>
          <w:trHeight w:val="184"/>
        </w:trPr>
        <w:tc>
          <w:tcPr>
            <w:tcW w:w="13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8"/>
              </w:rPr>
              <w:t>Units</w:t>
            </w:r>
          </w:p>
        </w:tc>
        <w:tc>
          <w:tcPr>
            <w:tcW w:w="1880" w:type="dxa"/>
            <w:vAlign w:val="bottom"/>
          </w:tcPr>
          <w:p>
            <w:pPr>
              <w:spacing w:after="0"/>
              <w:rPr>
                <w:sz w:val="16"/>
                <w:szCs w:val="16"/>
                <w:color w:val="auto"/>
              </w:rPr>
            </w:pPr>
          </w:p>
        </w:tc>
      </w:tr>
      <w:tr>
        <w:trPr>
          <w:trHeight w:val="184"/>
        </w:trPr>
        <w:tc>
          <w:tcPr>
            <w:tcW w:w="13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9"/>
              </w:rPr>
              <w:t>(1/4 each)</w:t>
            </w:r>
          </w:p>
        </w:tc>
        <w:tc>
          <w:tcPr>
            <w:tcW w:w="1880" w:type="dxa"/>
            <w:vAlign w:val="bottom"/>
          </w:tcPr>
          <w:p>
            <w:pPr>
              <w:spacing w:after="0"/>
              <w:rPr>
                <w:sz w:val="16"/>
                <w:szCs w:val="16"/>
                <w:color w:val="auto"/>
              </w:rPr>
            </w:pPr>
          </w:p>
        </w:tc>
      </w:tr>
      <w:tr>
        <w:trPr>
          <w:trHeight w:val="184"/>
        </w:trPr>
        <w:tc>
          <w:tcPr>
            <w:tcW w:w="1380" w:type="dxa"/>
            <w:vAlign w:val="bottom"/>
          </w:tcPr>
          <w:p>
            <w:pPr>
              <w:spacing w:after="0"/>
              <w:rPr>
                <w:sz w:val="20"/>
                <w:szCs w:val="20"/>
                <w:color w:val="auto"/>
              </w:rPr>
            </w:pPr>
            <w:r>
              <w:rPr>
                <w:rFonts w:ascii="Arial" w:cs="Arial" w:eastAsia="Arial" w:hAnsi="Arial"/>
                <w:sz w:val="16"/>
                <w:szCs w:val="16"/>
                <w:color w:val="auto"/>
              </w:rPr>
              <w:t>Threshold</w:t>
            </w:r>
          </w:p>
        </w:tc>
        <w:tc>
          <w:tcPr>
            <w:tcW w:w="1960" w:type="dxa"/>
            <w:vAlign w:val="bottom"/>
          </w:tcPr>
          <w:p>
            <w:pPr>
              <w:jc w:val="right"/>
              <w:ind w:right="720"/>
              <w:spacing w:after="0"/>
              <w:rPr>
                <w:sz w:val="20"/>
                <w:szCs w:val="20"/>
                <w:color w:val="auto"/>
              </w:rPr>
            </w:pPr>
            <w:r>
              <w:rPr>
                <w:rFonts w:ascii="Arial" w:cs="Arial" w:eastAsia="Arial" w:hAnsi="Arial"/>
                <w:sz w:val="16"/>
                <w:szCs w:val="16"/>
                <w:color w:val="auto"/>
              </w:rPr>
              <w:t>—</w:t>
            </w: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6"/>
              </w:rPr>
              <w:t>17.5%</w:t>
            </w:r>
          </w:p>
        </w:tc>
        <w:tc>
          <w:tcPr>
            <w:tcW w:w="1880" w:type="dxa"/>
            <w:vAlign w:val="bottom"/>
          </w:tcPr>
          <w:p>
            <w:pPr>
              <w:jc w:val="right"/>
              <w:ind w:right="540"/>
              <w:spacing w:after="0"/>
              <w:rPr>
                <w:sz w:val="20"/>
                <w:szCs w:val="20"/>
                <w:color w:val="auto"/>
              </w:rPr>
            </w:pPr>
            <w:r>
              <w:rPr>
                <w:rFonts w:ascii="Arial" w:cs="Arial" w:eastAsia="Arial" w:hAnsi="Arial"/>
                <w:sz w:val="16"/>
                <w:szCs w:val="16"/>
                <w:color w:val="auto"/>
              </w:rPr>
              <w:t>17.5%</w:t>
            </w:r>
          </w:p>
        </w:tc>
      </w:tr>
      <w:tr>
        <w:trPr>
          <w:trHeight w:val="184"/>
        </w:trPr>
        <w:tc>
          <w:tcPr>
            <w:tcW w:w="1380" w:type="dxa"/>
            <w:vAlign w:val="bottom"/>
          </w:tcPr>
          <w:p>
            <w:pPr>
              <w:spacing w:after="0"/>
              <w:rPr>
                <w:sz w:val="20"/>
                <w:szCs w:val="20"/>
                <w:color w:val="auto"/>
              </w:rPr>
            </w:pPr>
            <w:r>
              <w:rPr>
                <w:rFonts w:ascii="Arial" w:cs="Arial" w:eastAsia="Arial" w:hAnsi="Arial"/>
                <w:sz w:val="16"/>
                <w:szCs w:val="16"/>
                <w:color w:val="auto"/>
              </w:rPr>
              <w:t>Target</w:t>
            </w:r>
          </w:p>
        </w:tc>
        <w:tc>
          <w:tcPr>
            <w:tcW w:w="1960" w:type="dxa"/>
            <w:vAlign w:val="bottom"/>
          </w:tcPr>
          <w:p>
            <w:pPr>
              <w:jc w:val="right"/>
              <w:ind w:right="580"/>
              <w:spacing w:after="0"/>
              <w:rPr>
                <w:sz w:val="20"/>
                <w:szCs w:val="20"/>
                <w:color w:val="auto"/>
              </w:rPr>
            </w:pPr>
            <w:r>
              <w:rPr>
                <w:rFonts w:ascii="Arial" w:cs="Arial" w:eastAsia="Arial" w:hAnsi="Arial"/>
                <w:sz w:val="16"/>
                <w:szCs w:val="16"/>
                <w:color w:val="auto"/>
              </w:rPr>
              <w:t>35.0%</w:t>
            </w:r>
          </w:p>
        </w:tc>
        <w:tc>
          <w:tcPr>
            <w:tcW w:w="6200" w:type="dxa"/>
            <w:vAlign w:val="bottom"/>
          </w:tcPr>
          <w:p>
            <w:pPr>
              <w:jc w:val="center"/>
              <w:ind w:left="40"/>
              <w:spacing w:after="0"/>
              <w:rPr>
                <w:sz w:val="20"/>
                <w:szCs w:val="20"/>
                <w:color w:val="auto"/>
              </w:rPr>
            </w:pPr>
            <w:r>
              <w:rPr>
                <w:rFonts w:ascii="Arial" w:cs="Arial" w:eastAsia="Arial" w:hAnsi="Arial"/>
                <w:sz w:val="16"/>
                <w:szCs w:val="16"/>
                <w:color w:val="auto"/>
                <w:w w:val="96"/>
              </w:rPr>
              <w:t>35.0%</w:t>
            </w:r>
          </w:p>
        </w:tc>
        <w:tc>
          <w:tcPr>
            <w:tcW w:w="1880" w:type="dxa"/>
            <w:vAlign w:val="bottom"/>
          </w:tcPr>
          <w:p>
            <w:pPr>
              <w:jc w:val="right"/>
              <w:ind w:right="540"/>
              <w:spacing w:after="0"/>
              <w:rPr>
                <w:sz w:val="20"/>
                <w:szCs w:val="20"/>
                <w:color w:val="auto"/>
              </w:rPr>
            </w:pPr>
            <w:r>
              <w:rPr>
                <w:rFonts w:ascii="Arial" w:cs="Arial" w:eastAsia="Arial" w:hAnsi="Arial"/>
                <w:sz w:val="16"/>
                <w:szCs w:val="16"/>
                <w:color w:val="auto"/>
              </w:rPr>
              <w:t>70.0%</w:t>
            </w:r>
          </w:p>
        </w:tc>
      </w:tr>
      <w:tr>
        <w:trPr>
          <w:trHeight w:val="201"/>
        </w:trPr>
        <w:tc>
          <w:tcPr>
            <w:tcW w:w="1380" w:type="dxa"/>
            <w:vAlign w:val="bottom"/>
            <w:tcBorders>
              <w:bottom w:val="single" w:sz="8" w:color="395775"/>
            </w:tcBorders>
          </w:tcPr>
          <w:p>
            <w:pPr>
              <w:spacing w:after="0"/>
              <w:rPr>
                <w:sz w:val="20"/>
                <w:szCs w:val="20"/>
                <w:color w:val="auto"/>
              </w:rPr>
            </w:pPr>
            <w:r>
              <w:rPr>
                <w:rFonts w:ascii="Arial" w:cs="Arial" w:eastAsia="Arial" w:hAnsi="Arial"/>
                <w:sz w:val="16"/>
                <w:szCs w:val="16"/>
                <w:color w:val="auto"/>
              </w:rPr>
              <w:t>Maximum</w:t>
            </w:r>
          </w:p>
        </w:tc>
        <w:tc>
          <w:tcPr>
            <w:tcW w:w="1960" w:type="dxa"/>
            <w:vAlign w:val="bottom"/>
            <w:tcBorders>
              <w:bottom w:val="single" w:sz="8" w:color="395775"/>
            </w:tcBorders>
          </w:tcPr>
          <w:p>
            <w:pPr>
              <w:jc w:val="right"/>
              <w:ind w:right="580"/>
              <w:spacing w:after="0"/>
              <w:rPr>
                <w:sz w:val="20"/>
                <w:szCs w:val="20"/>
                <w:color w:val="auto"/>
              </w:rPr>
            </w:pPr>
            <w:r>
              <w:rPr>
                <w:rFonts w:ascii="Arial" w:cs="Arial" w:eastAsia="Arial" w:hAnsi="Arial"/>
                <w:sz w:val="16"/>
                <w:szCs w:val="16"/>
                <w:color w:val="auto"/>
              </w:rPr>
              <w:t>70.0%</w:t>
            </w:r>
          </w:p>
        </w:tc>
        <w:tc>
          <w:tcPr>
            <w:tcW w:w="6200" w:type="dxa"/>
            <w:vAlign w:val="bottom"/>
            <w:tcBorders>
              <w:bottom w:val="single" w:sz="8" w:color="395775"/>
            </w:tcBorders>
          </w:tcPr>
          <w:p>
            <w:pPr>
              <w:jc w:val="center"/>
              <w:ind w:left="40"/>
              <w:spacing w:after="0"/>
              <w:rPr>
                <w:sz w:val="20"/>
                <w:szCs w:val="20"/>
                <w:color w:val="auto"/>
              </w:rPr>
            </w:pPr>
            <w:r>
              <w:rPr>
                <w:rFonts w:ascii="Arial" w:cs="Arial" w:eastAsia="Arial" w:hAnsi="Arial"/>
                <w:sz w:val="16"/>
                <w:szCs w:val="16"/>
                <w:color w:val="auto"/>
                <w:w w:val="96"/>
              </w:rPr>
              <w:t>70.0%</w:t>
            </w:r>
          </w:p>
        </w:tc>
        <w:tc>
          <w:tcPr>
            <w:tcW w:w="1880" w:type="dxa"/>
            <w:vAlign w:val="bottom"/>
            <w:tcBorders>
              <w:bottom w:val="single" w:sz="8" w:color="395775"/>
            </w:tcBorders>
          </w:tcPr>
          <w:p>
            <w:pPr>
              <w:jc w:val="right"/>
              <w:ind w:right="540"/>
              <w:spacing w:after="0"/>
              <w:rPr>
                <w:sz w:val="20"/>
                <w:szCs w:val="20"/>
                <w:color w:val="auto"/>
              </w:rPr>
            </w:pPr>
            <w:r>
              <w:rPr>
                <w:rFonts w:ascii="Arial" w:cs="Arial" w:eastAsia="Arial" w:hAnsi="Arial"/>
                <w:sz w:val="16"/>
                <w:szCs w:val="16"/>
                <w:color w:val="auto"/>
              </w:rPr>
              <w:t>140.0%</w:t>
            </w:r>
          </w:p>
        </w:tc>
      </w:tr>
      <w:tr>
        <w:trPr>
          <w:trHeight w:val="543"/>
        </w:trPr>
        <w:tc>
          <w:tcPr>
            <w:tcW w:w="138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6200" w:type="dxa"/>
            <w:vAlign w:val="bottom"/>
          </w:tcPr>
          <w:p>
            <w:pPr>
              <w:ind w:left="414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1880" w:type="dxa"/>
            <w:vAlign w:val="bottom"/>
          </w:tcPr>
          <w:p>
            <w:pPr>
              <w:jc w:val="right"/>
              <w:spacing w:after="0"/>
              <w:rPr>
                <w:sz w:val="20"/>
                <w:szCs w:val="20"/>
                <w:color w:val="auto"/>
              </w:rPr>
            </w:pPr>
            <w:r>
              <w:rPr>
                <w:rFonts w:ascii="Arial" w:cs="Arial" w:eastAsia="Arial" w:hAnsi="Arial"/>
                <w:sz w:val="16"/>
                <w:szCs w:val="16"/>
                <w:b w:val="1"/>
                <w:bCs w:val="1"/>
                <w:color w:val="auto"/>
              </w:rPr>
              <w:t>49</w:t>
            </w:r>
          </w:p>
        </w:tc>
      </w:tr>
      <w:tr>
        <w:trPr>
          <w:trHeight w:val="157"/>
        </w:trPr>
        <w:tc>
          <w:tcPr>
            <w:tcW w:w="1380" w:type="dxa"/>
            <w:vAlign w:val="bottom"/>
            <w:tcBorders>
              <w:bottom w:val="single" w:sz="8" w:color="808080"/>
            </w:tcBorders>
          </w:tcPr>
          <w:p>
            <w:pPr>
              <w:spacing w:after="0"/>
              <w:rPr>
                <w:sz w:val="13"/>
                <w:szCs w:val="13"/>
                <w:color w:val="auto"/>
              </w:rPr>
            </w:pPr>
          </w:p>
        </w:tc>
        <w:tc>
          <w:tcPr>
            <w:tcW w:w="1960" w:type="dxa"/>
            <w:vAlign w:val="bottom"/>
            <w:tcBorders>
              <w:bottom w:val="single" w:sz="8" w:color="808080"/>
            </w:tcBorders>
          </w:tcPr>
          <w:p>
            <w:pPr>
              <w:spacing w:after="0"/>
              <w:rPr>
                <w:sz w:val="13"/>
                <w:szCs w:val="13"/>
                <w:color w:val="auto"/>
              </w:rPr>
            </w:pPr>
          </w:p>
        </w:tc>
        <w:tc>
          <w:tcPr>
            <w:tcW w:w="6200" w:type="dxa"/>
            <w:vAlign w:val="bottom"/>
            <w:tcBorders>
              <w:bottom w:val="single" w:sz="8" w:color="808080"/>
            </w:tcBorders>
          </w:tcPr>
          <w:p>
            <w:pPr>
              <w:spacing w:after="0"/>
              <w:rPr>
                <w:sz w:val="13"/>
                <w:szCs w:val="13"/>
                <w:color w:val="auto"/>
              </w:rPr>
            </w:pPr>
          </w:p>
        </w:tc>
        <w:tc>
          <w:tcPr>
            <w:tcW w:w="1880" w:type="dxa"/>
            <w:vAlign w:val="bottom"/>
            <w:tcBorders>
              <w:bottom w:val="single" w:sz="8" w:color="808080"/>
            </w:tcBorders>
          </w:tcPr>
          <w:p>
            <w:pPr>
              <w:spacing w:after="0"/>
              <w:rPr>
                <w:sz w:val="13"/>
                <w:szCs w:val="13"/>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6190615</wp:posOffset>
            </wp:positionH>
            <wp:positionV relativeFrom="paragraph">
              <wp:posOffset>-281940</wp:posOffset>
            </wp:positionV>
            <wp:extent cx="841375" cy="16383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58" w:name="page59"/>
    <w:bookmarkEnd w:id="58"/>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137795</wp:posOffset>
            </wp:positionV>
            <wp:extent cx="1487805" cy="15557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560"/>
        <w:spacing w:after="0"/>
        <w:rPr>
          <w:sz w:val="20"/>
          <w:szCs w:val="20"/>
          <w:color w:val="auto"/>
        </w:rPr>
      </w:pPr>
      <w:r>
        <w:rPr>
          <w:rFonts w:ascii="Arial" w:cs="Arial" w:eastAsia="Arial" w:hAnsi="Arial"/>
          <w:sz w:val="13"/>
          <w:szCs w:val="13"/>
          <w:b w:val="1"/>
          <w:bCs w:val="1"/>
          <w:color w:val="FFFFFE"/>
        </w:rPr>
        <w:t>EXECUTIVE COMPENSATION</w:t>
      </w:r>
    </w:p>
    <w:p>
      <w:pPr>
        <w:spacing w:after="0" w:line="92" w:lineRule="exact"/>
        <w:rPr>
          <w:sz w:val="20"/>
          <w:szCs w:val="20"/>
          <w:color w:val="auto"/>
        </w:rPr>
      </w:pPr>
    </w:p>
    <w:p>
      <w:pPr>
        <w:ind w:right="140"/>
        <w:spacing w:after="0" w:line="242" w:lineRule="auto"/>
        <w:rPr>
          <w:sz w:val="20"/>
          <w:szCs w:val="20"/>
          <w:color w:val="auto"/>
        </w:rPr>
      </w:pPr>
      <w:r>
        <w:rPr>
          <w:rFonts w:ascii="Arial" w:cs="Arial" w:eastAsia="Arial" w:hAnsi="Arial"/>
          <w:sz w:val="20"/>
          <w:szCs w:val="20"/>
          <w:color w:val="auto"/>
        </w:rPr>
        <w:t>In addition to the specific business unit performance measures described below, the APS Incentive Plans allowed the Committee to consider shareholder value creation, customer service, financial strength, operating performance, and safety, and to make adjustments for individual performance. The Committee could also exercise discretion under the APS Incentive Plans due to unanticipated events that might arise during the performance period.</w:t>
      </w:r>
    </w:p>
    <w:p>
      <w:pPr>
        <w:spacing w:after="0" w:line="369" w:lineRule="exact"/>
        <w:rPr>
          <w:sz w:val="20"/>
          <w:szCs w:val="20"/>
          <w:color w:val="auto"/>
        </w:rPr>
      </w:pPr>
    </w:p>
    <w:p>
      <w:pPr>
        <w:jc w:val="center"/>
        <w:ind w:right="140"/>
        <w:spacing w:after="0"/>
        <w:rPr>
          <w:sz w:val="20"/>
          <w:szCs w:val="20"/>
          <w:color w:val="auto"/>
        </w:rPr>
      </w:pPr>
      <w:r>
        <w:rPr>
          <w:rFonts w:ascii="Arial" w:cs="Arial" w:eastAsia="Arial" w:hAnsi="Arial"/>
          <w:sz w:val="20"/>
          <w:szCs w:val="20"/>
          <w:b w:val="1"/>
          <w:bCs w:val="1"/>
          <w:color w:val="auto"/>
        </w:rPr>
        <w:t>Earnings Components of the APS Incentive Plans</w:t>
      </w:r>
    </w:p>
    <w:p>
      <w:pPr>
        <w:spacing w:after="0" w:line="200" w:lineRule="exact"/>
        <w:rPr>
          <w:sz w:val="20"/>
          <w:szCs w:val="20"/>
          <w:color w:val="auto"/>
        </w:rPr>
      </w:pPr>
    </w:p>
    <w:p>
      <w:pPr>
        <w:spacing w:after="0" w:line="345" w:lineRule="exact"/>
        <w:rPr>
          <w:sz w:val="20"/>
          <w:szCs w:val="20"/>
          <w:color w:val="auto"/>
        </w:rPr>
      </w:pPr>
    </w:p>
    <w:tbl>
      <w:tblPr>
        <w:tblLayout w:type="fixed"/>
        <w:tblInd w:w="100" w:type="dxa"/>
        <w:tblCellMar>
          <w:top w:w="0" w:type="dxa"/>
          <w:left w:w="0" w:type="dxa"/>
          <w:bottom w:w="0" w:type="dxa"/>
          <w:right w:w="0" w:type="dxa"/>
        </w:tblCellMar>
      </w:tblPr>
      <w:tr>
        <w:trPr>
          <w:trHeight w:val="203"/>
        </w:trPr>
        <w:tc>
          <w:tcPr>
            <w:tcW w:w="336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EARNINGS PERFORMANCE MEASURE</w:t>
            </w:r>
          </w:p>
        </w:tc>
        <w:tc>
          <w:tcPr>
            <w:tcW w:w="1220" w:type="dxa"/>
            <w:vAlign w:val="bottom"/>
            <w:tcBorders>
              <w:bottom w:val="single" w:sz="8" w:color="646466"/>
            </w:tcBorders>
          </w:tcPr>
          <w:p>
            <w:pPr>
              <w:spacing w:after="0"/>
              <w:rPr>
                <w:sz w:val="17"/>
                <w:szCs w:val="17"/>
                <w:color w:val="auto"/>
              </w:rPr>
            </w:pPr>
          </w:p>
        </w:tc>
        <w:tc>
          <w:tcPr>
            <w:tcW w:w="2480" w:type="dxa"/>
            <w:vAlign w:val="bottom"/>
            <w:tcBorders>
              <w:bottom w:val="single" w:sz="8" w:color="646466"/>
            </w:tcBorders>
          </w:tcPr>
          <w:p>
            <w:pPr>
              <w:ind w:left="540"/>
              <w:spacing w:after="0"/>
              <w:rPr>
                <w:sz w:val="20"/>
                <w:szCs w:val="20"/>
                <w:color w:val="auto"/>
              </w:rPr>
            </w:pPr>
            <w:r>
              <w:rPr>
                <w:rFonts w:ascii="Arial" w:cs="Arial" w:eastAsia="Arial" w:hAnsi="Arial"/>
                <w:sz w:val="16"/>
                <w:szCs w:val="16"/>
                <w:b w:val="1"/>
                <w:bCs w:val="1"/>
                <w:color w:val="3A5575"/>
              </w:rPr>
              <w:t>2015 TARGETS</w:t>
            </w:r>
          </w:p>
        </w:tc>
        <w:tc>
          <w:tcPr>
            <w:tcW w:w="4360" w:type="dxa"/>
            <w:vAlign w:val="bottom"/>
            <w:tcBorders>
              <w:bottom w:val="single" w:sz="8" w:color="646466"/>
            </w:tcBorders>
          </w:tcPr>
          <w:p>
            <w:pPr>
              <w:ind w:left="2020"/>
              <w:spacing w:after="0"/>
              <w:rPr>
                <w:sz w:val="20"/>
                <w:szCs w:val="20"/>
                <w:color w:val="auto"/>
              </w:rPr>
            </w:pPr>
            <w:r>
              <w:rPr>
                <w:rFonts w:ascii="Arial" w:cs="Arial" w:eastAsia="Arial" w:hAnsi="Arial"/>
                <w:sz w:val="16"/>
                <w:szCs w:val="16"/>
                <w:b w:val="1"/>
                <w:bCs w:val="1"/>
                <w:color w:val="3A5575"/>
              </w:rPr>
              <w:t>2015 RESULTS</w:t>
            </w:r>
          </w:p>
        </w:tc>
      </w:tr>
      <w:tr>
        <w:trPr>
          <w:trHeight w:val="159"/>
        </w:trPr>
        <w:tc>
          <w:tcPr>
            <w:tcW w:w="3360" w:type="dxa"/>
            <w:vAlign w:val="bottom"/>
          </w:tcPr>
          <w:p>
            <w:pPr>
              <w:spacing w:after="0" w:line="159" w:lineRule="exact"/>
              <w:rPr>
                <w:sz w:val="20"/>
                <w:szCs w:val="20"/>
                <w:color w:val="auto"/>
              </w:rPr>
            </w:pPr>
            <w:r>
              <w:rPr>
                <w:rFonts w:ascii="Arial" w:cs="Arial" w:eastAsia="Arial" w:hAnsi="Arial"/>
                <w:sz w:val="16"/>
                <w:szCs w:val="16"/>
                <w:color w:val="auto"/>
              </w:rPr>
              <w:t>APS earnings</w:t>
            </w:r>
          </w:p>
        </w:tc>
        <w:tc>
          <w:tcPr>
            <w:tcW w:w="1220" w:type="dxa"/>
            <w:vAlign w:val="bottom"/>
          </w:tcPr>
          <w:p>
            <w:pPr>
              <w:ind w:left="380"/>
              <w:spacing w:after="0" w:line="159" w:lineRule="exact"/>
              <w:rPr>
                <w:sz w:val="20"/>
                <w:szCs w:val="20"/>
                <w:color w:val="auto"/>
              </w:rPr>
            </w:pPr>
            <w:r>
              <w:rPr>
                <w:rFonts w:ascii="Arial" w:cs="Arial" w:eastAsia="Arial" w:hAnsi="Arial"/>
                <w:sz w:val="16"/>
                <w:szCs w:val="16"/>
                <w:color w:val="auto"/>
              </w:rPr>
              <w:t>Threshold:</w:t>
            </w:r>
          </w:p>
        </w:tc>
        <w:tc>
          <w:tcPr>
            <w:tcW w:w="2480" w:type="dxa"/>
            <w:vAlign w:val="bottom"/>
          </w:tcPr>
          <w:p>
            <w:pPr>
              <w:ind w:left="100"/>
              <w:spacing w:after="0" w:line="159" w:lineRule="exact"/>
              <w:rPr>
                <w:sz w:val="20"/>
                <w:szCs w:val="20"/>
                <w:color w:val="auto"/>
              </w:rPr>
            </w:pPr>
            <w:r>
              <w:rPr>
                <w:rFonts w:ascii="Arial" w:cs="Arial" w:eastAsia="Arial" w:hAnsi="Arial"/>
                <w:sz w:val="16"/>
                <w:szCs w:val="16"/>
                <w:color w:val="auto"/>
              </w:rPr>
              <w:t>$378 million</w:t>
            </w:r>
          </w:p>
        </w:tc>
        <w:tc>
          <w:tcPr>
            <w:tcW w:w="4360" w:type="dxa"/>
            <w:vAlign w:val="bottom"/>
          </w:tcPr>
          <w:p>
            <w:pPr>
              <w:ind w:left="780"/>
              <w:spacing w:after="0" w:line="159" w:lineRule="exact"/>
              <w:rPr>
                <w:sz w:val="20"/>
                <w:szCs w:val="20"/>
                <w:color w:val="auto"/>
              </w:rPr>
            </w:pPr>
            <w:r>
              <w:rPr>
                <w:rFonts w:ascii="Arial" w:cs="Arial" w:eastAsia="Arial" w:hAnsi="Arial"/>
                <w:sz w:val="16"/>
                <w:szCs w:val="16"/>
                <w:color w:val="auto"/>
              </w:rPr>
              <w:t>$447.4 million, or 145% (100% plus 45% of the</w:t>
            </w:r>
          </w:p>
        </w:tc>
      </w:tr>
      <w:tr>
        <w:trPr>
          <w:trHeight w:val="184"/>
        </w:trPr>
        <w:tc>
          <w:tcPr>
            <w:tcW w:w="3360" w:type="dxa"/>
            <w:vAlign w:val="bottom"/>
          </w:tcPr>
          <w:p>
            <w:pPr>
              <w:spacing w:after="0"/>
              <w:rPr>
                <w:sz w:val="16"/>
                <w:szCs w:val="16"/>
                <w:color w:val="auto"/>
              </w:rPr>
            </w:pPr>
          </w:p>
        </w:tc>
        <w:tc>
          <w:tcPr>
            <w:tcW w:w="1220" w:type="dxa"/>
            <w:vAlign w:val="bottom"/>
          </w:tcPr>
          <w:p>
            <w:pPr>
              <w:ind w:left="380"/>
              <w:spacing w:after="0"/>
              <w:rPr>
                <w:sz w:val="20"/>
                <w:szCs w:val="20"/>
                <w:color w:val="auto"/>
              </w:rPr>
            </w:pPr>
            <w:r>
              <w:rPr>
                <w:rFonts w:ascii="Arial" w:cs="Arial" w:eastAsia="Arial" w:hAnsi="Arial"/>
                <w:sz w:val="16"/>
                <w:szCs w:val="16"/>
                <w:color w:val="auto"/>
              </w:rPr>
              <w:t>Target:</w:t>
            </w:r>
          </w:p>
        </w:tc>
        <w:tc>
          <w:tcPr>
            <w:tcW w:w="2480" w:type="dxa"/>
            <w:vAlign w:val="bottom"/>
          </w:tcPr>
          <w:p>
            <w:pPr>
              <w:ind w:left="140"/>
              <w:spacing w:after="0"/>
              <w:rPr>
                <w:sz w:val="20"/>
                <w:szCs w:val="20"/>
                <w:color w:val="auto"/>
              </w:rPr>
            </w:pPr>
            <w:r>
              <w:rPr>
                <w:rFonts w:ascii="Arial" w:cs="Arial" w:eastAsia="Arial" w:hAnsi="Arial"/>
                <w:sz w:val="16"/>
                <w:szCs w:val="16"/>
                <w:color w:val="auto"/>
              </w:rPr>
              <w:t>$426 million</w:t>
            </w:r>
          </w:p>
        </w:tc>
        <w:tc>
          <w:tcPr>
            <w:tcW w:w="4360" w:type="dxa"/>
            <w:vAlign w:val="bottom"/>
          </w:tcPr>
          <w:p>
            <w:pPr>
              <w:ind w:left="780"/>
              <w:spacing w:after="0"/>
              <w:rPr>
                <w:sz w:val="20"/>
                <w:szCs w:val="20"/>
                <w:color w:val="auto"/>
              </w:rPr>
            </w:pPr>
            <w:r>
              <w:rPr>
                <w:rFonts w:ascii="Arial" w:cs="Arial" w:eastAsia="Arial" w:hAnsi="Arial"/>
                <w:sz w:val="16"/>
                <w:szCs w:val="16"/>
                <w:color w:val="auto"/>
              </w:rPr>
              <w:t>potential earnings range between target and</w:t>
            </w:r>
          </w:p>
        </w:tc>
      </w:tr>
      <w:tr>
        <w:trPr>
          <w:trHeight w:val="201"/>
        </w:trPr>
        <w:tc>
          <w:tcPr>
            <w:tcW w:w="3360" w:type="dxa"/>
            <w:vAlign w:val="bottom"/>
            <w:tcBorders>
              <w:bottom w:val="single" w:sz="8" w:color="395775"/>
            </w:tcBorders>
          </w:tcPr>
          <w:p>
            <w:pPr>
              <w:spacing w:after="0"/>
              <w:rPr>
                <w:sz w:val="17"/>
                <w:szCs w:val="17"/>
                <w:color w:val="auto"/>
              </w:rPr>
            </w:pPr>
          </w:p>
        </w:tc>
        <w:tc>
          <w:tcPr>
            <w:tcW w:w="1220" w:type="dxa"/>
            <w:vAlign w:val="bottom"/>
            <w:tcBorders>
              <w:bottom w:val="single" w:sz="8" w:color="395775"/>
            </w:tcBorders>
          </w:tcPr>
          <w:p>
            <w:pPr>
              <w:ind w:left="380"/>
              <w:spacing w:after="0"/>
              <w:rPr>
                <w:sz w:val="20"/>
                <w:szCs w:val="20"/>
                <w:color w:val="auto"/>
              </w:rPr>
            </w:pPr>
            <w:r>
              <w:rPr>
                <w:rFonts w:ascii="Arial" w:cs="Arial" w:eastAsia="Arial" w:hAnsi="Arial"/>
                <w:sz w:val="16"/>
                <w:szCs w:val="16"/>
                <w:color w:val="auto"/>
              </w:rPr>
              <w:t>Maximum:</w:t>
            </w:r>
          </w:p>
        </w:tc>
        <w:tc>
          <w:tcPr>
            <w:tcW w:w="2480" w:type="dxa"/>
            <w:vAlign w:val="bottom"/>
            <w:tcBorders>
              <w:bottom w:val="single" w:sz="8" w:color="395775"/>
            </w:tcBorders>
          </w:tcPr>
          <w:p>
            <w:pPr>
              <w:ind w:left="80"/>
              <w:spacing w:after="0"/>
              <w:rPr>
                <w:sz w:val="20"/>
                <w:szCs w:val="20"/>
                <w:color w:val="auto"/>
              </w:rPr>
            </w:pPr>
            <w:r>
              <w:rPr>
                <w:rFonts w:ascii="Arial" w:cs="Arial" w:eastAsia="Arial" w:hAnsi="Arial"/>
                <w:sz w:val="16"/>
                <w:szCs w:val="16"/>
                <w:color w:val="auto"/>
              </w:rPr>
              <w:t>$474 million</w:t>
            </w:r>
          </w:p>
        </w:tc>
        <w:tc>
          <w:tcPr>
            <w:tcW w:w="4360" w:type="dxa"/>
            <w:vAlign w:val="bottom"/>
            <w:tcBorders>
              <w:bottom w:val="single" w:sz="8" w:color="395775"/>
            </w:tcBorders>
          </w:tcPr>
          <w:p>
            <w:pPr>
              <w:ind w:left="780"/>
              <w:spacing w:after="0"/>
              <w:rPr>
                <w:sz w:val="20"/>
                <w:szCs w:val="20"/>
                <w:color w:val="auto"/>
              </w:rPr>
            </w:pPr>
            <w:r>
              <w:rPr>
                <w:rFonts w:ascii="Arial" w:cs="Arial" w:eastAsia="Arial" w:hAnsi="Arial"/>
                <w:sz w:val="16"/>
                <w:szCs w:val="16"/>
                <w:color w:val="auto"/>
              </w:rPr>
              <w:t>maximum)</w:t>
            </w:r>
          </w:p>
        </w:tc>
      </w:tr>
    </w:tbl>
    <w:p>
      <w:pPr>
        <w:spacing w:after="0" w:line="289" w:lineRule="exact"/>
        <w:rPr>
          <w:sz w:val="20"/>
          <w:szCs w:val="20"/>
          <w:color w:val="auto"/>
        </w:rPr>
      </w:pPr>
    </w:p>
    <w:p>
      <w:pPr>
        <w:ind w:right="180"/>
        <w:spacing w:after="0" w:line="239" w:lineRule="auto"/>
        <w:rPr>
          <w:sz w:val="20"/>
          <w:szCs w:val="20"/>
          <w:color w:val="auto"/>
        </w:rPr>
      </w:pPr>
      <w:r>
        <w:rPr>
          <w:rFonts w:ascii="Arial" w:cs="Arial" w:eastAsia="Arial" w:hAnsi="Arial"/>
          <w:sz w:val="20"/>
          <w:szCs w:val="20"/>
          <w:color w:val="auto"/>
        </w:rPr>
        <w:t>In designing the APS Incentive Plans, the Committee set the earnings levels above based on a reasonable range of expectations for the year, while taking into account prior year performance and economic conditions. The APS Incentive Plan provided that if the threshold earnings number is not met, no incentive payment will be awarded, regardless of business unit performance. The Palo Verde Incentive Plan provided that if the threshold earnings number is not met, no APS portion of the incentive payment would be awarded.</w:t>
      </w:r>
    </w:p>
    <w:p>
      <w:pPr>
        <w:spacing w:after="0" w:line="155" w:lineRule="exact"/>
        <w:rPr>
          <w:sz w:val="20"/>
          <w:szCs w:val="20"/>
          <w:color w:val="auto"/>
        </w:rPr>
      </w:pPr>
    </w:p>
    <w:p>
      <w:pPr>
        <w:ind w:right="120"/>
        <w:spacing w:after="0" w:line="239" w:lineRule="auto"/>
        <w:rPr>
          <w:sz w:val="20"/>
          <w:szCs w:val="20"/>
          <w:color w:val="auto"/>
        </w:rPr>
      </w:pPr>
      <w:r>
        <w:rPr>
          <w:rFonts w:ascii="Arial" w:cs="Arial" w:eastAsia="Arial" w:hAnsi="Arial"/>
          <w:sz w:val="20"/>
          <w:szCs w:val="20"/>
          <w:color w:val="auto"/>
        </w:rPr>
        <w:t>In considering the 2015 awards under the APS Incentive Plans, the Committee adjusted the APS earnings number to reflect certain costs incurred primarily for the benefit of APS and its customers but booked at Pinnacle West. The net effect of these adjustments was to reduce APS earnings from $450.3 million to $447.4 million for purposes of the 2015 awards. Under the APS Incentive Plans, the calculated incentive award was proportional to the actual earnings achieved in excess of threshold performance level. APS's earnings of $447.4 million exceeded both the threshold and target earnings levels.</w:t>
      </w:r>
    </w:p>
    <w:p>
      <w:pPr>
        <w:spacing w:after="0" w:line="372" w:lineRule="exact"/>
        <w:rPr>
          <w:sz w:val="20"/>
          <w:szCs w:val="20"/>
          <w:color w:val="auto"/>
        </w:rPr>
      </w:pPr>
    </w:p>
    <w:p>
      <w:pPr>
        <w:jc w:val="center"/>
        <w:ind w:right="140"/>
        <w:spacing w:after="0"/>
        <w:rPr>
          <w:sz w:val="20"/>
          <w:szCs w:val="20"/>
          <w:color w:val="auto"/>
        </w:rPr>
      </w:pPr>
      <w:r>
        <w:rPr>
          <w:rFonts w:ascii="Arial" w:cs="Arial" w:eastAsia="Arial" w:hAnsi="Arial"/>
          <w:sz w:val="20"/>
          <w:szCs w:val="20"/>
          <w:b w:val="1"/>
          <w:bCs w:val="1"/>
          <w:color w:val="auto"/>
        </w:rPr>
        <w:t>Business Unit Components under the APS Incentive Plans</w:t>
      </w:r>
    </w:p>
    <w:p>
      <w:pPr>
        <w:spacing w:after="0" w:line="191" w:lineRule="exact"/>
        <w:rPr>
          <w:sz w:val="20"/>
          <w:szCs w:val="20"/>
          <w:color w:val="auto"/>
        </w:rPr>
      </w:pPr>
    </w:p>
    <w:p>
      <w:pPr>
        <w:ind w:right="120"/>
        <w:spacing w:after="0" w:line="233" w:lineRule="auto"/>
        <w:rPr>
          <w:sz w:val="20"/>
          <w:szCs w:val="20"/>
          <w:color w:val="auto"/>
        </w:rPr>
      </w:pPr>
      <w:r>
        <w:rPr>
          <w:rFonts w:ascii="Arial" w:cs="Arial" w:eastAsia="Arial" w:hAnsi="Arial"/>
          <w:sz w:val="20"/>
          <w:szCs w:val="20"/>
          <w:color w:val="auto"/>
        </w:rPr>
        <w:t>The business unit performance measures were tied to operational excellence, shareholder value, environmental stewardship, and metrics tied to customers, communities and our employees. Individual business unit measures that could be directly correlated to earnings were set at levels that, if achieved at target, would contribute to earnings being achieved at target. However, some of the measures, like safety and customer satisfaction, were not directly correlated to earnings, and were instead set with reference to prior year performance and a reasonable range of expectations of performance of comparable companies in our industry. The following tables disclose the performance targets, actual results, and the percentage of target performance achieved for the Corporate Resources, Customer Service, Fossil Generation, Palo Verde, and Transmission and Distribution business units. Performance of the applicable functional operational units of the Corporate Resources business unit was responsible for 50% of the overall 2015 incentive target opportunity for Messrs. Hatfield and Falck, performance of the Palo Verde business unit was responsible for 50% of the overall 2015 incentive target opportunity for Mr. Edington, and the performance of the applicable functional operational units of the Corporate Resources, Customer Service, Fossil Generation, and Transmission and Distribution business units were each weighted equally and, together comprised 50% of the overall 2015 incentive target opportunity for Mr. Schiavoni.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169545</wp:posOffset>
            </wp:positionV>
            <wp:extent cx="841375" cy="16383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50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59" w:name="page60"/>
    <w:bookmarkEnd w:id="59"/>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540"/>
        <w:spacing w:after="0" w:line="255" w:lineRule="auto"/>
        <w:rPr>
          <w:sz w:val="20"/>
          <w:szCs w:val="20"/>
          <w:color w:val="auto"/>
        </w:rPr>
      </w:pPr>
      <w:r>
        <w:rPr>
          <w:rFonts w:ascii="Arial" w:cs="Arial" w:eastAsia="Arial" w:hAnsi="Arial"/>
          <w:sz w:val="19"/>
          <w:szCs w:val="19"/>
          <w:i w:val="1"/>
          <w:iCs w:val="1"/>
          <w:color w:val="auto"/>
        </w:rPr>
        <w:t xml:space="preserve">Business Unit Metrics Calculations. </w:t>
      </w:r>
      <w:r>
        <w:rPr>
          <w:rFonts w:ascii="Arial" w:cs="Arial" w:eastAsia="Arial" w:hAnsi="Arial"/>
          <w:sz w:val="19"/>
          <w:szCs w:val="19"/>
          <w:color w:val="auto"/>
        </w:rPr>
        <w:t>The range of potential achievement for each business unit metric</w:t>
      </w:r>
      <w:r>
        <w:rPr>
          <w:rFonts w:ascii="Arial" w:cs="Arial" w:eastAsia="Arial" w:hAnsi="Arial"/>
          <w:sz w:val="19"/>
          <w:szCs w:val="19"/>
          <w:i w:val="1"/>
          <w:iCs w:val="1"/>
          <w:color w:val="auto"/>
        </w:rPr>
        <w:t xml:space="preserve"> </w:t>
      </w:r>
      <w:r>
        <w:rPr>
          <w:rFonts w:ascii="Arial" w:cs="Arial" w:eastAsia="Arial" w:hAnsi="Arial"/>
          <w:sz w:val="19"/>
          <w:szCs w:val="19"/>
          <w:color w:val="auto"/>
        </w:rPr>
        <w:t>was zero to 200% of the target level. The percentages attributable to weighting in the tables below</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80"/>
        <w:spacing w:after="0" w:line="233" w:lineRule="auto"/>
        <w:rPr>
          <w:sz w:val="20"/>
          <w:szCs w:val="20"/>
          <w:color w:val="auto"/>
        </w:rPr>
      </w:pPr>
      <w:r>
        <w:rPr>
          <w:rFonts w:ascii="Arial" w:cs="Arial" w:eastAsia="Arial" w:hAnsi="Arial"/>
          <w:sz w:val="20"/>
          <w:szCs w:val="20"/>
          <w:color w:val="auto"/>
        </w:rPr>
        <w:t>reflect the weight of each measure as a percentage of the applicable Named Executive Officer's 2015 incentive target opportunity. The percentage of target performance achieved reflects the comparison of our actual achievement of a particular measure for 2015 to the target established for that measure. In addition to a target level, some of the performance measures also provided for a threshold level (equal to 50% of target) and a maximum level (equal to 200% of target). Performance above the maximum level resulted in achievement of 200% of target. If performance fell between threshold and target or between target and maximum, linear interpolation was used to determine the actual percentage of target performance achieved.</w:t>
      </w:r>
    </w:p>
    <w:p>
      <w:pPr>
        <w:spacing w:after="0" w:line="157" w:lineRule="exact"/>
        <w:rPr>
          <w:rFonts w:ascii="Arial" w:cs="Arial" w:eastAsia="Arial" w:hAnsi="Arial"/>
          <w:sz w:val="13"/>
          <w:szCs w:val="13"/>
          <w:b w:val="1"/>
          <w:bCs w:val="1"/>
          <w:color w:val="FFFFFE"/>
        </w:rPr>
      </w:pPr>
    </w:p>
    <w:p>
      <w:pPr>
        <w:ind w:right="100"/>
        <w:spacing w:after="0" w:line="247" w:lineRule="auto"/>
        <w:rPr>
          <w:sz w:val="20"/>
          <w:szCs w:val="20"/>
          <w:color w:val="auto"/>
        </w:rPr>
      </w:pPr>
      <w:r>
        <w:rPr>
          <w:rFonts w:ascii="Arial" w:cs="Arial" w:eastAsia="Arial" w:hAnsi="Arial"/>
          <w:sz w:val="20"/>
          <w:szCs w:val="20"/>
          <w:color w:val="auto"/>
        </w:rPr>
        <w:t>The Palo Verde Incentive Plan provided that Palo Verde's overall business unit performance was required to achieve at least 100% of the target level for 2015 before Mr. Edington could receive any payout under the APS earnings portion. The overall Palo Verde business unit performance for 2015 was 178% of target, so this hurdle requirement was met.</w:t>
      </w:r>
    </w:p>
    <w:p>
      <w:pPr>
        <w:spacing w:after="0" w:line="81"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51</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60" w:name="page61"/>
    <w:bookmarkEnd w:id="60"/>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462"/>
        <w:spacing w:after="0"/>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color w:val="000000"/>
        </w:rPr>
        <w:t>Mr. Hatfield's business unit performance metrics (50% of the overall opportunity) were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-119380</wp:posOffset>
            </wp:positionV>
            <wp:extent cx="1487805" cy="15557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tbl>
      <w:tblPr>
        <w:tblLayout w:type="fixed"/>
        <w:tblInd w:w="102" w:type="dxa"/>
        <w:tblCellMar>
          <w:top w:w="0" w:type="dxa"/>
          <w:left w:w="0" w:type="dxa"/>
          <w:bottom w:w="0" w:type="dxa"/>
          <w:right w:w="0" w:type="dxa"/>
        </w:tblCellMar>
      </w:tblPr>
      <w:tr>
        <w:trPr>
          <w:trHeight w:val="184"/>
        </w:trPr>
        <w:tc>
          <w:tcPr>
            <w:tcW w:w="566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7"/>
              </w:rPr>
              <w:t>% OF TARGET</w:t>
            </w:r>
          </w:p>
        </w:tc>
      </w:tr>
      <w:tr>
        <w:trPr>
          <w:trHeight w:val="184"/>
        </w:trPr>
        <w:tc>
          <w:tcPr>
            <w:tcW w:w="5660" w:type="dxa"/>
            <w:vAlign w:val="bottom"/>
          </w:tcPr>
          <w:p>
            <w:pPr>
              <w:spacing w:after="0"/>
              <w:rPr>
                <w:sz w:val="16"/>
                <w:szCs w:val="16"/>
                <w:color w:val="auto"/>
              </w:rPr>
            </w:pPr>
          </w:p>
        </w:tc>
        <w:tc>
          <w:tcPr>
            <w:tcW w:w="20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20" w:type="dxa"/>
            <w:vAlign w:val="bottom"/>
          </w:tcPr>
          <w:p>
            <w:pPr>
              <w:jc w:val="center"/>
              <w:ind w:left="80"/>
              <w:spacing w:after="0"/>
              <w:rPr>
                <w:sz w:val="20"/>
                <w:szCs w:val="20"/>
                <w:color w:val="auto"/>
              </w:rPr>
            </w:pPr>
            <w:r>
              <w:rPr>
                <w:rFonts w:ascii="Arial" w:cs="Arial" w:eastAsia="Arial" w:hAnsi="Arial"/>
                <w:sz w:val="16"/>
                <w:szCs w:val="16"/>
                <w:b w:val="1"/>
                <w:bCs w:val="1"/>
                <w:color w:val="3A5575"/>
              </w:rPr>
              <w:t>ACTUAL</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8"/>
              </w:rPr>
              <w:t>PERFORMANCE</w:t>
            </w:r>
          </w:p>
        </w:tc>
      </w:tr>
      <w:tr>
        <w:trPr>
          <w:trHeight w:val="203"/>
        </w:trPr>
        <w:tc>
          <w:tcPr>
            <w:tcW w:w="5660" w:type="dxa"/>
            <w:vAlign w:val="bottom"/>
            <w:tcBorders>
              <w:bottom w:val="single" w:sz="8" w:color="888992"/>
            </w:tcBorders>
          </w:tcPr>
          <w:p>
            <w:pPr>
              <w:spacing w:after="0"/>
              <w:rPr>
                <w:sz w:val="20"/>
                <w:szCs w:val="20"/>
                <w:color w:val="auto"/>
              </w:rPr>
            </w:pPr>
            <w:r>
              <w:rPr>
                <w:rFonts w:ascii="Arial" w:cs="Arial" w:eastAsia="Arial" w:hAnsi="Arial"/>
                <w:sz w:val="16"/>
                <w:szCs w:val="16"/>
                <w:b w:val="1"/>
                <w:bCs w:val="1"/>
                <w:color w:val="3A5575"/>
                <w:w w:val="99"/>
              </w:rPr>
              <w:t>CORPORATE RESOURCES PERFORMANCE MEASURES AND WEIGHTING</w:t>
            </w:r>
          </w:p>
        </w:tc>
        <w:tc>
          <w:tcPr>
            <w:tcW w:w="2000" w:type="dxa"/>
            <w:vAlign w:val="bottom"/>
            <w:tcBorders>
              <w:bottom w:val="single" w:sz="8" w:color="888992"/>
            </w:tcBorders>
          </w:tcPr>
          <w:p>
            <w:pPr>
              <w:ind w:left="620"/>
              <w:spacing w:after="0"/>
              <w:rPr>
                <w:sz w:val="20"/>
                <w:szCs w:val="20"/>
                <w:color w:val="auto"/>
              </w:rPr>
            </w:pPr>
            <w:r>
              <w:rPr>
                <w:rFonts w:ascii="Arial" w:cs="Arial" w:eastAsia="Arial" w:hAnsi="Arial"/>
                <w:sz w:val="16"/>
                <w:szCs w:val="16"/>
                <w:b w:val="1"/>
                <w:bCs w:val="1"/>
                <w:color w:val="3A5575"/>
              </w:rPr>
              <w:t>MEASURE</w:t>
            </w:r>
          </w:p>
        </w:tc>
        <w:tc>
          <w:tcPr>
            <w:tcW w:w="900" w:type="dxa"/>
            <w:vAlign w:val="bottom"/>
            <w:tcBorders>
              <w:bottom w:val="single" w:sz="8" w:color="888992"/>
            </w:tcBorders>
          </w:tcPr>
          <w:p>
            <w:pPr>
              <w:jc w:val="center"/>
              <w:ind w:left="20"/>
              <w:spacing w:after="0"/>
              <w:rPr>
                <w:sz w:val="20"/>
                <w:szCs w:val="20"/>
                <w:color w:val="auto"/>
              </w:rPr>
            </w:pPr>
            <w:r>
              <w:rPr>
                <w:rFonts w:ascii="Arial" w:cs="Arial" w:eastAsia="Arial" w:hAnsi="Arial"/>
                <w:sz w:val="16"/>
                <w:szCs w:val="16"/>
                <w:b w:val="1"/>
                <w:bCs w:val="1"/>
                <w:color w:val="3A5575"/>
                <w:w w:val="97"/>
              </w:rPr>
              <w:t>TARGET</w:t>
            </w:r>
          </w:p>
        </w:tc>
        <w:tc>
          <w:tcPr>
            <w:tcW w:w="1420" w:type="dxa"/>
            <w:vAlign w:val="bottom"/>
            <w:tcBorders>
              <w:bottom w:val="single" w:sz="8" w:color="888992"/>
            </w:tcBorders>
          </w:tcPr>
          <w:p>
            <w:pPr>
              <w:jc w:val="center"/>
              <w:ind w:left="80"/>
              <w:spacing w:after="0"/>
              <w:rPr>
                <w:sz w:val="20"/>
                <w:szCs w:val="20"/>
                <w:color w:val="auto"/>
              </w:rPr>
            </w:pPr>
            <w:r>
              <w:rPr>
                <w:rFonts w:ascii="Arial" w:cs="Arial" w:eastAsia="Arial" w:hAnsi="Arial"/>
                <w:sz w:val="16"/>
                <w:szCs w:val="16"/>
                <w:b w:val="1"/>
                <w:bCs w:val="1"/>
                <w:color w:val="3A5575"/>
                <w:w w:val="99"/>
              </w:rPr>
              <w:t>RESULTS</w:t>
            </w:r>
          </w:p>
        </w:tc>
        <w:tc>
          <w:tcPr>
            <w:tcW w:w="14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rPr>
              <w:t>ACHIEVED</w:t>
            </w:r>
          </w:p>
        </w:tc>
      </w:tr>
      <w:tr>
        <w:trPr>
          <w:trHeight w:val="176"/>
        </w:trPr>
        <w:tc>
          <w:tcPr>
            <w:tcW w:w="5660" w:type="dxa"/>
            <w:vAlign w:val="bottom"/>
            <w:shd w:val="clear" w:color="auto" w:fill="E3E5EB"/>
          </w:tcPr>
          <w:p>
            <w:pPr>
              <w:spacing w:after="0" w:line="176" w:lineRule="exact"/>
              <w:rPr>
                <w:sz w:val="20"/>
                <w:szCs w:val="20"/>
                <w:color w:val="auto"/>
              </w:rPr>
            </w:pPr>
            <w:r>
              <w:rPr>
                <w:rFonts w:ascii="Arial" w:cs="Arial" w:eastAsia="Arial" w:hAnsi="Arial"/>
                <w:sz w:val="16"/>
                <w:szCs w:val="16"/>
                <w:b w:val="1"/>
                <w:bCs w:val="1"/>
                <w:color w:val="auto"/>
              </w:rPr>
              <w:t>Finance Performance Measures — 16.67%:</w:t>
            </w:r>
          </w:p>
        </w:tc>
        <w:tc>
          <w:tcPr>
            <w:tcW w:w="2000" w:type="dxa"/>
            <w:vAlign w:val="bottom"/>
            <w:shd w:val="clear" w:color="auto" w:fill="E3E5EB"/>
          </w:tcPr>
          <w:p>
            <w:pPr>
              <w:spacing w:after="0"/>
              <w:rPr>
                <w:sz w:val="15"/>
                <w:szCs w:val="15"/>
                <w:color w:val="auto"/>
              </w:rPr>
            </w:pPr>
          </w:p>
        </w:tc>
        <w:tc>
          <w:tcPr>
            <w:tcW w:w="900" w:type="dxa"/>
            <w:vAlign w:val="bottom"/>
            <w:shd w:val="clear" w:color="auto" w:fill="E3E5EB"/>
          </w:tcPr>
          <w:p>
            <w:pPr>
              <w:spacing w:after="0"/>
              <w:rPr>
                <w:sz w:val="15"/>
                <w:szCs w:val="15"/>
                <w:color w:val="auto"/>
              </w:rPr>
            </w:pPr>
          </w:p>
        </w:tc>
        <w:tc>
          <w:tcPr>
            <w:tcW w:w="1420" w:type="dxa"/>
            <w:vAlign w:val="bottom"/>
            <w:shd w:val="clear" w:color="auto" w:fill="E3E5EB"/>
          </w:tcPr>
          <w:p>
            <w:pPr>
              <w:spacing w:after="0"/>
              <w:rPr>
                <w:sz w:val="15"/>
                <w:szCs w:val="15"/>
                <w:color w:val="auto"/>
              </w:rPr>
            </w:pPr>
          </w:p>
        </w:tc>
        <w:tc>
          <w:tcPr>
            <w:tcW w:w="1440" w:type="dxa"/>
            <w:vAlign w:val="bottom"/>
            <w:shd w:val="clear" w:color="auto" w:fill="E3E5EB"/>
          </w:tcPr>
          <w:p>
            <w:pPr>
              <w:spacing w:after="0"/>
              <w:rPr>
                <w:sz w:val="15"/>
                <w:szCs w:val="15"/>
                <w:color w:val="auto"/>
              </w:rPr>
            </w:pPr>
          </w:p>
        </w:tc>
      </w:tr>
      <w:tr>
        <w:trPr>
          <w:trHeight w:val="167"/>
        </w:trPr>
        <w:tc>
          <w:tcPr>
            <w:tcW w:w="5660" w:type="dxa"/>
            <w:vAlign w:val="bottom"/>
          </w:tcPr>
          <w:p>
            <w:pPr>
              <w:ind w:left="140"/>
              <w:spacing w:after="0" w:line="167" w:lineRule="exact"/>
              <w:rPr>
                <w:sz w:val="20"/>
                <w:szCs w:val="20"/>
                <w:color w:val="auto"/>
              </w:rPr>
            </w:pPr>
            <w:r>
              <w:rPr>
                <w:rFonts w:ascii="Arial" w:cs="Arial" w:eastAsia="Arial" w:hAnsi="Arial"/>
                <w:sz w:val="16"/>
                <w:szCs w:val="16"/>
                <w:color w:val="auto"/>
              </w:rPr>
              <w:t>Employees — 4.17%</w:t>
            </w:r>
          </w:p>
        </w:tc>
        <w:tc>
          <w:tcPr>
            <w:tcW w:w="2000" w:type="dxa"/>
            <w:vAlign w:val="bottom"/>
          </w:tcPr>
          <w:p>
            <w:pPr>
              <w:ind w:left="200"/>
              <w:spacing w:after="0" w:line="167" w:lineRule="exact"/>
              <w:rPr>
                <w:sz w:val="20"/>
                <w:szCs w:val="20"/>
                <w:color w:val="auto"/>
              </w:rPr>
            </w:pPr>
            <w:r>
              <w:rPr>
                <w:rFonts w:ascii="Arial" w:cs="Arial" w:eastAsia="Arial" w:hAnsi="Arial"/>
                <w:sz w:val="16"/>
                <w:szCs w:val="16"/>
                <w:color w:val="auto"/>
              </w:rPr>
              <w:t>OSHA Recordables</w:t>
            </w:r>
          </w:p>
        </w:tc>
        <w:tc>
          <w:tcPr>
            <w:tcW w:w="900" w:type="dxa"/>
            <w:vAlign w:val="bottom"/>
          </w:tcPr>
          <w:p>
            <w:pPr>
              <w:jc w:val="center"/>
              <w:ind w:left="20"/>
              <w:spacing w:after="0" w:line="167" w:lineRule="exact"/>
              <w:rPr>
                <w:sz w:val="20"/>
                <w:szCs w:val="20"/>
                <w:color w:val="auto"/>
              </w:rPr>
            </w:pPr>
            <w:r>
              <w:rPr>
                <w:rFonts w:ascii="Arial" w:cs="Arial" w:eastAsia="Arial" w:hAnsi="Arial"/>
                <w:sz w:val="16"/>
                <w:szCs w:val="16"/>
                <w:color w:val="auto"/>
                <w:w w:val="89"/>
              </w:rPr>
              <w:t>3</w:t>
            </w:r>
          </w:p>
        </w:tc>
        <w:tc>
          <w:tcPr>
            <w:tcW w:w="1420" w:type="dxa"/>
            <w:vAlign w:val="bottom"/>
          </w:tcPr>
          <w:p>
            <w:pPr>
              <w:jc w:val="center"/>
              <w:ind w:left="80"/>
              <w:spacing w:after="0" w:line="167" w:lineRule="exact"/>
              <w:rPr>
                <w:sz w:val="20"/>
                <w:szCs w:val="20"/>
                <w:color w:val="auto"/>
              </w:rPr>
            </w:pPr>
            <w:r>
              <w:rPr>
                <w:rFonts w:ascii="Arial" w:cs="Arial" w:eastAsia="Arial" w:hAnsi="Arial"/>
                <w:sz w:val="16"/>
                <w:szCs w:val="16"/>
                <w:color w:val="auto"/>
              </w:rPr>
              <w:t>2</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150%</w:t>
            </w:r>
          </w:p>
        </w:tc>
      </w:tr>
      <w:tr>
        <w:trPr>
          <w:trHeight w:val="201"/>
        </w:trPr>
        <w:tc>
          <w:tcPr>
            <w:tcW w:w="5660" w:type="dxa"/>
            <w:vAlign w:val="bottom"/>
          </w:tcPr>
          <w:p>
            <w:pPr>
              <w:spacing w:after="0"/>
              <w:rPr>
                <w:sz w:val="17"/>
                <w:szCs w:val="17"/>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(4.17%)</w:t>
            </w:r>
          </w:p>
        </w:tc>
        <w:tc>
          <w:tcPr>
            <w:tcW w:w="9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440" w:type="dxa"/>
            <w:vAlign w:val="bottom"/>
          </w:tcPr>
          <w:p>
            <w:pPr>
              <w:spacing w:after="0"/>
              <w:rPr>
                <w:sz w:val="17"/>
                <w:szCs w:val="17"/>
                <w:color w:val="auto"/>
              </w:rPr>
            </w:pPr>
          </w:p>
        </w:tc>
      </w:tr>
      <w:tr>
        <w:trPr>
          <w:trHeight w:val="167"/>
        </w:trPr>
        <w:tc>
          <w:tcPr>
            <w:tcW w:w="56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Operational Excellence — 8.33%</w:t>
            </w: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Finance Operating and</w:t>
            </w:r>
          </w:p>
        </w:tc>
        <w:tc>
          <w:tcPr>
            <w:tcW w:w="90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w w:val="98"/>
              </w:rPr>
              <w:t>Budget</w:t>
            </w:r>
          </w:p>
        </w:tc>
        <w:tc>
          <w:tcPr>
            <w:tcW w:w="1420" w:type="dxa"/>
            <w:vAlign w:val="bottom"/>
            <w:shd w:val="clear" w:color="auto" w:fill="E3E5EB"/>
          </w:tcPr>
          <w:p>
            <w:pPr>
              <w:jc w:val="center"/>
              <w:ind w:left="60"/>
              <w:spacing w:after="0" w:line="167" w:lineRule="exact"/>
              <w:rPr>
                <w:sz w:val="20"/>
                <w:szCs w:val="20"/>
                <w:color w:val="auto"/>
              </w:rPr>
            </w:pPr>
            <w:r>
              <w:rPr>
                <w:rFonts w:ascii="Arial" w:cs="Arial" w:eastAsia="Arial" w:hAnsi="Arial"/>
                <w:sz w:val="16"/>
                <w:szCs w:val="16"/>
                <w:color w:val="auto"/>
                <w:w w:val="99"/>
              </w:rPr>
              <w:t>0.6% Under</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129%</w:t>
            </w:r>
          </w:p>
        </w:tc>
      </w:tr>
      <w:tr>
        <w:trPr>
          <w:trHeight w:val="184"/>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Maintenance Budget</w:t>
            </w: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shd w:val="clear" w:color="auto" w:fill="E3E5EB"/>
          </w:tcPr>
          <w:p>
            <w:pPr>
              <w:spacing w:after="0"/>
              <w:rPr>
                <w:sz w:val="16"/>
                <w:szCs w:val="16"/>
                <w:color w:val="auto"/>
              </w:rPr>
            </w:pPr>
          </w:p>
        </w:tc>
      </w:tr>
      <w:tr>
        <w:trPr>
          <w:trHeight w:val="201"/>
        </w:trPr>
        <w:tc>
          <w:tcPr>
            <w:tcW w:w="5660" w:type="dxa"/>
            <w:vAlign w:val="bottom"/>
            <w:shd w:val="clear" w:color="auto" w:fill="E3E5EB"/>
          </w:tcPr>
          <w:p>
            <w:pPr>
              <w:spacing w:after="0"/>
              <w:rPr>
                <w:sz w:val="17"/>
                <w:szCs w:val="17"/>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(2.50%)</w:t>
            </w:r>
          </w:p>
        </w:tc>
        <w:tc>
          <w:tcPr>
            <w:tcW w:w="900" w:type="dxa"/>
            <w:vAlign w:val="bottom"/>
            <w:shd w:val="clear" w:color="auto" w:fill="E3E5EB"/>
          </w:tcPr>
          <w:p>
            <w:pPr>
              <w:spacing w:after="0"/>
              <w:rPr>
                <w:sz w:val="17"/>
                <w:szCs w:val="17"/>
                <w:color w:val="auto"/>
              </w:rPr>
            </w:pPr>
          </w:p>
        </w:tc>
        <w:tc>
          <w:tcPr>
            <w:tcW w:w="142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67"/>
        </w:trPr>
        <w:tc>
          <w:tcPr>
            <w:tcW w:w="5660" w:type="dxa"/>
            <w:vAlign w:val="bottom"/>
            <w:shd w:val="clear" w:color="auto" w:fill="E3E5EB"/>
          </w:tcPr>
          <w:p>
            <w:pPr>
              <w:spacing w:after="0"/>
              <w:rPr>
                <w:sz w:val="14"/>
                <w:szCs w:val="14"/>
                <w:color w:val="auto"/>
              </w:rPr>
            </w:pP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Average of All Four</w:t>
            </w:r>
          </w:p>
        </w:tc>
        <w:tc>
          <w:tcPr>
            <w:tcW w:w="9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97"/>
              </w:rPr>
              <w:t>100%</w:t>
            </w:r>
          </w:p>
        </w:tc>
        <w:tc>
          <w:tcPr>
            <w:tcW w:w="1420" w:type="dxa"/>
            <w:vAlign w:val="bottom"/>
            <w:shd w:val="clear" w:color="auto" w:fill="E3E5EB"/>
          </w:tcPr>
          <w:p>
            <w:pPr>
              <w:jc w:val="center"/>
              <w:ind w:left="80"/>
              <w:spacing w:after="0" w:line="167" w:lineRule="exact"/>
              <w:rPr>
                <w:sz w:val="20"/>
                <w:szCs w:val="20"/>
                <w:color w:val="auto"/>
              </w:rPr>
            </w:pPr>
            <w:r>
              <w:rPr>
                <w:rFonts w:ascii="Arial" w:cs="Arial" w:eastAsia="Arial" w:hAnsi="Arial"/>
                <w:sz w:val="16"/>
                <w:szCs w:val="16"/>
                <w:color w:val="auto"/>
              </w:rPr>
              <w:t>153%</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153%</w:t>
            </w:r>
          </w:p>
        </w:tc>
      </w:tr>
      <w:tr>
        <w:trPr>
          <w:trHeight w:val="188"/>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Business Unit Results</w:t>
            </w: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r>
      <w:tr>
        <w:trPr>
          <w:trHeight w:val="234"/>
        </w:trPr>
        <w:tc>
          <w:tcPr>
            <w:tcW w:w="5660" w:type="dxa"/>
            <w:vAlign w:val="bottom"/>
            <w:shd w:val="clear" w:color="auto" w:fill="E3E5EB"/>
          </w:tcPr>
          <w:p>
            <w:pPr>
              <w:spacing w:after="0"/>
              <w:rPr>
                <w:sz w:val="20"/>
                <w:szCs w:val="20"/>
                <w:color w:val="auto"/>
              </w:rPr>
            </w:pPr>
          </w:p>
        </w:tc>
        <w:tc>
          <w:tcPr>
            <w:tcW w:w="2000" w:type="dxa"/>
            <w:vAlign w:val="bottom"/>
            <w:shd w:val="clear" w:color="auto" w:fill="E3E5EB"/>
          </w:tcPr>
          <w:p>
            <w:pPr>
              <w:ind w:left="200"/>
              <w:spacing w:after="0" w:line="235" w:lineRule="exact"/>
              <w:rPr>
                <w:sz w:val="20"/>
                <w:szCs w:val="20"/>
                <w:color w:val="auto"/>
              </w:rPr>
            </w:pPr>
            <w:r>
              <w:rPr>
                <w:rFonts w:ascii="Arial" w:cs="Arial" w:eastAsia="Arial" w:hAnsi="Arial"/>
                <w:sz w:val="16"/>
                <w:szCs w:val="16"/>
                <w:color w:val="auto"/>
              </w:rPr>
              <w:t>(5.83%)</w:t>
            </w:r>
            <w:r>
              <w:rPr>
                <w:rFonts w:ascii="Arial" w:cs="Arial" w:eastAsia="Arial" w:hAnsi="Arial"/>
                <w:sz w:val="26"/>
                <w:szCs w:val="26"/>
                <w:color w:val="auto"/>
                <w:vertAlign w:val="superscript"/>
              </w:rPr>
              <w:t>(1)</w:t>
            </w:r>
          </w:p>
        </w:tc>
        <w:tc>
          <w:tcPr>
            <w:tcW w:w="900" w:type="dxa"/>
            <w:vAlign w:val="bottom"/>
            <w:shd w:val="clear" w:color="auto" w:fill="E3E5EB"/>
          </w:tcPr>
          <w:p>
            <w:pPr>
              <w:spacing w:after="0"/>
              <w:rPr>
                <w:sz w:val="20"/>
                <w:szCs w:val="20"/>
                <w:color w:val="auto"/>
              </w:rPr>
            </w:pPr>
          </w:p>
        </w:tc>
        <w:tc>
          <w:tcPr>
            <w:tcW w:w="1420" w:type="dxa"/>
            <w:vAlign w:val="bottom"/>
            <w:shd w:val="clear" w:color="auto" w:fill="E3E5EB"/>
          </w:tcPr>
          <w:p>
            <w:pPr>
              <w:spacing w:after="0"/>
              <w:rPr>
                <w:sz w:val="20"/>
                <w:szCs w:val="20"/>
                <w:color w:val="auto"/>
              </w:rPr>
            </w:pPr>
          </w:p>
        </w:tc>
        <w:tc>
          <w:tcPr>
            <w:tcW w:w="1440" w:type="dxa"/>
            <w:vAlign w:val="bottom"/>
            <w:shd w:val="clear" w:color="auto" w:fill="E3E5EB"/>
          </w:tcPr>
          <w:p>
            <w:pPr>
              <w:spacing w:after="0"/>
              <w:rPr>
                <w:sz w:val="20"/>
                <w:szCs w:val="20"/>
                <w:color w:val="auto"/>
              </w:rPr>
            </w:pPr>
          </w:p>
        </w:tc>
      </w:tr>
      <w:tr>
        <w:trPr>
          <w:trHeight w:val="167"/>
        </w:trPr>
        <w:tc>
          <w:tcPr>
            <w:tcW w:w="5660" w:type="dxa"/>
            <w:vAlign w:val="bottom"/>
          </w:tcPr>
          <w:p>
            <w:pPr>
              <w:ind w:left="140"/>
              <w:spacing w:after="0" w:line="167" w:lineRule="exact"/>
              <w:rPr>
                <w:sz w:val="20"/>
                <w:szCs w:val="20"/>
                <w:color w:val="auto"/>
              </w:rPr>
            </w:pPr>
            <w:r>
              <w:rPr>
                <w:rFonts w:ascii="Arial" w:cs="Arial" w:eastAsia="Arial" w:hAnsi="Arial"/>
                <w:sz w:val="16"/>
                <w:szCs w:val="16"/>
                <w:color w:val="auto"/>
              </w:rPr>
              <w:t>Shareholder Value — 4.17%</w:t>
            </w:r>
          </w:p>
        </w:tc>
        <w:tc>
          <w:tcPr>
            <w:tcW w:w="2000" w:type="dxa"/>
            <w:vAlign w:val="bottom"/>
          </w:tcPr>
          <w:p>
            <w:pPr>
              <w:ind w:left="200"/>
              <w:spacing w:after="0" w:line="167" w:lineRule="exact"/>
              <w:rPr>
                <w:sz w:val="20"/>
                <w:szCs w:val="20"/>
                <w:color w:val="auto"/>
              </w:rPr>
            </w:pPr>
            <w:r>
              <w:rPr>
                <w:rFonts w:ascii="Arial" w:cs="Arial" w:eastAsia="Arial" w:hAnsi="Arial"/>
                <w:sz w:val="16"/>
                <w:szCs w:val="16"/>
                <w:color w:val="auto"/>
              </w:rPr>
              <w:t>Total Corporate</w:t>
            </w:r>
          </w:p>
        </w:tc>
        <w:tc>
          <w:tcPr>
            <w:tcW w:w="90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8"/>
              </w:rPr>
              <w:t>Budget</w:t>
            </w:r>
          </w:p>
        </w:tc>
        <w:tc>
          <w:tcPr>
            <w:tcW w:w="1420" w:type="dxa"/>
            <w:vAlign w:val="bottom"/>
          </w:tcPr>
          <w:p>
            <w:pPr>
              <w:jc w:val="center"/>
              <w:ind w:left="60"/>
              <w:spacing w:after="0" w:line="167" w:lineRule="exact"/>
              <w:rPr>
                <w:sz w:val="20"/>
                <w:szCs w:val="20"/>
                <w:color w:val="auto"/>
              </w:rPr>
            </w:pPr>
            <w:r>
              <w:rPr>
                <w:rFonts w:ascii="Arial" w:cs="Arial" w:eastAsia="Arial" w:hAnsi="Arial"/>
                <w:sz w:val="16"/>
                <w:szCs w:val="16"/>
                <w:color w:val="auto"/>
                <w:w w:val="99"/>
              </w:rPr>
              <w:t>4.5% Under</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Resources Operating</w:t>
            </w:r>
          </w:p>
        </w:tc>
        <w:tc>
          <w:tcPr>
            <w:tcW w:w="900" w:type="dxa"/>
            <w:vAlign w:val="bottom"/>
          </w:tcPr>
          <w:p>
            <w:pPr>
              <w:spacing w:after="0"/>
              <w:rPr>
                <w:sz w:val="16"/>
                <w:szCs w:val="16"/>
                <w:color w:val="auto"/>
              </w:rPr>
            </w:pPr>
          </w:p>
        </w:tc>
        <w:tc>
          <w:tcPr>
            <w:tcW w:w="1420" w:type="dxa"/>
            <w:vAlign w:val="bottom"/>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tcPr>
          <w:p>
            <w:pPr>
              <w:spacing w:after="0"/>
              <w:rPr>
                <w:sz w:val="16"/>
                <w:szCs w:val="16"/>
                <w:color w:val="auto"/>
              </w:rPr>
            </w:pP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and Maintenance</w:t>
            </w: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201"/>
        </w:trPr>
        <w:tc>
          <w:tcPr>
            <w:tcW w:w="5660" w:type="dxa"/>
            <w:vAlign w:val="bottom"/>
          </w:tcPr>
          <w:p>
            <w:pPr>
              <w:spacing w:after="0"/>
              <w:rPr>
                <w:sz w:val="17"/>
                <w:szCs w:val="17"/>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Budget (4.17%)</w:t>
            </w:r>
          </w:p>
        </w:tc>
        <w:tc>
          <w:tcPr>
            <w:tcW w:w="9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440" w:type="dxa"/>
            <w:vAlign w:val="bottom"/>
          </w:tcPr>
          <w:p>
            <w:pPr>
              <w:spacing w:after="0"/>
              <w:rPr>
                <w:sz w:val="17"/>
                <w:szCs w:val="17"/>
                <w:color w:val="auto"/>
              </w:rPr>
            </w:pPr>
          </w:p>
        </w:tc>
      </w:tr>
      <w:tr>
        <w:trPr>
          <w:trHeight w:val="184"/>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spacing w:after="0"/>
              <w:rPr>
                <w:sz w:val="16"/>
                <w:szCs w:val="16"/>
                <w:color w:val="auto"/>
              </w:rPr>
            </w:pP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jc w:val="right"/>
              <w:ind w:right="40"/>
              <w:spacing w:after="0"/>
              <w:rPr>
                <w:sz w:val="20"/>
                <w:szCs w:val="20"/>
                <w:color w:val="auto"/>
              </w:rPr>
            </w:pPr>
            <w:r>
              <w:rPr>
                <w:rFonts w:ascii="Arial" w:cs="Arial" w:eastAsia="Arial" w:hAnsi="Arial"/>
                <w:sz w:val="16"/>
                <w:szCs w:val="16"/>
                <w:b w:val="1"/>
                <w:bCs w:val="1"/>
                <w:color w:val="auto"/>
              </w:rPr>
              <w:t>Finance Results</w:t>
            </w:r>
          </w:p>
        </w:tc>
        <w:tc>
          <w:tcPr>
            <w:tcW w:w="1440" w:type="dxa"/>
            <w:vAlign w:val="bottom"/>
            <w:shd w:val="clear" w:color="auto" w:fill="E3E5EB"/>
          </w:tcPr>
          <w:p>
            <w:pPr>
              <w:jc w:val="center"/>
              <w:spacing w:after="0"/>
              <w:rPr>
                <w:sz w:val="20"/>
                <w:szCs w:val="20"/>
                <w:color w:val="auto"/>
              </w:rPr>
            </w:pPr>
            <w:r>
              <w:rPr>
                <w:rFonts w:ascii="Arial" w:cs="Arial" w:eastAsia="Arial" w:hAnsi="Arial"/>
                <w:sz w:val="16"/>
                <w:szCs w:val="16"/>
                <w:b w:val="1"/>
                <w:bCs w:val="1"/>
                <w:color w:val="auto"/>
                <w:w w:val="97"/>
              </w:rPr>
              <w:t>160%</w:t>
            </w:r>
          </w:p>
        </w:tc>
      </w:tr>
      <w:tr>
        <w:trPr>
          <w:trHeight w:val="184"/>
        </w:trPr>
        <w:tc>
          <w:tcPr>
            <w:tcW w:w="5660" w:type="dxa"/>
            <w:vAlign w:val="bottom"/>
          </w:tcPr>
          <w:p>
            <w:pPr>
              <w:spacing w:after="0"/>
              <w:rPr>
                <w:sz w:val="20"/>
                <w:szCs w:val="20"/>
                <w:color w:val="auto"/>
              </w:rPr>
            </w:pPr>
            <w:r>
              <w:rPr>
                <w:rFonts w:ascii="Arial" w:cs="Arial" w:eastAsia="Arial" w:hAnsi="Arial"/>
                <w:sz w:val="16"/>
                <w:szCs w:val="16"/>
                <w:b w:val="1"/>
                <w:bCs w:val="1"/>
                <w:color w:val="auto"/>
              </w:rPr>
              <w:t>Human Resources/Ethics Performance Measures — 16.67%:</w:t>
            </w:r>
          </w:p>
        </w:tc>
        <w:tc>
          <w:tcPr>
            <w:tcW w:w="20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167"/>
        </w:trPr>
        <w:tc>
          <w:tcPr>
            <w:tcW w:w="56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Employees — 4.17%</w:t>
            </w: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OSHA Recordables</w:t>
            </w:r>
          </w:p>
        </w:tc>
        <w:tc>
          <w:tcPr>
            <w:tcW w:w="9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89"/>
              </w:rPr>
              <w:t>3</w:t>
            </w:r>
          </w:p>
        </w:tc>
        <w:tc>
          <w:tcPr>
            <w:tcW w:w="1420" w:type="dxa"/>
            <w:vAlign w:val="bottom"/>
            <w:shd w:val="clear" w:color="auto" w:fill="E3E5EB"/>
          </w:tcPr>
          <w:p>
            <w:pPr>
              <w:jc w:val="center"/>
              <w:ind w:left="80"/>
              <w:spacing w:after="0" w:line="167" w:lineRule="exact"/>
              <w:rPr>
                <w:sz w:val="20"/>
                <w:szCs w:val="20"/>
                <w:color w:val="auto"/>
              </w:rPr>
            </w:pPr>
            <w:r>
              <w:rPr>
                <w:rFonts w:ascii="Arial" w:cs="Arial" w:eastAsia="Arial" w:hAnsi="Arial"/>
                <w:sz w:val="16"/>
                <w:szCs w:val="16"/>
                <w:color w:val="auto"/>
              </w:rPr>
              <w:t>2</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150%</w:t>
            </w:r>
          </w:p>
        </w:tc>
      </w:tr>
      <w:tr>
        <w:trPr>
          <w:trHeight w:val="201"/>
        </w:trPr>
        <w:tc>
          <w:tcPr>
            <w:tcW w:w="5660" w:type="dxa"/>
            <w:vAlign w:val="bottom"/>
            <w:shd w:val="clear" w:color="auto" w:fill="E3E5EB"/>
          </w:tcPr>
          <w:p>
            <w:pPr>
              <w:spacing w:after="0"/>
              <w:rPr>
                <w:sz w:val="17"/>
                <w:szCs w:val="17"/>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(4.17%)</w:t>
            </w:r>
          </w:p>
        </w:tc>
        <w:tc>
          <w:tcPr>
            <w:tcW w:w="900" w:type="dxa"/>
            <w:vAlign w:val="bottom"/>
            <w:shd w:val="clear" w:color="auto" w:fill="E3E5EB"/>
          </w:tcPr>
          <w:p>
            <w:pPr>
              <w:spacing w:after="0"/>
              <w:rPr>
                <w:sz w:val="17"/>
                <w:szCs w:val="17"/>
                <w:color w:val="auto"/>
              </w:rPr>
            </w:pPr>
          </w:p>
        </w:tc>
        <w:tc>
          <w:tcPr>
            <w:tcW w:w="142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67"/>
        </w:trPr>
        <w:tc>
          <w:tcPr>
            <w:tcW w:w="5660" w:type="dxa"/>
            <w:vAlign w:val="bottom"/>
          </w:tcPr>
          <w:p>
            <w:pPr>
              <w:ind w:left="140"/>
              <w:spacing w:after="0" w:line="167" w:lineRule="exact"/>
              <w:rPr>
                <w:sz w:val="20"/>
                <w:szCs w:val="20"/>
                <w:color w:val="auto"/>
              </w:rPr>
            </w:pPr>
            <w:r>
              <w:rPr>
                <w:rFonts w:ascii="Arial" w:cs="Arial" w:eastAsia="Arial" w:hAnsi="Arial"/>
                <w:sz w:val="16"/>
                <w:szCs w:val="16"/>
                <w:color w:val="auto"/>
              </w:rPr>
              <w:t>Operational Excellence — 8.33%</w:t>
            </w:r>
          </w:p>
        </w:tc>
        <w:tc>
          <w:tcPr>
            <w:tcW w:w="2000" w:type="dxa"/>
            <w:vAlign w:val="bottom"/>
          </w:tcPr>
          <w:p>
            <w:pPr>
              <w:ind w:left="200"/>
              <w:spacing w:after="0" w:line="167" w:lineRule="exact"/>
              <w:rPr>
                <w:sz w:val="20"/>
                <w:szCs w:val="20"/>
                <w:color w:val="auto"/>
              </w:rPr>
            </w:pPr>
            <w:r>
              <w:rPr>
                <w:rFonts w:ascii="Arial" w:cs="Arial" w:eastAsia="Arial" w:hAnsi="Arial"/>
                <w:sz w:val="16"/>
                <w:szCs w:val="16"/>
                <w:color w:val="auto"/>
              </w:rPr>
              <w:t>HR/Ethics Operating</w:t>
            </w:r>
          </w:p>
        </w:tc>
        <w:tc>
          <w:tcPr>
            <w:tcW w:w="90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8"/>
              </w:rPr>
              <w:t>Budget</w:t>
            </w:r>
          </w:p>
        </w:tc>
        <w:tc>
          <w:tcPr>
            <w:tcW w:w="1420" w:type="dxa"/>
            <w:vAlign w:val="bottom"/>
          </w:tcPr>
          <w:p>
            <w:pPr>
              <w:jc w:val="center"/>
              <w:ind w:left="60"/>
              <w:spacing w:after="0" w:line="167" w:lineRule="exact"/>
              <w:rPr>
                <w:sz w:val="20"/>
                <w:szCs w:val="20"/>
                <w:color w:val="auto"/>
              </w:rPr>
            </w:pPr>
            <w:r>
              <w:rPr>
                <w:rFonts w:ascii="Arial" w:cs="Arial" w:eastAsia="Arial" w:hAnsi="Arial"/>
                <w:sz w:val="16"/>
                <w:szCs w:val="16"/>
                <w:color w:val="auto"/>
                <w:w w:val="99"/>
              </w:rPr>
              <w:t>3.0% Under</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and Maintenance</w:t>
            </w:r>
          </w:p>
        </w:tc>
        <w:tc>
          <w:tcPr>
            <w:tcW w:w="900" w:type="dxa"/>
            <w:vAlign w:val="bottom"/>
          </w:tcPr>
          <w:p>
            <w:pPr>
              <w:spacing w:after="0"/>
              <w:rPr>
                <w:sz w:val="16"/>
                <w:szCs w:val="16"/>
                <w:color w:val="auto"/>
              </w:rPr>
            </w:pPr>
          </w:p>
        </w:tc>
        <w:tc>
          <w:tcPr>
            <w:tcW w:w="1420" w:type="dxa"/>
            <w:vAlign w:val="bottom"/>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tcPr>
          <w:p>
            <w:pPr>
              <w:spacing w:after="0"/>
              <w:rPr>
                <w:sz w:val="16"/>
                <w:szCs w:val="16"/>
                <w:color w:val="auto"/>
              </w:rPr>
            </w:pP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Budget (2.50%)</w:t>
            </w: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Average of All Four</w:t>
            </w:r>
          </w:p>
        </w:tc>
        <w:tc>
          <w:tcPr>
            <w:tcW w:w="900" w:type="dxa"/>
            <w:vAlign w:val="bottom"/>
          </w:tcPr>
          <w:p>
            <w:pPr>
              <w:jc w:val="center"/>
              <w:ind w:left="20"/>
              <w:spacing w:after="0"/>
              <w:rPr>
                <w:sz w:val="20"/>
                <w:szCs w:val="20"/>
                <w:color w:val="auto"/>
              </w:rPr>
            </w:pPr>
            <w:r>
              <w:rPr>
                <w:rFonts w:ascii="Arial" w:cs="Arial" w:eastAsia="Arial" w:hAnsi="Arial"/>
                <w:sz w:val="16"/>
                <w:szCs w:val="16"/>
                <w:color w:val="auto"/>
                <w:w w:val="97"/>
              </w:rPr>
              <w:t>100%</w:t>
            </w:r>
          </w:p>
        </w:tc>
        <w:tc>
          <w:tcPr>
            <w:tcW w:w="1420" w:type="dxa"/>
            <w:vAlign w:val="bottom"/>
          </w:tcPr>
          <w:p>
            <w:pPr>
              <w:jc w:val="center"/>
              <w:ind w:left="80"/>
              <w:spacing w:after="0"/>
              <w:rPr>
                <w:sz w:val="20"/>
                <w:szCs w:val="20"/>
                <w:color w:val="auto"/>
              </w:rPr>
            </w:pPr>
            <w:r>
              <w:rPr>
                <w:rFonts w:ascii="Arial" w:cs="Arial" w:eastAsia="Arial" w:hAnsi="Arial"/>
                <w:sz w:val="16"/>
                <w:szCs w:val="16"/>
                <w:color w:val="auto"/>
              </w:rPr>
              <w:t>153%</w:t>
            </w:r>
          </w:p>
        </w:tc>
        <w:tc>
          <w:tcPr>
            <w:tcW w:w="1440" w:type="dxa"/>
            <w:vAlign w:val="bottom"/>
          </w:tcPr>
          <w:p>
            <w:pPr>
              <w:jc w:val="center"/>
              <w:spacing w:after="0"/>
              <w:rPr>
                <w:sz w:val="20"/>
                <w:szCs w:val="20"/>
                <w:color w:val="auto"/>
              </w:rPr>
            </w:pPr>
            <w:r>
              <w:rPr>
                <w:rFonts w:ascii="Arial" w:cs="Arial" w:eastAsia="Arial" w:hAnsi="Arial"/>
                <w:sz w:val="16"/>
                <w:szCs w:val="16"/>
                <w:color w:val="auto"/>
                <w:w w:val="97"/>
              </w:rPr>
              <w:t>153%</w:t>
            </w:r>
          </w:p>
        </w:tc>
      </w:tr>
      <w:tr>
        <w:trPr>
          <w:trHeight w:val="188"/>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Business Unit Results</w:t>
            </w: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234"/>
        </w:trPr>
        <w:tc>
          <w:tcPr>
            <w:tcW w:w="5660" w:type="dxa"/>
            <w:vAlign w:val="bottom"/>
          </w:tcPr>
          <w:p>
            <w:pPr>
              <w:spacing w:after="0"/>
              <w:rPr>
                <w:sz w:val="20"/>
                <w:szCs w:val="20"/>
                <w:color w:val="auto"/>
              </w:rPr>
            </w:pPr>
          </w:p>
        </w:tc>
        <w:tc>
          <w:tcPr>
            <w:tcW w:w="2000" w:type="dxa"/>
            <w:vAlign w:val="bottom"/>
          </w:tcPr>
          <w:p>
            <w:pPr>
              <w:ind w:left="200"/>
              <w:spacing w:after="0" w:line="235" w:lineRule="exact"/>
              <w:rPr>
                <w:sz w:val="20"/>
                <w:szCs w:val="20"/>
                <w:color w:val="auto"/>
              </w:rPr>
            </w:pPr>
            <w:r>
              <w:rPr>
                <w:rFonts w:ascii="Arial" w:cs="Arial" w:eastAsia="Arial" w:hAnsi="Arial"/>
                <w:sz w:val="16"/>
                <w:szCs w:val="16"/>
                <w:color w:val="auto"/>
              </w:rPr>
              <w:t>(5.83%)</w:t>
            </w:r>
            <w:r>
              <w:rPr>
                <w:rFonts w:ascii="Arial" w:cs="Arial" w:eastAsia="Arial" w:hAnsi="Arial"/>
                <w:sz w:val="26"/>
                <w:szCs w:val="26"/>
                <w:color w:val="auto"/>
                <w:vertAlign w:val="superscript"/>
              </w:rPr>
              <w:t>(1)</w:t>
            </w:r>
          </w:p>
        </w:tc>
        <w:tc>
          <w:tcPr>
            <w:tcW w:w="9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440" w:type="dxa"/>
            <w:vAlign w:val="bottom"/>
          </w:tcPr>
          <w:p>
            <w:pPr>
              <w:spacing w:after="0"/>
              <w:rPr>
                <w:sz w:val="20"/>
                <w:szCs w:val="20"/>
                <w:color w:val="auto"/>
              </w:rPr>
            </w:pPr>
          </w:p>
        </w:tc>
      </w:tr>
      <w:tr>
        <w:trPr>
          <w:trHeight w:val="167"/>
        </w:trPr>
        <w:tc>
          <w:tcPr>
            <w:tcW w:w="56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Shareholder Value — 4.17%</w:t>
            </w: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Total Corporate</w:t>
            </w:r>
          </w:p>
        </w:tc>
        <w:tc>
          <w:tcPr>
            <w:tcW w:w="90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w w:val="98"/>
              </w:rPr>
              <w:t>Budget</w:t>
            </w:r>
          </w:p>
        </w:tc>
        <w:tc>
          <w:tcPr>
            <w:tcW w:w="1420" w:type="dxa"/>
            <w:vAlign w:val="bottom"/>
            <w:shd w:val="clear" w:color="auto" w:fill="E3E5EB"/>
          </w:tcPr>
          <w:p>
            <w:pPr>
              <w:jc w:val="center"/>
              <w:ind w:left="60"/>
              <w:spacing w:after="0" w:line="167" w:lineRule="exact"/>
              <w:rPr>
                <w:sz w:val="20"/>
                <w:szCs w:val="20"/>
                <w:color w:val="auto"/>
              </w:rPr>
            </w:pPr>
            <w:r>
              <w:rPr>
                <w:rFonts w:ascii="Arial" w:cs="Arial" w:eastAsia="Arial" w:hAnsi="Arial"/>
                <w:sz w:val="16"/>
                <w:szCs w:val="16"/>
                <w:color w:val="auto"/>
                <w:w w:val="99"/>
              </w:rPr>
              <w:t>4.5% Under</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184"/>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Resources Operating</w:t>
            </w: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shd w:val="clear" w:color="auto" w:fill="E3E5EB"/>
          </w:tcPr>
          <w:p>
            <w:pPr>
              <w:spacing w:after="0"/>
              <w:rPr>
                <w:sz w:val="16"/>
                <w:szCs w:val="16"/>
                <w:color w:val="auto"/>
              </w:rPr>
            </w:pPr>
          </w:p>
        </w:tc>
      </w:tr>
      <w:tr>
        <w:trPr>
          <w:trHeight w:val="184"/>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and Maintenance</w:t>
            </w: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r>
      <w:tr>
        <w:trPr>
          <w:trHeight w:val="201"/>
        </w:trPr>
        <w:tc>
          <w:tcPr>
            <w:tcW w:w="5660" w:type="dxa"/>
            <w:vAlign w:val="bottom"/>
            <w:shd w:val="clear" w:color="auto" w:fill="E3E5EB"/>
          </w:tcPr>
          <w:p>
            <w:pPr>
              <w:spacing w:after="0"/>
              <w:rPr>
                <w:sz w:val="17"/>
                <w:szCs w:val="17"/>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Budget (4.17%)</w:t>
            </w:r>
          </w:p>
        </w:tc>
        <w:tc>
          <w:tcPr>
            <w:tcW w:w="900" w:type="dxa"/>
            <w:vAlign w:val="bottom"/>
            <w:shd w:val="clear" w:color="auto" w:fill="E3E5EB"/>
          </w:tcPr>
          <w:p>
            <w:pPr>
              <w:spacing w:after="0"/>
              <w:rPr>
                <w:sz w:val="17"/>
                <w:szCs w:val="17"/>
                <w:color w:val="auto"/>
              </w:rPr>
            </w:pPr>
          </w:p>
        </w:tc>
        <w:tc>
          <w:tcPr>
            <w:tcW w:w="142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84"/>
        </w:trPr>
        <w:tc>
          <w:tcPr>
            <w:tcW w:w="5660" w:type="dxa"/>
            <w:vAlign w:val="bottom"/>
          </w:tcPr>
          <w:p>
            <w:pPr>
              <w:spacing w:after="0"/>
              <w:rPr>
                <w:sz w:val="16"/>
                <w:szCs w:val="16"/>
                <w:color w:val="auto"/>
              </w:rPr>
            </w:pPr>
          </w:p>
        </w:tc>
        <w:tc>
          <w:tcPr>
            <w:tcW w:w="4320" w:type="dxa"/>
            <w:vAlign w:val="bottom"/>
            <w:gridSpan w:val="3"/>
          </w:tcPr>
          <w:p>
            <w:pPr>
              <w:jc w:val="right"/>
              <w:ind w:right="40"/>
              <w:spacing w:after="0"/>
              <w:rPr>
                <w:sz w:val="20"/>
                <w:szCs w:val="20"/>
                <w:color w:val="auto"/>
              </w:rPr>
            </w:pPr>
            <w:r>
              <w:rPr>
                <w:rFonts w:ascii="Arial" w:cs="Arial" w:eastAsia="Arial" w:hAnsi="Arial"/>
                <w:sz w:val="16"/>
                <w:szCs w:val="16"/>
                <w:b w:val="1"/>
                <w:bCs w:val="1"/>
                <w:color w:val="auto"/>
              </w:rPr>
              <w:t>Human Resources/Ethics Results</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auto"/>
                <w:w w:val="97"/>
              </w:rPr>
              <w:t>171%</w:t>
            </w:r>
          </w:p>
        </w:tc>
      </w:tr>
      <w:tr>
        <w:trPr>
          <w:trHeight w:val="184"/>
        </w:trPr>
        <w:tc>
          <w:tcPr>
            <w:tcW w:w="566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Information Technology Performance Measures — 16.67%:</w:t>
            </w:r>
          </w:p>
        </w:tc>
        <w:tc>
          <w:tcPr>
            <w:tcW w:w="2000" w:type="dxa"/>
            <w:vAlign w:val="bottom"/>
            <w:shd w:val="clear" w:color="auto" w:fill="E3E5EB"/>
          </w:tcPr>
          <w:p>
            <w:pPr>
              <w:spacing w:after="0"/>
              <w:rPr>
                <w:sz w:val="16"/>
                <w:szCs w:val="16"/>
                <w:color w:val="auto"/>
              </w:rPr>
            </w:pP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r>
      <w:tr>
        <w:trPr>
          <w:trHeight w:val="167"/>
        </w:trPr>
        <w:tc>
          <w:tcPr>
            <w:tcW w:w="5660" w:type="dxa"/>
            <w:vAlign w:val="bottom"/>
          </w:tcPr>
          <w:p>
            <w:pPr>
              <w:ind w:left="140"/>
              <w:spacing w:after="0" w:line="167" w:lineRule="exact"/>
              <w:rPr>
                <w:sz w:val="20"/>
                <w:szCs w:val="20"/>
                <w:color w:val="auto"/>
              </w:rPr>
            </w:pPr>
            <w:r>
              <w:rPr>
                <w:rFonts w:ascii="Arial" w:cs="Arial" w:eastAsia="Arial" w:hAnsi="Arial"/>
                <w:sz w:val="16"/>
                <w:szCs w:val="16"/>
                <w:color w:val="auto"/>
              </w:rPr>
              <w:t>Employees — 4.17%</w:t>
            </w:r>
          </w:p>
        </w:tc>
        <w:tc>
          <w:tcPr>
            <w:tcW w:w="2000" w:type="dxa"/>
            <w:vAlign w:val="bottom"/>
          </w:tcPr>
          <w:p>
            <w:pPr>
              <w:ind w:left="200"/>
              <w:spacing w:after="0" w:line="167" w:lineRule="exact"/>
              <w:rPr>
                <w:sz w:val="20"/>
                <w:szCs w:val="20"/>
                <w:color w:val="auto"/>
              </w:rPr>
            </w:pPr>
            <w:r>
              <w:rPr>
                <w:rFonts w:ascii="Arial" w:cs="Arial" w:eastAsia="Arial" w:hAnsi="Arial"/>
                <w:sz w:val="16"/>
                <w:szCs w:val="16"/>
                <w:color w:val="auto"/>
              </w:rPr>
              <w:t>OSHA Recordable</w:t>
            </w:r>
          </w:p>
        </w:tc>
        <w:tc>
          <w:tcPr>
            <w:tcW w:w="900" w:type="dxa"/>
            <w:vAlign w:val="bottom"/>
          </w:tcPr>
          <w:p>
            <w:pPr>
              <w:jc w:val="center"/>
              <w:ind w:left="20"/>
              <w:spacing w:after="0" w:line="167" w:lineRule="exact"/>
              <w:rPr>
                <w:sz w:val="20"/>
                <w:szCs w:val="20"/>
                <w:color w:val="auto"/>
              </w:rPr>
            </w:pPr>
            <w:r>
              <w:rPr>
                <w:rFonts w:ascii="Arial" w:cs="Arial" w:eastAsia="Arial" w:hAnsi="Arial"/>
                <w:sz w:val="16"/>
                <w:szCs w:val="16"/>
                <w:color w:val="auto"/>
                <w:w w:val="89"/>
              </w:rPr>
              <w:t>3</w:t>
            </w:r>
          </w:p>
        </w:tc>
        <w:tc>
          <w:tcPr>
            <w:tcW w:w="1420" w:type="dxa"/>
            <w:vAlign w:val="bottom"/>
          </w:tcPr>
          <w:p>
            <w:pPr>
              <w:jc w:val="center"/>
              <w:ind w:left="80"/>
              <w:spacing w:after="0" w:line="167" w:lineRule="exact"/>
              <w:rPr>
                <w:sz w:val="20"/>
                <w:szCs w:val="20"/>
                <w:color w:val="auto"/>
              </w:rPr>
            </w:pPr>
            <w:r>
              <w:rPr>
                <w:rFonts w:ascii="Arial" w:cs="Arial" w:eastAsia="Arial" w:hAnsi="Arial"/>
                <w:sz w:val="16"/>
                <w:szCs w:val="16"/>
                <w:color w:val="auto"/>
              </w:rPr>
              <w:t>2</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150%</w:t>
            </w: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Incidents (1.67%)</w:t>
            </w: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Human Performance</w:t>
            </w:r>
          </w:p>
        </w:tc>
        <w:tc>
          <w:tcPr>
            <w:tcW w:w="900" w:type="dxa"/>
            <w:vAlign w:val="bottom"/>
          </w:tcPr>
          <w:p>
            <w:pPr>
              <w:jc w:val="center"/>
              <w:ind w:left="40"/>
              <w:spacing w:after="0"/>
              <w:rPr>
                <w:sz w:val="20"/>
                <w:szCs w:val="20"/>
                <w:color w:val="auto"/>
              </w:rPr>
            </w:pPr>
            <w:r>
              <w:rPr>
                <w:rFonts w:ascii="Arial" w:cs="Arial" w:eastAsia="Arial" w:hAnsi="Arial"/>
                <w:sz w:val="16"/>
                <w:szCs w:val="16"/>
                <w:color w:val="auto"/>
              </w:rPr>
              <w:t>19</w:t>
            </w:r>
          </w:p>
        </w:tc>
        <w:tc>
          <w:tcPr>
            <w:tcW w:w="1420" w:type="dxa"/>
            <w:vAlign w:val="bottom"/>
          </w:tcPr>
          <w:p>
            <w:pPr>
              <w:jc w:val="center"/>
              <w:ind w:left="80"/>
              <w:spacing w:after="0"/>
              <w:rPr>
                <w:sz w:val="20"/>
                <w:szCs w:val="20"/>
                <w:color w:val="auto"/>
              </w:rPr>
            </w:pPr>
            <w:r>
              <w:rPr>
                <w:rFonts w:ascii="Arial" w:cs="Arial" w:eastAsia="Arial" w:hAnsi="Arial"/>
                <w:sz w:val="16"/>
                <w:szCs w:val="16"/>
                <w:color w:val="auto"/>
              </w:rPr>
              <w:t>9</w:t>
            </w:r>
          </w:p>
        </w:tc>
        <w:tc>
          <w:tcPr>
            <w:tcW w:w="1440" w:type="dxa"/>
            <w:vAlign w:val="bottom"/>
          </w:tcPr>
          <w:p>
            <w:pPr>
              <w:jc w:val="center"/>
              <w:spacing w:after="0"/>
              <w:rPr>
                <w:sz w:val="20"/>
                <w:szCs w:val="20"/>
                <w:color w:val="auto"/>
              </w:rPr>
            </w:pPr>
            <w:r>
              <w:rPr>
                <w:rFonts w:ascii="Arial" w:cs="Arial" w:eastAsia="Arial" w:hAnsi="Arial"/>
                <w:sz w:val="16"/>
                <w:szCs w:val="16"/>
                <w:color w:val="auto"/>
                <w:w w:val="97"/>
              </w:rPr>
              <w:t>200%</w:t>
            </w: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Event Clock Resets</w:t>
            </w:r>
          </w:p>
        </w:tc>
        <w:tc>
          <w:tcPr>
            <w:tcW w:w="90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201"/>
        </w:trPr>
        <w:tc>
          <w:tcPr>
            <w:tcW w:w="5660" w:type="dxa"/>
            <w:vAlign w:val="bottom"/>
          </w:tcPr>
          <w:p>
            <w:pPr>
              <w:spacing w:after="0"/>
              <w:rPr>
                <w:sz w:val="17"/>
                <w:szCs w:val="17"/>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(2.50%)</w:t>
            </w:r>
          </w:p>
        </w:tc>
        <w:tc>
          <w:tcPr>
            <w:tcW w:w="9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440" w:type="dxa"/>
            <w:vAlign w:val="bottom"/>
          </w:tcPr>
          <w:p>
            <w:pPr>
              <w:spacing w:after="0"/>
              <w:rPr>
                <w:sz w:val="17"/>
                <w:szCs w:val="17"/>
                <w:color w:val="auto"/>
              </w:rPr>
            </w:pPr>
          </w:p>
        </w:tc>
      </w:tr>
      <w:tr>
        <w:trPr>
          <w:trHeight w:val="167"/>
        </w:trPr>
        <w:tc>
          <w:tcPr>
            <w:tcW w:w="56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Operational Excellence — 8.33%</w:t>
            </w: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Capital Project</w:t>
            </w:r>
          </w:p>
        </w:tc>
        <w:tc>
          <w:tcPr>
            <w:tcW w:w="9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99"/>
              </w:rPr>
              <w:t>80%</w:t>
            </w:r>
          </w:p>
        </w:tc>
        <w:tc>
          <w:tcPr>
            <w:tcW w:w="1420" w:type="dxa"/>
            <w:vAlign w:val="bottom"/>
            <w:shd w:val="clear" w:color="auto" w:fill="E3E5EB"/>
          </w:tcPr>
          <w:p>
            <w:pPr>
              <w:jc w:val="center"/>
              <w:ind w:left="80"/>
              <w:spacing w:after="0" w:line="167" w:lineRule="exact"/>
              <w:rPr>
                <w:sz w:val="20"/>
                <w:szCs w:val="20"/>
                <w:color w:val="auto"/>
              </w:rPr>
            </w:pPr>
            <w:r>
              <w:rPr>
                <w:rFonts w:ascii="Arial" w:cs="Arial" w:eastAsia="Arial" w:hAnsi="Arial"/>
                <w:sz w:val="16"/>
                <w:szCs w:val="16"/>
                <w:color w:val="auto"/>
              </w:rPr>
              <w:t>73.1%</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9"/>
              </w:rPr>
              <w:t>65%</w:t>
            </w:r>
          </w:p>
        </w:tc>
      </w:tr>
      <w:tr>
        <w:trPr>
          <w:trHeight w:val="201"/>
        </w:trPr>
        <w:tc>
          <w:tcPr>
            <w:tcW w:w="5660" w:type="dxa"/>
            <w:vAlign w:val="bottom"/>
            <w:shd w:val="clear" w:color="auto" w:fill="E3E5EB"/>
          </w:tcPr>
          <w:p>
            <w:pPr>
              <w:spacing w:after="0"/>
              <w:rPr>
                <w:sz w:val="17"/>
                <w:szCs w:val="17"/>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Execution (3.33%)</w:t>
            </w:r>
          </w:p>
        </w:tc>
        <w:tc>
          <w:tcPr>
            <w:tcW w:w="900" w:type="dxa"/>
            <w:vAlign w:val="bottom"/>
            <w:shd w:val="clear" w:color="auto" w:fill="E3E5EB"/>
          </w:tcPr>
          <w:p>
            <w:pPr>
              <w:spacing w:after="0"/>
              <w:rPr>
                <w:sz w:val="17"/>
                <w:szCs w:val="17"/>
                <w:color w:val="auto"/>
              </w:rPr>
            </w:pPr>
          </w:p>
        </w:tc>
        <w:tc>
          <w:tcPr>
            <w:tcW w:w="142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67"/>
        </w:trPr>
        <w:tc>
          <w:tcPr>
            <w:tcW w:w="5660" w:type="dxa"/>
            <w:vAlign w:val="bottom"/>
            <w:shd w:val="clear" w:color="auto" w:fill="E3E5EB"/>
          </w:tcPr>
          <w:p>
            <w:pPr>
              <w:spacing w:after="0"/>
              <w:rPr>
                <w:sz w:val="14"/>
                <w:szCs w:val="14"/>
                <w:color w:val="auto"/>
              </w:rPr>
            </w:pP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Capital Budget</w:t>
            </w:r>
          </w:p>
        </w:tc>
        <w:tc>
          <w:tcPr>
            <w:tcW w:w="90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rPr>
              <w:t>7.5% ±</w:t>
            </w:r>
          </w:p>
        </w:tc>
        <w:tc>
          <w:tcPr>
            <w:tcW w:w="1420" w:type="dxa"/>
            <w:vAlign w:val="bottom"/>
            <w:shd w:val="clear" w:color="auto" w:fill="E3E5EB"/>
          </w:tcPr>
          <w:p>
            <w:pPr>
              <w:jc w:val="center"/>
              <w:ind w:left="60"/>
              <w:spacing w:after="0" w:line="167" w:lineRule="exact"/>
              <w:rPr>
                <w:sz w:val="20"/>
                <w:szCs w:val="20"/>
                <w:color w:val="auto"/>
              </w:rPr>
            </w:pPr>
            <w:r>
              <w:rPr>
                <w:rFonts w:ascii="Arial" w:cs="Arial" w:eastAsia="Arial" w:hAnsi="Arial"/>
                <w:sz w:val="16"/>
                <w:szCs w:val="16"/>
                <w:color w:val="auto"/>
                <w:w w:val="99"/>
              </w:rPr>
              <w:t>2.0% Under</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201"/>
        </w:trPr>
        <w:tc>
          <w:tcPr>
            <w:tcW w:w="5660" w:type="dxa"/>
            <w:vAlign w:val="bottom"/>
            <w:shd w:val="clear" w:color="auto" w:fill="E3E5EB"/>
          </w:tcPr>
          <w:p>
            <w:pPr>
              <w:spacing w:after="0"/>
              <w:rPr>
                <w:sz w:val="17"/>
                <w:szCs w:val="17"/>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Adherence (1.67%)</w:t>
            </w:r>
          </w:p>
        </w:tc>
        <w:tc>
          <w:tcPr>
            <w:tcW w:w="9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8"/>
              </w:rPr>
              <w:t>Budget</w:t>
            </w:r>
          </w:p>
        </w:tc>
        <w:tc>
          <w:tcPr>
            <w:tcW w:w="1420" w:type="dxa"/>
            <w:vAlign w:val="bottom"/>
            <w:shd w:val="clear" w:color="auto" w:fill="E3E5EB"/>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shd w:val="clear" w:color="auto" w:fill="E3E5EB"/>
          </w:tcPr>
          <w:p>
            <w:pPr>
              <w:spacing w:after="0"/>
              <w:rPr>
                <w:sz w:val="17"/>
                <w:szCs w:val="17"/>
                <w:color w:val="auto"/>
              </w:rPr>
            </w:pPr>
          </w:p>
        </w:tc>
      </w:tr>
      <w:tr>
        <w:trPr>
          <w:trHeight w:val="167"/>
        </w:trPr>
        <w:tc>
          <w:tcPr>
            <w:tcW w:w="5660" w:type="dxa"/>
            <w:vAlign w:val="bottom"/>
            <w:shd w:val="clear" w:color="auto" w:fill="E3E5EB"/>
          </w:tcPr>
          <w:p>
            <w:pPr>
              <w:spacing w:after="0"/>
              <w:rPr>
                <w:sz w:val="14"/>
                <w:szCs w:val="14"/>
                <w:color w:val="auto"/>
              </w:rPr>
            </w:pPr>
          </w:p>
        </w:tc>
        <w:tc>
          <w:tcPr>
            <w:tcW w:w="2000" w:type="dxa"/>
            <w:vAlign w:val="bottom"/>
            <w:shd w:val="clear" w:color="auto" w:fill="E3E5EB"/>
          </w:tcPr>
          <w:p>
            <w:pPr>
              <w:ind w:left="200"/>
              <w:spacing w:after="0" w:line="167" w:lineRule="exact"/>
              <w:rPr>
                <w:sz w:val="20"/>
                <w:szCs w:val="20"/>
                <w:color w:val="auto"/>
              </w:rPr>
            </w:pPr>
            <w:r>
              <w:rPr>
                <w:rFonts w:ascii="Arial" w:cs="Arial" w:eastAsia="Arial" w:hAnsi="Arial"/>
                <w:sz w:val="16"/>
                <w:szCs w:val="16"/>
                <w:color w:val="auto"/>
              </w:rPr>
              <w:t>Average of All Four</w:t>
            </w:r>
          </w:p>
        </w:tc>
        <w:tc>
          <w:tcPr>
            <w:tcW w:w="9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97"/>
              </w:rPr>
              <w:t>100%</w:t>
            </w:r>
          </w:p>
        </w:tc>
        <w:tc>
          <w:tcPr>
            <w:tcW w:w="1420" w:type="dxa"/>
            <w:vAlign w:val="bottom"/>
            <w:shd w:val="clear" w:color="auto" w:fill="E3E5EB"/>
          </w:tcPr>
          <w:p>
            <w:pPr>
              <w:jc w:val="center"/>
              <w:ind w:left="80"/>
              <w:spacing w:after="0" w:line="167" w:lineRule="exact"/>
              <w:rPr>
                <w:sz w:val="20"/>
                <w:szCs w:val="20"/>
                <w:color w:val="auto"/>
              </w:rPr>
            </w:pPr>
            <w:r>
              <w:rPr>
                <w:rFonts w:ascii="Arial" w:cs="Arial" w:eastAsia="Arial" w:hAnsi="Arial"/>
                <w:sz w:val="16"/>
                <w:szCs w:val="16"/>
                <w:color w:val="auto"/>
              </w:rPr>
              <w:t>153%</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153%</w:t>
            </w:r>
          </w:p>
        </w:tc>
      </w:tr>
      <w:tr>
        <w:trPr>
          <w:trHeight w:val="188"/>
        </w:trPr>
        <w:tc>
          <w:tcPr>
            <w:tcW w:w="5660" w:type="dxa"/>
            <w:vAlign w:val="bottom"/>
            <w:shd w:val="clear" w:color="auto" w:fill="E3E5EB"/>
          </w:tcPr>
          <w:p>
            <w:pPr>
              <w:spacing w:after="0"/>
              <w:rPr>
                <w:sz w:val="16"/>
                <w:szCs w:val="16"/>
                <w:color w:val="auto"/>
              </w:rPr>
            </w:pPr>
          </w:p>
        </w:tc>
        <w:tc>
          <w:tcPr>
            <w:tcW w:w="2000" w:type="dxa"/>
            <w:vAlign w:val="bottom"/>
            <w:shd w:val="clear" w:color="auto" w:fill="E3E5EB"/>
          </w:tcPr>
          <w:p>
            <w:pPr>
              <w:ind w:left="200"/>
              <w:spacing w:after="0"/>
              <w:rPr>
                <w:sz w:val="20"/>
                <w:szCs w:val="20"/>
                <w:color w:val="auto"/>
              </w:rPr>
            </w:pPr>
            <w:r>
              <w:rPr>
                <w:rFonts w:ascii="Arial" w:cs="Arial" w:eastAsia="Arial" w:hAnsi="Arial"/>
                <w:sz w:val="16"/>
                <w:szCs w:val="16"/>
                <w:color w:val="auto"/>
              </w:rPr>
              <w:t>Business Unit Results</w:t>
            </w:r>
          </w:p>
        </w:tc>
        <w:tc>
          <w:tcPr>
            <w:tcW w:w="900" w:type="dxa"/>
            <w:vAlign w:val="bottom"/>
            <w:shd w:val="clear" w:color="auto" w:fill="E3E5EB"/>
          </w:tcPr>
          <w:p>
            <w:pPr>
              <w:spacing w:after="0"/>
              <w:rPr>
                <w:sz w:val="16"/>
                <w:szCs w:val="16"/>
                <w:color w:val="auto"/>
              </w:rPr>
            </w:pPr>
          </w:p>
        </w:tc>
        <w:tc>
          <w:tcPr>
            <w:tcW w:w="142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r>
      <w:tr>
        <w:trPr>
          <w:trHeight w:val="234"/>
        </w:trPr>
        <w:tc>
          <w:tcPr>
            <w:tcW w:w="5660" w:type="dxa"/>
            <w:vAlign w:val="bottom"/>
            <w:shd w:val="clear" w:color="auto" w:fill="E3E5EB"/>
          </w:tcPr>
          <w:p>
            <w:pPr>
              <w:spacing w:after="0"/>
              <w:rPr>
                <w:sz w:val="20"/>
                <w:szCs w:val="20"/>
                <w:color w:val="auto"/>
              </w:rPr>
            </w:pPr>
          </w:p>
        </w:tc>
        <w:tc>
          <w:tcPr>
            <w:tcW w:w="2000" w:type="dxa"/>
            <w:vAlign w:val="bottom"/>
            <w:shd w:val="clear" w:color="auto" w:fill="E3E5EB"/>
          </w:tcPr>
          <w:p>
            <w:pPr>
              <w:ind w:left="200"/>
              <w:spacing w:after="0" w:line="235" w:lineRule="exact"/>
              <w:rPr>
                <w:sz w:val="20"/>
                <w:szCs w:val="20"/>
                <w:color w:val="auto"/>
              </w:rPr>
            </w:pPr>
            <w:r>
              <w:rPr>
                <w:rFonts w:ascii="Arial" w:cs="Arial" w:eastAsia="Arial" w:hAnsi="Arial"/>
                <w:sz w:val="16"/>
                <w:szCs w:val="16"/>
                <w:color w:val="auto"/>
              </w:rPr>
              <w:t>(3.33%)</w:t>
            </w:r>
            <w:r>
              <w:rPr>
                <w:rFonts w:ascii="Arial" w:cs="Arial" w:eastAsia="Arial" w:hAnsi="Arial"/>
                <w:sz w:val="26"/>
                <w:szCs w:val="26"/>
                <w:color w:val="auto"/>
                <w:vertAlign w:val="superscript"/>
              </w:rPr>
              <w:t>(1)</w:t>
            </w:r>
          </w:p>
        </w:tc>
        <w:tc>
          <w:tcPr>
            <w:tcW w:w="900" w:type="dxa"/>
            <w:vAlign w:val="bottom"/>
            <w:shd w:val="clear" w:color="auto" w:fill="E3E5EB"/>
          </w:tcPr>
          <w:p>
            <w:pPr>
              <w:spacing w:after="0"/>
              <w:rPr>
                <w:sz w:val="20"/>
                <w:szCs w:val="20"/>
                <w:color w:val="auto"/>
              </w:rPr>
            </w:pPr>
          </w:p>
        </w:tc>
        <w:tc>
          <w:tcPr>
            <w:tcW w:w="1420" w:type="dxa"/>
            <w:vAlign w:val="bottom"/>
            <w:shd w:val="clear" w:color="auto" w:fill="E3E5EB"/>
          </w:tcPr>
          <w:p>
            <w:pPr>
              <w:spacing w:after="0"/>
              <w:rPr>
                <w:sz w:val="20"/>
                <w:szCs w:val="20"/>
                <w:color w:val="auto"/>
              </w:rPr>
            </w:pPr>
          </w:p>
        </w:tc>
        <w:tc>
          <w:tcPr>
            <w:tcW w:w="1440" w:type="dxa"/>
            <w:vAlign w:val="bottom"/>
            <w:shd w:val="clear" w:color="auto" w:fill="E3E5EB"/>
          </w:tcPr>
          <w:p>
            <w:pPr>
              <w:spacing w:after="0"/>
              <w:rPr>
                <w:sz w:val="20"/>
                <w:szCs w:val="20"/>
                <w:color w:val="auto"/>
              </w:rPr>
            </w:pPr>
          </w:p>
        </w:tc>
      </w:tr>
      <w:tr>
        <w:trPr>
          <w:trHeight w:val="167"/>
        </w:trPr>
        <w:tc>
          <w:tcPr>
            <w:tcW w:w="5660" w:type="dxa"/>
            <w:vAlign w:val="bottom"/>
          </w:tcPr>
          <w:p>
            <w:pPr>
              <w:ind w:left="140"/>
              <w:spacing w:after="0" w:line="167" w:lineRule="exact"/>
              <w:rPr>
                <w:sz w:val="20"/>
                <w:szCs w:val="20"/>
                <w:color w:val="auto"/>
              </w:rPr>
            </w:pPr>
            <w:r>
              <w:rPr>
                <w:rFonts w:ascii="Arial" w:cs="Arial" w:eastAsia="Arial" w:hAnsi="Arial"/>
                <w:sz w:val="16"/>
                <w:szCs w:val="16"/>
                <w:color w:val="auto"/>
              </w:rPr>
              <w:t>Shareholder Value — 4.17%</w:t>
            </w:r>
          </w:p>
        </w:tc>
        <w:tc>
          <w:tcPr>
            <w:tcW w:w="2000" w:type="dxa"/>
            <w:vAlign w:val="bottom"/>
          </w:tcPr>
          <w:p>
            <w:pPr>
              <w:ind w:left="200"/>
              <w:spacing w:after="0" w:line="167" w:lineRule="exact"/>
              <w:rPr>
                <w:sz w:val="20"/>
                <w:szCs w:val="20"/>
                <w:color w:val="auto"/>
              </w:rPr>
            </w:pPr>
            <w:r>
              <w:rPr>
                <w:rFonts w:ascii="Arial" w:cs="Arial" w:eastAsia="Arial" w:hAnsi="Arial"/>
                <w:sz w:val="16"/>
                <w:szCs w:val="16"/>
                <w:color w:val="auto"/>
              </w:rPr>
              <w:t>Operating and</w:t>
            </w:r>
          </w:p>
        </w:tc>
        <w:tc>
          <w:tcPr>
            <w:tcW w:w="90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8"/>
              </w:rPr>
              <w:t>Budget</w:t>
            </w:r>
          </w:p>
        </w:tc>
        <w:tc>
          <w:tcPr>
            <w:tcW w:w="1420" w:type="dxa"/>
            <w:vAlign w:val="bottom"/>
          </w:tcPr>
          <w:p>
            <w:pPr>
              <w:jc w:val="center"/>
              <w:ind w:left="60"/>
              <w:spacing w:after="0" w:line="167" w:lineRule="exact"/>
              <w:rPr>
                <w:sz w:val="20"/>
                <w:szCs w:val="20"/>
                <w:color w:val="auto"/>
              </w:rPr>
            </w:pPr>
            <w:r>
              <w:rPr>
                <w:rFonts w:ascii="Arial" w:cs="Arial" w:eastAsia="Arial" w:hAnsi="Arial"/>
                <w:sz w:val="16"/>
                <w:szCs w:val="16"/>
                <w:color w:val="auto"/>
                <w:w w:val="99"/>
              </w:rPr>
              <w:t>4.5% Under</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184"/>
        </w:trPr>
        <w:tc>
          <w:tcPr>
            <w:tcW w:w="5660" w:type="dxa"/>
            <w:vAlign w:val="bottom"/>
          </w:tcPr>
          <w:p>
            <w:pPr>
              <w:spacing w:after="0"/>
              <w:rPr>
                <w:sz w:val="16"/>
                <w:szCs w:val="16"/>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Maintenance Budget</w:t>
            </w:r>
          </w:p>
        </w:tc>
        <w:tc>
          <w:tcPr>
            <w:tcW w:w="900" w:type="dxa"/>
            <w:vAlign w:val="bottom"/>
          </w:tcPr>
          <w:p>
            <w:pPr>
              <w:spacing w:after="0"/>
              <w:rPr>
                <w:sz w:val="16"/>
                <w:szCs w:val="16"/>
                <w:color w:val="auto"/>
              </w:rPr>
            </w:pPr>
          </w:p>
        </w:tc>
        <w:tc>
          <w:tcPr>
            <w:tcW w:w="1420" w:type="dxa"/>
            <w:vAlign w:val="bottom"/>
          </w:tcPr>
          <w:p>
            <w:pPr>
              <w:jc w:val="center"/>
              <w:ind w:left="80"/>
              <w:spacing w:after="0"/>
              <w:rPr>
                <w:sz w:val="20"/>
                <w:szCs w:val="20"/>
                <w:color w:val="auto"/>
              </w:rPr>
            </w:pPr>
            <w:r>
              <w:rPr>
                <w:rFonts w:ascii="Arial" w:cs="Arial" w:eastAsia="Arial" w:hAnsi="Arial"/>
                <w:sz w:val="16"/>
                <w:szCs w:val="16"/>
                <w:color w:val="auto"/>
                <w:w w:val="98"/>
              </w:rPr>
              <w:t>Budget</w:t>
            </w:r>
          </w:p>
        </w:tc>
        <w:tc>
          <w:tcPr>
            <w:tcW w:w="1440" w:type="dxa"/>
            <w:vAlign w:val="bottom"/>
          </w:tcPr>
          <w:p>
            <w:pPr>
              <w:spacing w:after="0"/>
              <w:rPr>
                <w:sz w:val="16"/>
                <w:szCs w:val="16"/>
                <w:color w:val="auto"/>
              </w:rPr>
            </w:pPr>
          </w:p>
        </w:tc>
      </w:tr>
      <w:tr>
        <w:trPr>
          <w:trHeight w:val="201"/>
        </w:trPr>
        <w:tc>
          <w:tcPr>
            <w:tcW w:w="5660" w:type="dxa"/>
            <w:vAlign w:val="bottom"/>
          </w:tcPr>
          <w:p>
            <w:pPr>
              <w:spacing w:after="0"/>
              <w:rPr>
                <w:sz w:val="17"/>
                <w:szCs w:val="17"/>
                <w:color w:val="auto"/>
              </w:rPr>
            </w:pPr>
          </w:p>
        </w:tc>
        <w:tc>
          <w:tcPr>
            <w:tcW w:w="2000" w:type="dxa"/>
            <w:vAlign w:val="bottom"/>
          </w:tcPr>
          <w:p>
            <w:pPr>
              <w:ind w:left="200"/>
              <w:spacing w:after="0"/>
              <w:rPr>
                <w:sz w:val="20"/>
                <w:szCs w:val="20"/>
                <w:color w:val="auto"/>
              </w:rPr>
            </w:pPr>
            <w:r>
              <w:rPr>
                <w:rFonts w:ascii="Arial" w:cs="Arial" w:eastAsia="Arial" w:hAnsi="Arial"/>
                <w:sz w:val="16"/>
                <w:szCs w:val="16"/>
                <w:color w:val="auto"/>
              </w:rPr>
              <w:t>(4.17%)</w:t>
            </w:r>
          </w:p>
        </w:tc>
        <w:tc>
          <w:tcPr>
            <w:tcW w:w="9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440" w:type="dxa"/>
            <w:vAlign w:val="bottom"/>
          </w:tcPr>
          <w:p>
            <w:pPr>
              <w:spacing w:after="0"/>
              <w:rPr>
                <w:sz w:val="17"/>
                <w:szCs w:val="17"/>
                <w:color w:val="auto"/>
              </w:rPr>
            </w:pPr>
          </w:p>
        </w:tc>
      </w:tr>
      <w:tr>
        <w:trPr>
          <w:trHeight w:val="184"/>
        </w:trPr>
        <w:tc>
          <w:tcPr>
            <w:tcW w:w="5660" w:type="dxa"/>
            <w:vAlign w:val="bottom"/>
            <w:shd w:val="clear" w:color="auto" w:fill="E3E5EB"/>
          </w:tcPr>
          <w:p>
            <w:pPr>
              <w:spacing w:after="0"/>
              <w:rPr>
                <w:sz w:val="16"/>
                <w:szCs w:val="16"/>
                <w:color w:val="auto"/>
              </w:rPr>
            </w:pPr>
          </w:p>
        </w:tc>
        <w:tc>
          <w:tcPr>
            <w:tcW w:w="4320" w:type="dxa"/>
            <w:vAlign w:val="bottom"/>
            <w:gridSpan w:val="3"/>
            <w:shd w:val="clear" w:color="auto" w:fill="E3E5EB"/>
          </w:tcPr>
          <w:p>
            <w:pPr>
              <w:jc w:val="right"/>
              <w:ind w:right="40"/>
              <w:spacing w:after="0"/>
              <w:rPr>
                <w:sz w:val="20"/>
                <w:szCs w:val="20"/>
                <w:color w:val="auto"/>
              </w:rPr>
            </w:pPr>
            <w:r>
              <w:rPr>
                <w:rFonts w:ascii="Arial" w:cs="Arial" w:eastAsia="Arial" w:hAnsi="Arial"/>
                <w:sz w:val="16"/>
                <w:szCs w:val="16"/>
                <w:b w:val="1"/>
                <w:bCs w:val="1"/>
                <w:color w:val="auto"/>
              </w:rPr>
              <w:t>Information Technology Results</w:t>
            </w:r>
          </w:p>
        </w:tc>
        <w:tc>
          <w:tcPr>
            <w:tcW w:w="1440" w:type="dxa"/>
            <w:vAlign w:val="bottom"/>
            <w:shd w:val="clear" w:color="auto" w:fill="E3E5EB"/>
          </w:tcPr>
          <w:p>
            <w:pPr>
              <w:jc w:val="center"/>
              <w:spacing w:after="0"/>
              <w:rPr>
                <w:sz w:val="20"/>
                <w:szCs w:val="20"/>
                <w:color w:val="auto"/>
              </w:rPr>
            </w:pPr>
            <w:r>
              <w:rPr>
                <w:rFonts w:ascii="Arial" w:cs="Arial" w:eastAsia="Arial" w:hAnsi="Arial"/>
                <w:sz w:val="16"/>
                <w:szCs w:val="16"/>
                <w:b w:val="1"/>
                <w:bCs w:val="1"/>
                <w:color w:val="auto"/>
                <w:w w:val="97"/>
              </w:rPr>
              <w:t>159%</w:t>
            </w:r>
          </w:p>
        </w:tc>
      </w:tr>
      <w:tr>
        <w:trPr>
          <w:trHeight w:val="184"/>
        </w:trPr>
        <w:tc>
          <w:tcPr>
            <w:tcW w:w="5660" w:type="dxa"/>
            <w:vAlign w:val="bottom"/>
            <w:tcBorders>
              <w:bottom w:val="single" w:sz="8" w:color="888992"/>
            </w:tcBorders>
          </w:tcPr>
          <w:p>
            <w:pPr>
              <w:spacing w:after="0"/>
              <w:rPr>
                <w:sz w:val="16"/>
                <w:szCs w:val="16"/>
                <w:color w:val="auto"/>
              </w:rPr>
            </w:pPr>
          </w:p>
        </w:tc>
        <w:tc>
          <w:tcPr>
            <w:tcW w:w="4320" w:type="dxa"/>
            <w:vAlign w:val="bottom"/>
            <w:tcBorders>
              <w:bottom w:val="single" w:sz="8" w:color="888992"/>
            </w:tcBorders>
            <w:gridSpan w:val="3"/>
          </w:tcPr>
          <w:p>
            <w:pPr>
              <w:jc w:val="right"/>
              <w:ind w:right="40"/>
              <w:spacing w:after="0"/>
              <w:rPr>
                <w:sz w:val="20"/>
                <w:szCs w:val="20"/>
                <w:color w:val="auto"/>
              </w:rPr>
            </w:pPr>
            <w:r>
              <w:rPr>
                <w:rFonts w:ascii="Arial" w:cs="Arial" w:eastAsia="Arial" w:hAnsi="Arial"/>
                <w:sz w:val="16"/>
                <w:szCs w:val="16"/>
                <w:b w:val="1"/>
                <w:bCs w:val="1"/>
                <w:color w:val="auto"/>
              </w:rPr>
              <w:t>Overall Hatfield Incentive Result</w:t>
            </w:r>
          </w:p>
        </w:tc>
        <w:tc>
          <w:tcPr>
            <w:tcW w:w="14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auto"/>
                <w:w w:val="97"/>
              </w:rPr>
              <w:t>163%</w:t>
            </w:r>
          </w:p>
        </w:tc>
      </w:tr>
    </w:tbl>
    <w:p>
      <w:pPr>
        <w:spacing w:after="0" w:line="302" w:lineRule="exact"/>
        <w:rPr>
          <w:sz w:val="20"/>
          <w:szCs w:val="20"/>
          <w:color w:val="auto"/>
        </w:rPr>
      </w:pPr>
    </w:p>
    <w:p>
      <w:pPr>
        <w:ind w:left="482" w:right="320" w:hanging="482"/>
        <w:spacing w:after="0" w:line="259" w:lineRule="auto"/>
        <w:tabs>
          <w:tab w:leader="none" w:pos="482" w:val="left"/>
        </w:tabs>
        <w:numPr>
          <w:ilvl w:val="0"/>
          <w:numId w:val="71"/>
        </w:numPr>
        <w:rPr>
          <w:rFonts w:ascii="Arial" w:cs="Arial" w:eastAsia="Arial" w:hAnsi="Arial"/>
          <w:sz w:val="16"/>
          <w:szCs w:val="16"/>
          <w:color w:val="auto"/>
        </w:rPr>
      </w:pPr>
      <w:r>
        <w:rPr>
          <w:rFonts w:ascii="Arial" w:cs="Arial" w:eastAsia="Arial" w:hAnsi="Arial"/>
          <w:sz w:val="16"/>
          <w:szCs w:val="16"/>
          <w:color w:val="auto"/>
        </w:rPr>
        <w:t>The average for all four business units — Customer Service, Fossil Generation, Palo Verde, and Transmission and Distribution — results are included in each of the Corporate Resources areas overseen by Mr. Hatfield and reflected as such in the table above. The weight of this metric for Mr. Hatfield emphasizes the goal of the various Corporate Resources areas in supporting the Company's business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154305</wp:posOffset>
            </wp:positionV>
            <wp:extent cx="841375" cy="16383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41"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52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61" w:name="page62"/>
    <w:bookmarkEnd w:id="6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spacing w:after="0"/>
        <w:rPr>
          <w:sz w:val="20"/>
          <w:szCs w:val="20"/>
          <w:color w:val="auto"/>
        </w:rPr>
      </w:pPr>
      <w:r>
        <w:rPr>
          <w:rFonts w:ascii="Arial" w:cs="Arial" w:eastAsia="Arial" w:hAnsi="Arial"/>
          <w:sz w:val="19"/>
          <w:szCs w:val="19"/>
          <w:color w:val="auto"/>
        </w:rPr>
        <w:t>Mr. Falck's business unit performance metrics (50% of the overall opportunity) were as follows: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-116840</wp:posOffset>
            </wp:positionV>
            <wp:extent cx="1487805" cy="1555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03" w:lineRule="exact"/>
        <w:rPr>
          <w:sz w:val="20"/>
          <w:szCs w:val="20"/>
          <w:color w:val="auto"/>
        </w:rPr>
      </w:pPr>
    </w:p>
    <w:p>
      <w:pPr>
        <w:sectPr>
          <w:pgSz w:w="11900" w:h="16838" w:orient="portrait"/>
          <w:cols w:equalWidth="0" w:num="2">
            <w:col w:w="8420" w:space="720"/>
            <w:col w:w="2380"/>
          </w:cols>
          <w:pgMar w:left="240" w:top="110" w:right="139" w:bottom="1440" w:gutter="0" w:footer="0" w:header="0"/>
        </w:sectPr>
      </w:pPr>
    </w:p>
    <w:p>
      <w:pPr>
        <w:spacing w:after="0" w:line="353" w:lineRule="exact"/>
        <w:rPr>
          <w:sz w:val="20"/>
          <w:szCs w:val="20"/>
          <w:color w:val="auto"/>
        </w:rPr>
      </w:pPr>
    </w:p>
    <w:tbl>
      <w:tblPr>
        <w:tblLayout w:type="fixed"/>
        <w:tblInd w:w="100" w:type="dxa"/>
        <w:tblCellMar>
          <w:top w:w="0" w:type="dxa"/>
          <w:left w:w="0" w:type="dxa"/>
          <w:bottom w:w="0" w:type="dxa"/>
          <w:right w:w="0" w:type="dxa"/>
        </w:tblCellMar>
      </w:tblPr>
      <w:tr>
        <w:trPr>
          <w:trHeight w:val="184"/>
        </w:trPr>
        <w:tc>
          <w:tcPr>
            <w:tcW w:w="576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7"/>
              </w:rPr>
              <w:t>% OF TARGET</w:t>
            </w:r>
          </w:p>
        </w:tc>
      </w:tr>
      <w:tr>
        <w:trPr>
          <w:trHeight w:val="184"/>
        </w:trPr>
        <w:tc>
          <w:tcPr>
            <w:tcW w:w="576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280" w:type="dxa"/>
            <w:vAlign w:val="bottom"/>
          </w:tcPr>
          <w:p>
            <w:pPr>
              <w:jc w:val="center"/>
              <w:spacing w:after="0"/>
              <w:rPr>
                <w:sz w:val="20"/>
                <w:szCs w:val="20"/>
                <w:color w:val="auto"/>
              </w:rPr>
            </w:pPr>
            <w:r>
              <w:rPr>
                <w:rFonts w:ascii="Arial" w:cs="Arial" w:eastAsia="Arial" w:hAnsi="Arial"/>
                <w:sz w:val="16"/>
                <w:szCs w:val="16"/>
                <w:b w:val="1"/>
                <w:bCs w:val="1"/>
                <w:color w:val="3A5575"/>
              </w:rPr>
              <w:t>ACTUAL</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8"/>
              </w:rPr>
              <w:t>PERFORMANCE</w:t>
            </w:r>
          </w:p>
        </w:tc>
      </w:tr>
      <w:tr>
        <w:trPr>
          <w:trHeight w:val="203"/>
        </w:trPr>
        <w:tc>
          <w:tcPr>
            <w:tcW w:w="5760" w:type="dxa"/>
            <w:vAlign w:val="bottom"/>
            <w:tcBorders>
              <w:bottom w:val="single" w:sz="8" w:color="888992"/>
            </w:tcBorders>
          </w:tcPr>
          <w:p>
            <w:pPr>
              <w:spacing w:after="0"/>
              <w:rPr>
                <w:sz w:val="20"/>
                <w:szCs w:val="20"/>
                <w:color w:val="auto"/>
              </w:rPr>
            </w:pPr>
            <w:r>
              <w:rPr>
                <w:rFonts w:ascii="Arial" w:cs="Arial" w:eastAsia="Arial" w:hAnsi="Arial"/>
                <w:sz w:val="16"/>
                <w:szCs w:val="16"/>
                <w:b w:val="1"/>
                <w:bCs w:val="1"/>
                <w:color w:val="3A5575"/>
              </w:rPr>
              <w:t>CORPORATE RESOURCES PERFORMANCE MEASURES AND WEIGHTING</w:t>
            </w:r>
          </w:p>
        </w:tc>
        <w:tc>
          <w:tcPr>
            <w:tcW w:w="1660" w:type="dxa"/>
            <w:vAlign w:val="bottom"/>
            <w:tcBorders>
              <w:bottom w:val="single" w:sz="8" w:color="888992"/>
            </w:tcBorders>
          </w:tcPr>
          <w:p>
            <w:pPr>
              <w:ind w:left="520"/>
              <w:spacing w:after="0"/>
              <w:rPr>
                <w:sz w:val="20"/>
                <w:szCs w:val="20"/>
                <w:color w:val="auto"/>
              </w:rPr>
            </w:pPr>
            <w:r>
              <w:rPr>
                <w:rFonts w:ascii="Arial" w:cs="Arial" w:eastAsia="Arial" w:hAnsi="Arial"/>
                <w:sz w:val="16"/>
                <w:szCs w:val="16"/>
                <w:b w:val="1"/>
                <w:bCs w:val="1"/>
                <w:color w:val="3A5575"/>
              </w:rPr>
              <w:t>MEASURE</w:t>
            </w:r>
          </w:p>
        </w:tc>
        <w:tc>
          <w:tcPr>
            <w:tcW w:w="1280" w:type="dxa"/>
            <w:vAlign w:val="bottom"/>
            <w:tcBorders>
              <w:bottom w:val="single" w:sz="8" w:color="888992"/>
            </w:tcBorders>
          </w:tcPr>
          <w:p>
            <w:pPr>
              <w:jc w:val="center"/>
              <w:ind w:left="120"/>
              <w:spacing w:after="0"/>
              <w:rPr>
                <w:sz w:val="20"/>
                <w:szCs w:val="20"/>
                <w:color w:val="auto"/>
              </w:rPr>
            </w:pPr>
            <w:r>
              <w:rPr>
                <w:rFonts w:ascii="Arial" w:cs="Arial" w:eastAsia="Arial" w:hAnsi="Arial"/>
                <w:sz w:val="16"/>
                <w:szCs w:val="16"/>
                <w:b w:val="1"/>
                <w:bCs w:val="1"/>
                <w:color w:val="3A5575"/>
                <w:w w:val="97"/>
              </w:rPr>
              <w:t>TARGET</w:t>
            </w:r>
          </w:p>
        </w:tc>
        <w:tc>
          <w:tcPr>
            <w:tcW w:w="128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9"/>
              </w:rPr>
              <w:t>RESULTS</w:t>
            </w:r>
          </w:p>
        </w:tc>
        <w:tc>
          <w:tcPr>
            <w:tcW w:w="14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rPr>
              <w:t>ACHIEVED</w:t>
            </w:r>
          </w:p>
        </w:tc>
      </w:tr>
      <w:tr>
        <w:trPr>
          <w:trHeight w:val="159"/>
        </w:trPr>
        <w:tc>
          <w:tcPr>
            <w:tcW w:w="5760" w:type="dxa"/>
            <w:vAlign w:val="bottom"/>
            <w:shd w:val="clear" w:color="auto" w:fill="E3E5EB"/>
          </w:tcPr>
          <w:p>
            <w:pPr>
              <w:spacing w:after="0" w:line="159" w:lineRule="exact"/>
              <w:rPr>
                <w:sz w:val="20"/>
                <w:szCs w:val="20"/>
                <w:color w:val="auto"/>
              </w:rPr>
            </w:pPr>
            <w:r>
              <w:rPr>
                <w:rFonts w:ascii="Arial" w:cs="Arial" w:eastAsia="Arial" w:hAnsi="Arial"/>
                <w:sz w:val="16"/>
                <w:szCs w:val="16"/>
                <w:color w:val="auto"/>
              </w:rPr>
              <w:t>Employees — 12.50%</w:t>
            </w:r>
          </w:p>
        </w:tc>
        <w:tc>
          <w:tcPr>
            <w:tcW w:w="1660" w:type="dxa"/>
            <w:vAlign w:val="bottom"/>
            <w:shd w:val="clear" w:color="auto" w:fill="E3E5EB"/>
          </w:tcPr>
          <w:p>
            <w:pPr>
              <w:ind w:left="100"/>
              <w:spacing w:after="0" w:line="159" w:lineRule="exact"/>
              <w:rPr>
                <w:sz w:val="20"/>
                <w:szCs w:val="20"/>
                <w:color w:val="auto"/>
              </w:rPr>
            </w:pPr>
            <w:r>
              <w:rPr>
                <w:rFonts w:ascii="Arial" w:cs="Arial" w:eastAsia="Arial" w:hAnsi="Arial"/>
                <w:sz w:val="16"/>
                <w:szCs w:val="16"/>
                <w:color w:val="auto"/>
              </w:rPr>
              <w:t>OSHA Recordable</w:t>
            </w:r>
          </w:p>
        </w:tc>
        <w:tc>
          <w:tcPr>
            <w:tcW w:w="1280" w:type="dxa"/>
            <w:vAlign w:val="bottom"/>
            <w:shd w:val="clear" w:color="auto" w:fill="E3E5EB"/>
          </w:tcPr>
          <w:p>
            <w:pPr>
              <w:jc w:val="center"/>
              <w:ind w:left="120"/>
              <w:spacing w:after="0" w:line="159" w:lineRule="exact"/>
              <w:rPr>
                <w:sz w:val="20"/>
                <w:szCs w:val="20"/>
                <w:color w:val="auto"/>
              </w:rPr>
            </w:pPr>
            <w:r>
              <w:rPr>
                <w:rFonts w:ascii="Arial" w:cs="Arial" w:eastAsia="Arial" w:hAnsi="Arial"/>
                <w:sz w:val="16"/>
                <w:szCs w:val="16"/>
                <w:color w:val="auto"/>
                <w:w w:val="89"/>
              </w:rPr>
              <w:t>3</w:t>
            </w:r>
          </w:p>
        </w:tc>
        <w:tc>
          <w:tcPr>
            <w:tcW w:w="1280" w:type="dxa"/>
            <w:vAlign w:val="bottom"/>
            <w:shd w:val="clear" w:color="auto" w:fill="E3E5EB"/>
          </w:tcPr>
          <w:p>
            <w:pPr>
              <w:jc w:val="center"/>
              <w:spacing w:after="0" w:line="159" w:lineRule="exact"/>
              <w:rPr>
                <w:sz w:val="20"/>
                <w:szCs w:val="20"/>
                <w:color w:val="auto"/>
              </w:rPr>
            </w:pPr>
            <w:r>
              <w:rPr>
                <w:rFonts w:ascii="Arial" w:cs="Arial" w:eastAsia="Arial" w:hAnsi="Arial"/>
                <w:sz w:val="16"/>
                <w:szCs w:val="16"/>
                <w:color w:val="auto"/>
              </w:rPr>
              <w:t>2</w:t>
            </w:r>
          </w:p>
        </w:tc>
        <w:tc>
          <w:tcPr>
            <w:tcW w:w="1440" w:type="dxa"/>
            <w:vAlign w:val="bottom"/>
            <w:shd w:val="clear" w:color="auto" w:fill="E3E5EB"/>
          </w:tcPr>
          <w:p>
            <w:pPr>
              <w:jc w:val="center"/>
              <w:spacing w:after="0" w:line="159" w:lineRule="exact"/>
              <w:rPr>
                <w:sz w:val="20"/>
                <w:szCs w:val="20"/>
                <w:color w:val="auto"/>
              </w:rPr>
            </w:pPr>
            <w:r>
              <w:rPr>
                <w:rFonts w:ascii="Arial" w:cs="Arial" w:eastAsia="Arial" w:hAnsi="Arial"/>
                <w:sz w:val="16"/>
                <w:szCs w:val="16"/>
                <w:color w:val="auto"/>
                <w:w w:val="97"/>
              </w:rPr>
              <w:t>150%</w:t>
            </w:r>
          </w:p>
        </w:tc>
      </w:tr>
      <w:tr>
        <w:trPr>
          <w:trHeight w:val="201"/>
        </w:trPr>
        <w:tc>
          <w:tcPr>
            <w:tcW w:w="5760" w:type="dxa"/>
            <w:vAlign w:val="bottom"/>
            <w:shd w:val="clear" w:color="auto" w:fill="E3E5EB"/>
          </w:tcPr>
          <w:p>
            <w:pPr>
              <w:spacing w:after="0"/>
              <w:rPr>
                <w:sz w:val="17"/>
                <w:szCs w:val="17"/>
                <w:color w:val="auto"/>
              </w:rPr>
            </w:pPr>
          </w:p>
        </w:tc>
        <w:tc>
          <w:tcPr>
            <w:tcW w:w="16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Incidents (12.50%)</w:t>
            </w:r>
          </w:p>
        </w:tc>
        <w:tc>
          <w:tcPr>
            <w:tcW w:w="1280" w:type="dxa"/>
            <w:vAlign w:val="bottom"/>
            <w:shd w:val="clear" w:color="auto" w:fill="E3E5EB"/>
          </w:tcPr>
          <w:p>
            <w:pPr>
              <w:spacing w:after="0"/>
              <w:rPr>
                <w:sz w:val="17"/>
                <w:szCs w:val="17"/>
                <w:color w:val="auto"/>
              </w:rPr>
            </w:pPr>
          </w:p>
        </w:tc>
        <w:tc>
          <w:tcPr>
            <w:tcW w:w="128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67"/>
        </w:trPr>
        <w:tc>
          <w:tcPr>
            <w:tcW w:w="5760" w:type="dxa"/>
            <w:vAlign w:val="bottom"/>
          </w:tcPr>
          <w:p>
            <w:pPr>
              <w:spacing w:after="0" w:line="167" w:lineRule="exact"/>
              <w:rPr>
                <w:sz w:val="20"/>
                <w:szCs w:val="20"/>
                <w:color w:val="auto"/>
              </w:rPr>
            </w:pPr>
            <w:r>
              <w:rPr>
                <w:rFonts w:ascii="Arial" w:cs="Arial" w:eastAsia="Arial" w:hAnsi="Arial"/>
                <w:sz w:val="16"/>
                <w:szCs w:val="16"/>
                <w:color w:val="auto"/>
              </w:rPr>
              <w:t>Operational Excellence — 27.50%</w:t>
            </w:r>
          </w:p>
        </w:tc>
        <w:tc>
          <w:tcPr>
            <w:tcW w:w="1660" w:type="dxa"/>
            <w:vAlign w:val="bottom"/>
          </w:tcPr>
          <w:p>
            <w:pPr>
              <w:ind w:left="100"/>
              <w:spacing w:after="0" w:line="167" w:lineRule="exact"/>
              <w:rPr>
                <w:sz w:val="20"/>
                <w:szCs w:val="20"/>
                <w:color w:val="auto"/>
              </w:rPr>
            </w:pPr>
            <w:r>
              <w:rPr>
                <w:rFonts w:ascii="Arial" w:cs="Arial" w:eastAsia="Arial" w:hAnsi="Arial"/>
                <w:sz w:val="16"/>
                <w:szCs w:val="16"/>
                <w:color w:val="auto"/>
              </w:rPr>
              <w:t>Critical Legal</w:t>
            </w:r>
          </w:p>
        </w:tc>
        <w:tc>
          <w:tcPr>
            <w:tcW w:w="1280" w:type="dxa"/>
            <w:vAlign w:val="bottom"/>
          </w:tcPr>
          <w:p>
            <w:pPr>
              <w:jc w:val="center"/>
              <w:ind w:left="120"/>
              <w:spacing w:after="0" w:line="167" w:lineRule="exact"/>
              <w:rPr>
                <w:sz w:val="20"/>
                <w:szCs w:val="20"/>
                <w:color w:val="auto"/>
              </w:rPr>
            </w:pPr>
            <w:r>
              <w:rPr>
                <w:rFonts w:ascii="Arial" w:cs="Arial" w:eastAsia="Arial" w:hAnsi="Arial"/>
                <w:sz w:val="16"/>
                <w:szCs w:val="16"/>
                <w:color w:val="auto"/>
                <w:w w:val="89"/>
              </w:rPr>
              <w:t>8</w:t>
            </w:r>
          </w:p>
        </w:tc>
        <w:tc>
          <w:tcPr>
            <w:tcW w:w="1280" w:type="dxa"/>
            <w:vAlign w:val="bottom"/>
          </w:tcPr>
          <w:p>
            <w:pPr>
              <w:jc w:val="center"/>
              <w:spacing w:after="0" w:line="167" w:lineRule="exact"/>
              <w:rPr>
                <w:sz w:val="20"/>
                <w:szCs w:val="20"/>
                <w:color w:val="auto"/>
              </w:rPr>
            </w:pPr>
            <w:r>
              <w:rPr>
                <w:rFonts w:ascii="Arial" w:cs="Arial" w:eastAsia="Arial" w:hAnsi="Arial"/>
                <w:sz w:val="16"/>
                <w:szCs w:val="16"/>
                <w:color w:val="auto"/>
              </w:rPr>
              <w:t>8</w:t>
            </w:r>
          </w:p>
        </w:tc>
        <w:tc>
          <w:tcPr>
            <w:tcW w:w="1440" w:type="dxa"/>
            <w:vAlign w:val="bottom"/>
          </w:tcPr>
          <w:p>
            <w:pPr>
              <w:jc w:val="center"/>
              <w:spacing w:after="0" w:line="167" w:lineRule="exact"/>
              <w:rPr>
                <w:sz w:val="20"/>
                <w:szCs w:val="20"/>
                <w:color w:val="auto"/>
              </w:rPr>
            </w:pPr>
            <w:r>
              <w:rPr>
                <w:rFonts w:ascii="Arial" w:cs="Arial" w:eastAsia="Arial" w:hAnsi="Arial"/>
                <w:sz w:val="16"/>
                <w:szCs w:val="16"/>
                <w:color w:val="auto"/>
                <w:w w:val="97"/>
              </w:rPr>
              <w:t>100%</w:t>
            </w:r>
          </w:p>
        </w:tc>
      </w:tr>
      <w:tr>
        <w:trPr>
          <w:trHeight w:val="184"/>
        </w:trPr>
        <w:tc>
          <w:tcPr>
            <w:tcW w:w="5760" w:type="dxa"/>
            <w:vAlign w:val="bottom"/>
          </w:tcPr>
          <w:p>
            <w:pPr>
              <w:spacing w:after="0"/>
              <w:rPr>
                <w:sz w:val="16"/>
                <w:szCs w:val="16"/>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Outcomes (10.00%)</w:t>
            </w: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184"/>
        </w:trPr>
        <w:tc>
          <w:tcPr>
            <w:tcW w:w="5760" w:type="dxa"/>
            <w:vAlign w:val="bottom"/>
          </w:tcPr>
          <w:p>
            <w:pPr>
              <w:spacing w:after="0"/>
              <w:rPr>
                <w:sz w:val="16"/>
                <w:szCs w:val="16"/>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Legal Operating and</w:t>
            </w:r>
          </w:p>
        </w:tc>
        <w:tc>
          <w:tcPr>
            <w:tcW w:w="1280" w:type="dxa"/>
            <w:vAlign w:val="bottom"/>
          </w:tcPr>
          <w:p>
            <w:pPr>
              <w:jc w:val="center"/>
              <w:ind w:left="140"/>
              <w:spacing w:after="0"/>
              <w:rPr>
                <w:sz w:val="20"/>
                <w:szCs w:val="20"/>
                <w:color w:val="auto"/>
              </w:rPr>
            </w:pPr>
            <w:r>
              <w:rPr>
                <w:rFonts w:ascii="Arial" w:cs="Arial" w:eastAsia="Arial" w:hAnsi="Arial"/>
                <w:sz w:val="16"/>
                <w:szCs w:val="16"/>
                <w:color w:val="auto"/>
                <w:w w:val="98"/>
              </w:rPr>
              <w:t>Budget</w:t>
            </w:r>
          </w:p>
        </w:tc>
        <w:tc>
          <w:tcPr>
            <w:tcW w:w="1280" w:type="dxa"/>
            <w:vAlign w:val="bottom"/>
          </w:tcPr>
          <w:p>
            <w:pPr>
              <w:jc w:val="center"/>
              <w:spacing w:after="0"/>
              <w:rPr>
                <w:sz w:val="20"/>
                <w:szCs w:val="20"/>
                <w:color w:val="auto"/>
              </w:rPr>
            </w:pPr>
            <w:r>
              <w:rPr>
                <w:rFonts w:ascii="Arial" w:cs="Arial" w:eastAsia="Arial" w:hAnsi="Arial"/>
                <w:sz w:val="16"/>
                <w:szCs w:val="16"/>
                <w:color w:val="auto"/>
                <w:w w:val="99"/>
              </w:rPr>
              <w:t>0.7% Under</w:t>
            </w:r>
          </w:p>
        </w:tc>
        <w:tc>
          <w:tcPr>
            <w:tcW w:w="1440" w:type="dxa"/>
            <w:vAlign w:val="bottom"/>
          </w:tcPr>
          <w:p>
            <w:pPr>
              <w:jc w:val="center"/>
              <w:spacing w:after="0"/>
              <w:rPr>
                <w:sz w:val="20"/>
                <w:szCs w:val="20"/>
                <w:color w:val="auto"/>
              </w:rPr>
            </w:pPr>
            <w:r>
              <w:rPr>
                <w:rFonts w:ascii="Arial" w:cs="Arial" w:eastAsia="Arial" w:hAnsi="Arial"/>
                <w:sz w:val="16"/>
                <w:szCs w:val="16"/>
                <w:color w:val="auto"/>
                <w:w w:val="97"/>
              </w:rPr>
              <w:t>134%</w:t>
            </w:r>
          </w:p>
        </w:tc>
      </w:tr>
      <w:tr>
        <w:trPr>
          <w:trHeight w:val="184"/>
        </w:trPr>
        <w:tc>
          <w:tcPr>
            <w:tcW w:w="5760" w:type="dxa"/>
            <w:vAlign w:val="bottom"/>
          </w:tcPr>
          <w:p>
            <w:pPr>
              <w:spacing w:after="0"/>
              <w:rPr>
                <w:sz w:val="16"/>
                <w:szCs w:val="16"/>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Maintenance Budget</w:t>
            </w:r>
          </w:p>
        </w:tc>
        <w:tc>
          <w:tcPr>
            <w:tcW w:w="1280" w:type="dxa"/>
            <w:vAlign w:val="bottom"/>
          </w:tcPr>
          <w:p>
            <w:pPr>
              <w:spacing w:after="0"/>
              <w:rPr>
                <w:sz w:val="16"/>
                <w:szCs w:val="16"/>
                <w:color w:val="auto"/>
              </w:rPr>
            </w:pPr>
          </w:p>
        </w:tc>
        <w:tc>
          <w:tcPr>
            <w:tcW w:w="1280" w:type="dxa"/>
            <w:vAlign w:val="bottom"/>
          </w:tcPr>
          <w:p>
            <w:pPr>
              <w:jc w:val="center"/>
              <w:spacing w:after="0"/>
              <w:rPr>
                <w:sz w:val="20"/>
                <w:szCs w:val="20"/>
                <w:color w:val="auto"/>
              </w:rPr>
            </w:pPr>
            <w:r>
              <w:rPr>
                <w:rFonts w:ascii="Arial" w:cs="Arial" w:eastAsia="Arial" w:hAnsi="Arial"/>
                <w:sz w:val="16"/>
                <w:szCs w:val="16"/>
                <w:color w:val="auto"/>
                <w:w w:val="98"/>
              </w:rPr>
              <w:t>Budget</w:t>
            </w:r>
          </w:p>
        </w:tc>
        <w:tc>
          <w:tcPr>
            <w:tcW w:w="1440" w:type="dxa"/>
            <w:vAlign w:val="bottom"/>
          </w:tcPr>
          <w:p>
            <w:pPr>
              <w:spacing w:after="0"/>
              <w:rPr>
                <w:sz w:val="16"/>
                <w:szCs w:val="16"/>
                <w:color w:val="auto"/>
              </w:rPr>
            </w:pPr>
          </w:p>
        </w:tc>
      </w:tr>
      <w:tr>
        <w:trPr>
          <w:trHeight w:val="184"/>
        </w:trPr>
        <w:tc>
          <w:tcPr>
            <w:tcW w:w="5760" w:type="dxa"/>
            <w:vAlign w:val="bottom"/>
          </w:tcPr>
          <w:p>
            <w:pPr>
              <w:spacing w:after="0"/>
              <w:rPr>
                <w:sz w:val="16"/>
                <w:szCs w:val="16"/>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(7.50%)</w:t>
            </w:r>
          </w:p>
        </w:tc>
        <w:tc>
          <w:tcPr>
            <w:tcW w:w="128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184"/>
        </w:trPr>
        <w:tc>
          <w:tcPr>
            <w:tcW w:w="5760" w:type="dxa"/>
            <w:vAlign w:val="bottom"/>
          </w:tcPr>
          <w:p>
            <w:pPr>
              <w:spacing w:after="0"/>
              <w:rPr>
                <w:sz w:val="16"/>
                <w:szCs w:val="16"/>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Average of all</w:t>
            </w:r>
          </w:p>
        </w:tc>
        <w:tc>
          <w:tcPr>
            <w:tcW w:w="1280" w:type="dxa"/>
            <w:vAlign w:val="bottom"/>
          </w:tcPr>
          <w:p>
            <w:pPr>
              <w:jc w:val="center"/>
              <w:ind w:left="120"/>
              <w:spacing w:after="0"/>
              <w:rPr>
                <w:sz w:val="20"/>
                <w:szCs w:val="20"/>
                <w:color w:val="auto"/>
              </w:rPr>
            </w:pPr>
            <w:r>
              <w:rPr>
                <w:rFonts w:ascii="Arial" w:cs="Arial" w:eastAsia="Arial" w:hAnsi="Arial"/>
                <w:sz w:val="16"/>
                <w:szCs w:val="16"/>
                <w:color w:val="auto"/>
                <w:w w:val="97"/>
              </w:rPr>
              <w:t>100%</w:t>
            </w:r>
          </w:p>
        </w:tc>
        <w:tc>
          <w:tcPr>
            <w:tcW w:w="1280" w:type="dxa"/>
            <w:vAlign w:val="bottom"/>
          </w:tcPr>
          <w:p>
            <w:pPr>
              <w:jc w:val="center"/>
              <w:spacing w:after="0"/>
              <w:rPr>
                <w:sz w:val="20"/>
                <w:szCs w:val="20"/>
                <w:color w:val="auto"/>
              </w:rPr>
            </w:pPr>
            <w:r>
              <w:rPr>
                <w:rFonts w:ascii="Arial" w:cs="Arial" w:eastAsia="Arial" w:hAnsi="Arial"/>
                <w:sz w:val="16"/>
                <w:szCs w:val="16"/>
                <w:color w:val="auto"/>
              </w:rPr>
              <w:t>153%</w:t>
            </w:r>
          </w:p>
        </w:tc>
        <w:tc>
          <w:tcPr>
            <w:tcW w:w="1440" w:type="dxa"/>
            <w:vAlign w:val="bottom"/>
          </w:tcPr>
          <w:p>
            <w:pPr>
              <w:jc w:val="center"/>
              <w:spacing w:after="0"/>
              <w:rPr>
                <w:sz w:val="20"/>
                <w:szCs w:val="20"/>
                <w:color w:val="auto"/>
              </w:rPr>
            </w:pPr>
            <w:r>
              <w:rPr>
                <w:rFonts w:ascii="Arial" w:cs="Arial" w:eastAsia="Arial" w:hAnsi="Arial"/>
                <w:sz w:val="16"/>
                <w:szCs w:val="16"/>
                <w:color w:val="auto"/>
                <w:w w:val="97"/>
              </w:rPr>
              <w:t>153%</w:t>
            </w:r>
          </w:p>
        </w:tc>
      </w:tr>
      <w:tr>
        <w:trPr>
          <w:trHeight w:val="184"/>
        </w:trPr>
        <w:tc>
          <w:tcPr>
            <w:tcW w:w="5760" w:type="dxa"/>
            <w:vAlign w:val="bottom"/>
          </w:tcPr>
          <w:p>
            <w:pPr>
              <w:spacing w:after="0"/>
              <w:rPr>
                <w:sz w:val="16"/>
                <w:szCs w:val="16"/>
                <w:color w:val="auto"/>
              </w:rPr>
            </w:pPr>
          </w:p>
        </w:tc>
        <w:tc>
          <w:tcPr>
            <w:tcW w:w="2940" w:type="dxa"/>
            <w:vAlign w:val="bottom"/>
            <w:gridSpan w:val="2"/>
          </w:tcPr>
          <w:p>
            <w:pPr>
              <w:ind w:left="100"/>
              <w:spacing w:after="0"/>
              <w:rPr>
                <w:sz w:val="20"/>
                <w:szCs w:val="20"/>
                <w:color w:val="auto"/>
              </w:rPr>
            </w:pPr>
            <w:r>
              <w:rPr>
                <w:rFonts w:ascii="Arial" w:cs="Arial" w:eastAsia="Arial" w:hAnsi="Arial"/>
                <w:sz w:val="16"/>
                <w:szCs w:val="16"/>
                <w:color w:val="auto"/>
              </w:rPr>
              <w:t>Business Units Results</w:t>
            </w:r>
          </w:p>
        </w:tc>
        <w:tc>
          <w:tcPr>
            <w:tcW w:w="1280" w:type="dxa"/>
            <w:vAlign w:val="bottom"/>
          </w:tcPr>
          <w:p>
            <w:pPr>
              <w:spacing w:after="0"/>
              <w:rPr>
                <w:sz w:val="16"/>
                <w:szCs w:val="16"/>
                <w:color w:val="auto"/>
              </w:rPr>
            </w:pPr>
          </w:p>
        </w:tc>
        <w:tc>
          <w:tcPr>
            <w:tcW w:w="1440" w:type="dxa"/>
            <w:vAlign w:val="bottom"/>
          </w:tcPr>
          <w:p>
            <w:pPr>
              <w:spacing w:after="0"/>
              <w:rPr>
                <w:sz w:val="16"/>
                <w:szCs w:val="16"/>
                <w:color w:val="auto"/>
              </w:rPr>
            </w:pPr>
          </w:p>
        </w:tc>
      </w:tr>
      <w:tr>
        <w:trPr>
          <w:trHeight w:val="201"/>
        </w:trPr>
        <w:tc>
          <w:tcPr>
            <w:tcW w:w="5760" w:type="dxa"/>
            <w:vAlign w:val="bottom"/>
          </w:tcPr>
          <w:p>
            <w:pPr>
              <w:spacing w:after="0"/>
              <w:rPr>
                <w:sz w:val="17"/>
                <w:szCs w:val="17"/>
                <w:color w:val="auto"/>
              </w:rPr>
            </w:pPr>
          </w:p>
        </w:tc>
        <w:tc>
          <w:tcPr>
            <w:tcW w:w="1660" w:type="dxa"/>
            <w:vAlign w:val="bottom"/>
          </w:tcPr>
          <w:p>
            <w:pPr>
              <w:ind w:left="100"/>
              <w:spacing w:after="0"/>
              <w:rPr>
                <w:sz w:val="20"/>
                <w:szCs w:val="20"/>
                <w:color w:val="auto"/>
              </w:rPr>
            </w:pPr>
            <w:r>
              <w:rPr>
                <w:rFonts w:ascii="Arial" w:cs="Arial" w:eastAsia="Arial" w:hAnsi="Arial"/>
                <w:sz w:val="16"/>
                <w:szCs w:val="16"/>
                <w:color w:val="auto"/>
              </w:rPr>
              <w:t>(10.00%)</w:t>
            </w:r>
          </w:p>
        </w:tc>
        <w:tc>
          <w:tcPr>
            <w:tcW w:w="12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440" w:type="dxa"/>
            <w:vAlign w:val="bottom"/>
          </w:tcPr>
          <w:p>
            <w:pPr>
              <w:spacing w:after="0"/>
              <w:rPr>
                <w:sz w:val="17"/>
                <w:szCs w:val="17"/>
                <w:color w:val="auto"/>
              </w:rPr>
            </w:pPr>
          </w:p>
        </w:tc>
      </w:tr>
      <w:tr>
        <w:trPr>
          <w:trHeight w:val="167"/>
        </w:trPr>
        <w:tc>
          <w:tcPr>
            <w:tcW w:w="5760" w:type="dxa"/>
            <w:vAlign w:val="bottom"/>
            <w:shd w:val="clear" w:color="auto" w:fill="E3E5EB"/>
          </w:tcPr>
          <w:p>
            <w:pPr>
              <w:spacing w:after="0" w:line="167" w:lineRule="exact"/>
              <w:rPr>
                <w:sz w:val="20"/>
                <w:szCs w:val="20"/>
                <w:color w:val="auto"/>
              </w:rPr>
            </w:pPr>
            <w:r>
              <w:rPr>
                <w:rFonts w:ascii="Arial" w:cs="Arial" w:eastAsia="Arial" w:hAnsi="Arial"/>
                <w:sz w:val="16"/>
                <w:szCs w:val="16"/>
                <w:color w:val="auto"/>
              </w:rPr>
              <w:t>Shareholder Value — 10.00%</w:t>
            </w:r>
          </w:p>
        </w:tc>
        <w:tc>
          <w:tcPr>
            <w:tcW w:w="1660" w:type="dxa"/>
            <w:vAlign w:val="bottom"/>
            <w:shd w:val="clear" w:color="auto" w:fill="E3E5EB"/>
          </w:tcPr>
          <w:p>
            <w:pPr>
              <w:ind w:left="100"/>
              <w:spacing w:after="0" w:line="167" w:lineRule="exact"/>
              <w:rPr>
                <w:sz w:val="20"/>
                <w:szCs w:val="20"/>
                <w:color w:val="auto"/>
              </w:rPr>
            </w:pPr>
            <w:r>
              <w:rPr>
                <w:rFonts w:ascii="Arial" w:cs="Arial" w:eastAsia="Arial" w:hAnsi="Arial"/>
                <w:sz w:val="16"/>
                <w:szCs w:val="16"/>
                <w:color w:val="auto"/>
              </w:rPr>
              <w:t>Total Corporate</w:t>
            </w:r>
          </w:p>
        </w:tc>
        <w:tc>
          <w:tcPr>
            <w:tcW w:w="1280" w:type="dxa"/>
            <w:vAlign w:val="bottom"/>
            <w:shd w:val="clear" w:color="auto" w:fill="E3E5EB"/>
          </w:tcPr>
          <w:p>
            <w:pPr>
              <w:jc w:val="center"/>
              <w:ind w:left="140"/>
              <w:spacing w:after="0" w:line="167" w:lineRule="exact"/>
              <w:rPr>
                <w:sz w:val="20"/>
                <w:szCs w:val="20"/>
                <w:color w:val="auto"/>
              </w:rPr>
            </w:pPr>
            <w:r>
              <w:rPr>
                <w:rFonts w:ascii="Arial" w:cs="Arial" w:eastAsia="Arial" w:hAnsi="Arial"/>
                <w:sz w:val="16"/>
                <w:szCs w:val="16"/>
                <w:color w:val="auto"/>
                <w:w w:val="98"/>
              </w:rPr>
              <w:t>Budget</w:t>
            </w:r>
          </w:p>
        </w:tc>
        <w:tc>
          <w:tcPr>
            <w:tcW w:w="128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9"/>
              </w:rPr>
              <w:t>4.5% Under</w:t>
            </w:r>
          </w:p>
        </w:tc>
        <w:tc>
          <w:tcPr>
            <w:tcW w:w="14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184"/>
        </w:trPr>
        <w:tc>
          <w:tcPr>
            <w:tcW w:w="5760" w:type="dxa"/>
            <w:vAlign w:val="bottom"/>
            <w:shd w:val="clear" w:color="auto" w:fill="E3E5EB"/>
          </w:tcPr>
          <w:p>
            <w:pPr>
              <w:spacing w:after="0"/>
              <w:rPr>
                <w:sz w:val="16"/>
                <w:szCs w:val="16"/>
                <w:color w:val="auto"/>
              </w:rPr>
            </w:pPr>
          </w:p>
        </w:tc>
        <w:tc>
          <w:tcPr>
            <w:tcW w:w="16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Resources Operating</w:t>
            </w:r>
          </w:p>
        </w:tc>
        <w:tc>
          <w:tcPr>
            <w:tcW w:w="1280" w:type="dxa"/>
            <w:vAlign w:val="bottom"/>
            <w:shd w:val="clear" w:color="auto" w:fill="E3E5EB"/>
          </w:tcPr>
          <w:p>
            <w:pPr>
              <w:spacing w:after="0"/>
              <w:rPr>
                <w:sz w:val="16"/>
                <w:szCs w:val="16"/>
                <w:color w:val="auto"/>
              </w:rPr>
            </w:pPr>
          </w:p>
        </w:tc>
        <w:tc>
          <w:tcPr>
            <w:tcW w:w="128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Budget</w:t>
            </w:r>
          </w:p>
        </w:tc>
        <w:tc>
          <w:tcPr>
            <w:tcW w:w="1440" w:type="dxa"/>
            <w:vAlign w:val="bottom"/>
            <w:shd w:val="clear" w:color="auto" w:fill="E3E5EB"/>
          </w:tcPr>
          <w:p>
            <w:pPr>
              <w:spacing w:after="0"/>
              <w:rPr>
                <w:sz w:val="16"/>
                <w:szCs w:val="16"/>
                <w:color w:val="auto"/>
              </w:rPr>
            </w:pPr>
          </w:p>
        </w:tc>
      </w:tr>
      <w:tr>
        <w:trPr>
          <w:trHeight w:val="184"/>
        </w:trPr>
        <w:tc>
          <w:tcPr>
            <w:tcW w:w="5760" w:type="dxa"/>
            <w:vAlign w:val="bottom"/>
            <w:shd w:val="clear" w:color="auto" w:fill="E3E5EB"/>
          </w:tcPr>
          <w:p>
            <w:pPr>
              <w:spacing w:after="0"/>
              <w:rPr>
                <w:sz w:val="16"/>
                <w:szCs w:val="16"/>
                <w:color w:val="auto"/>
              </w:rPr>
            </w:pPr>
          </w:p>
        </w:tc>
        <w:tc>
          <w:tcPr>
            <w:tcW w:w="16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and Maintenance</w:t>
            </w:r>
          </w:p>
        </w:tc>
        <w:tc>
          <w:tcPr>
            <w:tcW w:w="1280" w:type="dxa"/>
            <w:vAlign w:val="bottom"/>
            <w:shd w:val="clear" w:color="auto" w:fill="E3E5EB"/>
          </w:tcPr>
          <w:p>
            <w:pPr>
              <w:spacing w:after="0"/>
              <w:rPr>
                <w:sz w:val="16"/>
                <w:szCs w:val="16"/>
                <w:color w:val="auto"/>
              </w:rPr>
            </w:pPr>
          </w:p>
        </w:tc>
        <w:tc>
          <w:tcPr>
            <w:tcW w:w="128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r>
      <w:tr>
        <w:trPr>
          <w:trHeight w:val="201"/>
        </w:trPr>
        <w:tc>
          <w:tcPr>
            <w:tcW w:w="5760" w:type="dxa"/>
            <w:vAlign w:val="bottom"/>
            <w:shd w:val="clear" w:color="auto" w:fill="E3E5EB"/>
          </w:tcPr>
          <w:p>
            <w:pPr>
              <w:spacing w:after="0"/>
              <w:rPr>
                <w:sz w:val="17"/>
                <w:szCs w:val="17"/>
                <w:color w:val="auto"/>
              </w:rPr>
            </w:pPr>
          </w:p>
        </w:tc>
        <w:tc>
          <w:tcPr>
            <w:tcW w:w="16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Budget (10.00%)</w:t>
            </w:r>
          </w:p>
        </w:tc>
        <w:tc>
          <w:tcPr>
            <w:tcW w:w="1280" w:type="dxa"/>
            <w:vAlign w:val="bottom"/>
            <w:shd w:val="clear" w:color="auto" w:fill="E3E5EB"/>
          </w:tcPr>
          <w:p>
            <w:pPr>
              <w:spacing w:after="0"/>
              <w:rPr>
                <w:sz w:val="17"/>
                <w:szCs w:val="17"/>
                <w:color w:val="auto"/>
              </w:rPr>
            </w:pPr>
          </w:p>
        </w:tc>
        <w:tc>
          <w:tcPr>
            <w:tcW w:w="128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r>
      <w:tr>
        <w:trPr>
          <w:trHeight w:val="184"/>
        </w:trPr>
        <w:tc>
          <w:tcPr>
            <w:tcW w:w="5760" w:type="dxa"/>
            <w:vAlign w:val="bottom"/>
            <w:tcBorders>
              <w:bottom w:val="single" w:sz="8" w:color="888992"/>
            </w:tcBorders>
          </w:tcPr>
          <w:p>
            <w:pPr>
              <w:spacing w:after="0"/>
              <w:rPr>
                <w:sz w:val="16"/>
                <w:szCs w:val="16"/>
                <w:color w:val="auto"/>
              </w:rPr>
            </w:pPr>
          </w:p>
        </w:tc>
        <w:tc>
          <w:tcPr>
            <w:tcW w:w="1660" w:type="dxa"/>
            <w:vAlign w:val="bottom"/>
            <w:tcBorders>
              <w:bottom w:val="single" w:sz="8" w:color="888992"/>
            </w:tcBorders>
          </w:tcPr>
          <w:p>
            <w:pPr>
              <w:spacing w:after="0"/>
              <w:rPr>
                <w:sz w:val="16"/>
                <w:szCs w:val="16"/>
                <w:color w:val="auto"/>
              </w:rPr>
            </w:pPr>
          </w:p>
        </w:tc>
        <w:tc>
          <w:tcPr>
            <w:tcW w:w="2560" w:type="dxa"/>
            <w:vAlign w:val="bottom"/>
            <w:tcBorders>
              <w:bottom w:val="single" w:sz="8" w:color="888992"/>
            </w:tcBorders>
            <w:gridSpan w:val="2"/>
          </w:tcPr>
          <w:p>
            <w:pPr>
              <w:ind w:left="180"/>
              <w:spacing w:after="0"/>
              <w:rPr>
                <w:sz w:val="20"/>
                <w:szCs w:val="20"/>
                <w:color w:val="auto"/>
              </w:rPr>
            </w:pPr>
            <w:r>
              <w:rPr>
                <w:rFonts w:ascii="Arial" w:cs="Arial" w:eastAsia="Arial" w:hAnsi="Arial"/>
                <w:sz w:val="16"/>
                <w:szCs w:val="16"/>
                <w:b w:val="1"/>
                <w:bCs w:val="1"/>
                <w:color w:val="auto"/>
              </w:rPr>
              <w:t>Overall Falck Incentive Result</w:t>
            </w:r>
          </w:p>
        </w:tc>
        <w:tc>
          <w:tcPr>
            <w:tcW w:w="14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auto"/>
                <w:w w:val="97"/>
              </w:rPr>
              <w:t>148%</w:t>
            </w:r>
          </w:p>
        </w:tc>
      </w:tr>
      <w:tr>
        <w:trPr>
          <w:trHeight w:val="543"/>
        </w:trPr>
        <w:tc>
          <w:tcPr>
            <w:tcW w:w="576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2560" w:type="dxa"/>
            <w:vAlign w:val="bottom"/>
            <w:gridSpan w:val="2"/>
          </w:tcPr>
          <w:p>
            <w:pPr>
              <w:ind w:left="6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1440" w:type="dxa"/>
            <w:vAlign w:val="bottom"/>
          </w:tcPr>
          <w:p>
            <w:pPr>
              <w:jc w:val="right"/>
              <w:spacing w:after="0"/>
              <w:rPr>
                <w:sz w:val="20"/>
                <w:szCs w:val="20"/>
                <w:color w:val="auto"/>
              </w:rPr>
            </w:pPr>
            <w:r>
              <w:rPr>
                <w:rFonts w:ascii="Arial" w:cs="Arial" w:eastAsia="Arial" w:hAnsi="Arial"/>
                <w:sz w:val="16"/>
                <w:szCs w:val="16"/>
                <w:b w:val="1"/>
                <w:bCs w:val="1"/>
                <w:color w:val="auto"/>
              </w:rPr>
              <w:t>53</w:t>
            </w:r>
          </w:p>
        </w:tc>
      </w:tr>
      <w:tr>
        <w:trPr>
          <w:trHeight w:val="157"/>
        </w:trPr>
        <w:tc>
          <w:tcPr>
            <w:tcW w:w="5760" w:type="dxa"/>
            <w:vAlign w:val="bottom"/>
            <w:tcBorders>
              <w:bottom w:val="single" w:sz="8" w:color="808080"/>
            </w:tcBorders>
          </w:tcPr>
          <w:p>
            <w:pPr>
              <w:spacing w:after="0"/>
              <w:rPr>
                <w:sz w:val="13"/>
                <w:szCs w:val="13"/>
                <w:color w:val="auto"/>
              </w:rPr>
            </w:pPr>
          </w:p>
        </w:tc>
        <w:tc>
          <w:tcPr>
            <w:tcW w:w="1660" w:type="dxa"/>
            <w:vAlign w:val="bottom"/>
            <w:tcBorders>
              <w:bottom w:val="single" w:sz="8" w:color="808080"/>
            </w:tcBorders>
          </w:tcPr>
          <w:p>
            <w:pPr>
              <w:spacing w:after="0"/>
              <w:rPr>
                <w:sz w:val="13"/>
                <w:szCs w:val="13"/>
                <w:color w:val="auto"/>
              </w:rPr>
            </w:pPr>
          </w:p>
        </w:tc>
        <w:tc>
          <w:tcPr>
            <w:tcW w:w="1280" w:type="dxa"/>
            <w:vAlign w:val="bottom"/>
            <w:tcBorders>
              <w:bottom w:val="single" w:sz="8" w:color="808080"/>
            </w:tcBorders>
          </w:tcPr>
          <w:p>
            <w:pPr>
              <w:spacing w:after="0"/>
              <w:rPr>
                <w:sz w:val="13"/>
                <w:szCs w:val="13"/>
                <w:color w:val="auto"/>
              </w:rPr>
            </w:pPr>
          </w:p>
        </w:tc>
        <w:tc>
          <w:tcPr>
            <w:tcW w:w="1280" w:type="dxa"/>
            <w:vAlign w:val="bottom"/>
            <w:tcBorders>
              <w:bottom w:val="single" w:sz="8" w:color="808080"/>
            </w:tcBorders>
          </w:tcPr>
          <w:p>
            <w:pPr>
              <w:spacing w:after="0"/>
              <w:rPr>
                <w:sz w:val="13"/>
                <w:szCs w:val="13"/>
                <w:color w:val="auto"/>
              </w:rPr>
            </w:pPr>
          </w:p>
        </w:tc>
        <w:tc>
          <w:tcPr>
            <w:tcW w:w="1440" w:type="dxa"/>
            <w:vAlign w:val="bottom"/>
            <w:tcBorders>
              <w:bottom w:val="single" w:sz="8" w:color="808080"/>
            </w:tcBorders>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6190615</wp:posOffset>
            </wp:positionH>
            <wp:positionV relativeFrom="paragraph">
              <wp:posOffset>-281940</wp:posOffset>
            </wp:positionV>
            <wp:extent cx="841375" cy="16383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type w:val="continuous"/>
        </w:sectPr>
      </w:pPr>
    </w:p>
    <w:bookmarkStart w:id="62" w:name="page63"/>
    <w:bookmarkEnd w:id="62"/>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137795</wp:posOffset>
            </wp:positionV>
            <wp:extent cx="1487805" cy="15557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560"/>
        <w:spacing w:after="0"/>
        <w:rPr>
          <w:sz w:val="20"/>
          <w:szCs w:val="20"/>
          <w:color w:val="auto"/>
        </w:rPr>
      </w:pPr>
      <w:r>
        <w:rPr>
          <w:rFonts w:ascii="Arial" w:cs="Arial" w:eastAsia="Arial" w:hAnsi="Arial"/>
          <w:sz w:val="13"/>
          <w:szCs w:val="13"/>
          <w:b w:val="1"/>
          <w:bCs w:val="1"/>
          <w:color w:val="FFFFFE"/>
        </w:rPr>
        <w:t>EXECUTIVE COMPENSATION</w:t>
      </w:r>
    </w:p>
    <w:p>
      <w:pPr>
        <w:spacing w:after="0" w:line="92" w:lineRule="exact"/>
        <w:rPr>
          <w:sz w:val="20"/>
          <w:szCs w:val="20"/>
          <w:color w:val="auto"/>
        </w:rPr>
      </w:pPr>
    </w:p>
    <w:p>
      <w:pPr>
        <w:spacing w:after="0"/>
        <w:rPr>
          <w:sz w:val="20"/>
          <w:szCs w:val="20"/>
          <w:color w:val="auto"/>
        </w:rPr>
      </w:pPr>
      <w:r>
        <w:rPr>
          <w:rFonts w:ascii="Arial" w:cs="Arial" w:eastAsia="Arial" w:hAnsi="Arial"/>
          <w:sz w:val="20"/>
          <w:szCs w:val="20"/>
          <w:color w:val="auto"/>
        </w:rPr>
        <w:t>Mr. Edington's business unit performance metrics (50% of the overall opportunity) were as follows:</w:t>
      </w:r>
    </w:p>
    <w:p>
      <w:pPr>
        <w:spacing w:after="0" w:line="200" w:lineRule="exact"/>
        <w:rPr>
          <w:sz w:val="20"/>
          <w:szCs w:val="20"/>
          <w:color w:val="auto"/>
        </w:rPr>
      </w:pPr>
    </w:p>
    <w:p>
      <w:pPr>
        <w:spacing w:after="0" w:line="341" w:lineRule="exact"/>
        <w:rPr>
          <w:sz w:val="20"/>
          <w:szCs w:val="20"/>
          <w:color w:val="auto"/>
        </w:rPr>
      </w:pPr>
    </w:p>
    <w:tbl>
      <w:tblPr>
        <w:tblLayout w:type="fixed"/>
        <w:tblInd w:w="100" w:type="dxa"/>
        <w:tblCellMar>
          <w:top w:w="0" w:type="dxa"/>
          <w:left w:w="0" w:type="dxa"/>
          <w:bottom w:w="0" w:type="dxa"/>
          <w:right w:w="0" w:type="dxa"/>
        </w:tblCellMar>
      </w:tblP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1560" w:type="dxa"/>
            <w:vAlign w:val="bottom"/>
          </w:tcPr>
          <w:p>
            <w:pPr>
              <w:jc w:val="center"/>
              <w:spacing w:after="0"/>
              <w:rPr>
                <w:sz w:val="20"/>
                <w:szCs w:val="20"/>
                <w:color w:val="auto"/>
              </w:rPr>
            </w:pPr>
            <w:r>
              <w:rPr>
                <w:rFonts w:ascii="Arial" w:cs="Arial" w:eastAsia="Arial" w:hAnsi="Arial"/>
                <w:sz w:val="16"/>
                <w:szCs w:val="16"/>
                <w:b w:val="1"/>
                <w:bCs w:val="1"/>
                <w:color w:val="3A5575"/>
                <w:w w:val="98"/>
              </w:rPr>
              <w:t>% OF TARGET</w:t>
            </w:r>
          </w:p>
        </w:tc>
        <w:tc>
          <w:tcPr>
            <w:tcW w:w="0" w:type="dxa"/>
            <w:vAlign w:val="bottom"/>
          </w:tcPr>
          <w:p>
            <w:pPr>
              <w:spacing w:after="0"/>
              <w:rPr>
                <w:sz w:val="1"/>
                <w:szCs w:val="1"/>
                <w:color w:val="auto"/>
              </w:rPr>
            </w:pPr>
          </w:p>
        </w:tc>
      </w:tr>
      <w:tr>
        <w:trPr>
          <w:trHeight w:val="184"/>
        </w:trPr>
        <w:tc>
          <w:tcPr>
            <w:tcW w:w="2120" w:type="dxa"/>
            <w:vAlign w:val="bottom"/>
          </w:tcPr>
          <w:p>
            <w:pPr>
              <w:spacing w:after="0"/>
              <w:rPr>
                <w:sz w:val="20"/>
                <w:szCs w:val="20"/>
                <w:color w:val="auto"/>
              </w:rPr>
            </w:pPr>
            <w:r>
              <w:rPr>
                <w:rFonts w:ascii="Arial" w:cs="Arial" w:eastAsia="Arial" w:hAnsi="Arial"/>
                <w:sz w:val="16"/>
                <w:szCs w:val="16"/>
                <w:b w:val="1"/>
                <w:bCs w:val="1"/>
                <w:color w:val="3A5575"/>
              </w:rPr>
              <w:t>PALO VERDE</w:t>
            </w: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1700" w:type="dxa"/>
            <w:vAlign w:val="bottom"/>
          </w:tcPr>
          <w:p>
            <w:pPr>
              <w:jc w:val="center"/>
              <w:spacing w:after="0"/>
              <w:rPr>
                <w:sz w:val="20"/>
                <w:szCs w:val="20"/>
                <w:color w:val="auto"/>
              </w:rPr>
            </w:pPr>
            <w:r>
              <w:rPr>
                <w:rFonts w:ascii="Arial" w:cs="Arial" w:eastAsia="Arial" w:hAnsi="Arial"/>
                <w:sz w:val="16"/>
                <w:szCs w:val="16"/>
                <w:b w:val="1"/>
                <w:bCs w:val="1"/>
                <w:color w:val="3A5575"/>
              </w:rPr>
              <w:t>ACTUAL</w:t>
            </w:r>
          </w:p>
        </w:tc>
        <w:tc>
          <w:tcPr>
            <w:tcW w:w="1560" w:type="dxa"/>
            <w:vAlign w:val="bottom"/>
          </w:tcPr>
          <w:p>
            <w:pPr>
              <w:jc w:val="center"/>
              <w:spacing w:after="0"/>
              <w:rPr>
                <w:sz w:val="20"/>
                <w:szCs w:val="20"/>
                <w:color w:val="auto"/>
              </w:rPr>
            </w:pPr>
            <w:r>
              <w:rPr>
                <w:rFonts w:ascii="Arial" w:cs="Arial" w:eastAsia="Arial" w:hAnsi="Arial"/>
                <w:sz w:val="16"/>
                <w:szCs w:val="16"/>
                <w:b w:val="1"/>
                <w:bCs w:val="1"/>
                <w:color w:val="3A5575"/>
                <w:w w:val="98"/>
              </w:rPr>
              <w:t>PERFORMANCE</w:t>
            </w:r>
          </w:p>
        </w:tc>
        <w:tc>
          <w:tcPr>
            <w:tcW w:w="0" w:type="dxa"/>
            <w:vAlign w:val="bottom"/>
          </w:tcPr>
          <w:p>
            <w:pPr>
              <w:spacing w:after="0"/>
              <w:rPr>
                <w:sz w:val="1"/>
                <w:szCs w:val="1"/>
                <w:color w:val="auto"/>
              </w:rPr>
            </w:pPr>
          </w:p>
        </w:tc>
      </w:tr>
      <w:tr>
        <w:trPr>
          <w:trHeight w:val="203"/>
        </w:trPr>
        <w:tc>
          <w:tcPr>
            <w:tcW w:w="3560" w:type="dxa"/>
            <w:vAlign w:val="bottom"/>
            <w:tcBorders>
              <w:bottom w:val="single" w:sz="8" w:color="888992"/>
            </w:tcBorders>
            <w:gridSpan w:val="3"/>
          </w:tcPr>
          <w:p>
            <w:pPr>
              <w:spacing w:after="0"/>
              <w:rPr>
                <w:sz w:val="20"/>
                <w:szCs w:val="20"/>
                <w:color w:val="auto"/>
              </w:rPr>
            </w:pPr>
            <w:r>
              <w:rPr>
                <w:rFonts w:ascii="Arial" w:cs="Arial" w:eastAsia="Arial" w:hAnsi="Arial"/>
                <w:sz w:val="16"/>
                <w:szCs w:val="16"/>
                <w:b w:val="1"/>
                <w:bCs w:val="1"/>
                <w:color w:val="3A5575"/>
                <w:w w:val="99"/>
              </w:rPr>
              <w:t>PERFORMANCE MEASURES AND WEIGHTING</w:t>
            </w:r>
          </w:p>
        </w:tc>
        <w:tc>
          <w:tcPr>
            <w:tcW w:w="2900" w:type="dxa"/>
            <w:vAlign w:val="bottom"/>
            <w:tcBorders>
              <w:bottom w:val="single" w:sz="8" w:color="888992"/>
            </w:tcBorders>
          </w:tcPr>
          <w:p>
            <w:pPr>
              <w:ind w:left="1140"/>
              <w:spacing w:after="0"/>
              <w:rPr>
                <w:sz w:val="20"/>
                <w:szCs w:val="20"/>
                <w:color w:val="auto"/>
              </w:rPr>
            </w:pPr>
            <w:r>
              <w:rPr>
                <w:rFonts w:ascii="Arial" w:cs="Arial" w:eastAsia="Arial" w:hAnsi="Arial"/>
                <w:sz w:val="16"/>
                <w:szCs w:val="16"/>
                <w:b w:val="1"/>
                <w:bCs w:val="1"/>
                <w:color w:val="3A5575"/>
              </w:rPr>
              <w:t>MEASURE</w:t>
            </w:r>
          </w:p>
        </w:tc>
        <w:tc>
          <w:tcPr>
            <w:tcW w:w="1700" w:type="dxa"/>
            <w:vAlign w:val="bottom"/>
            <w:tcBorders>
              <w:bottom w:val="single" w:sz="8" w:color="888992"/>
            </w:tcBorders>
          </w:tcPr>
          <w:p>
            <w:pPr>
              <w:jc w:val="center"/>
              <w:ind w:left="20"/>
              <w:spacing w:after="0"/>
              <w:rPr>
                <w:sz w:val="20"/>
                <w:szCs w:val="20"/>
                <w:color w:val="auto"/>
              </w:rPr>
            </w:pPr>
            <w:r>
              <w:rPr>
                <w:rFonts w:ascii="Arial" w:cs="Arial" w:eastAsia="Arial" w:hAnsi="Arial"/>
                <w:sz w:val="16"/>
                <w:szCs w:val="16"/>
                <w:b w:val="1"/>
                <w:bCs w:val="1"/>
                <w:color w:val="3A5575"/>
                <w:w w:val="97"/>
              </w:rPr>
              <w:t>TARGET</w:t>
            </w:r>
          </w:p>
        </w:tc>
        <w:tc>
          <w:tcPr>
            <w:tcW w:w="170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9"/>
              </w:rPr>
              <w:t>RESULTS</w:t>
            </w:r>
          </w:p>
        </w:tc>
        <w:tc>
          <w:tcPr>
            <w:tcW w:w="156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9"/>
              </w:rPr>
              <w:t>ACHIEVED</w:t>
            </w:r>
          </w:p>
        </w:tc>
        <w:tc>
          <w:tcPr>
            <w:tcW w:w="0" w:type="dxa"/>
            <w:vAlign w:val="bottom"/>
          </w:tcPr>
          <w:p>
            <w:pPr>
              <w:spacing w:after="0"/>
              <w:rPr>
                <w:sz w:val="1"/>
                <w:szCs w:val="1"/>
                <w:color w:val="auto"/>
              </w:rPr>
            </w:pPr>
          </w:p>
        </w:tc>
      </w:tr>
      <w:tr>
        <w:trPr>
          <w:trHeight w:val="176"/>
        </w:trPr>
        <w:tc>
          <w:tcPr>
            <w:tcW w:w="212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Employees — 11.25%</w:t>
            </w:r>
          </w:p>
        </w:tc>
        <w:tc>
          <w:tcPr>
            <w:tcW w:w="300" w:type="dxa"/>
            <w:vAlign w:val="bottom"/>
            <w:shd w:val="clear" w:color="auto" w:fill="E3E5EB"/>
          </w:tcPr>
          <w:p>
            <w:pPr>
              <w:spacing w:after="0"/>
              <w:rPr>
                <w:sz w:val="15"/>
                <w:szCs w:val="15"/>
                <w:color w:val="auto"/>
              </w:rPr>
            </w:pPr>
          </w:p>
        </w:tc>
        <w:tc>
          <w:tcPr>
            <w:tcW w:w="1140" w:type="dxa"/>
            <w:vAlign w:val="bottom"/>
            <w:shd w:val="clear" w:color="auto" w:fill="E3E5EB"/>
          </w:tcPr>
          <w:p>
            <w:pPr>
              <w:spacing w:after="0"/>
              <w:rPr>
                <w:sz w:val="15"/>
                <w:szCs w:val="15"/>
                <w:color w:val="auto"/>
              </w:rPr>
            </w:pPr>
          </w:p>
        </w:tc>
        <w:tc>
          <w:tcPr>
            <w:tcW w:w="2900" w:type="dxa"/>
            <w:vAlign w:val="bottom"/>
            <w:shd w:val="clear" w:color="auto" w:fill="E3E5EB"/>
          </w:tcPr>
          <w:p>
            <w:pPr>
              <w:ind w:left="180"/>
              <w:spacing w:after="0" w:line="176" w:lineRule="exact"/>
              <w:rPr>
                <w:sz w:val="20"/>
                <w:szCs w:val="20"/>
                <w:color w:val="auto"/>
              </w:rPr>
            </w:pPr>
            <w:r>
              <w:rPr>
                <w:rFonts w:ascii="Arial" w:cs="Arial" w:eastAsia="Arial" w:hAnsi="Arial"/>
                <w:sz w:val="16"/>
                <w:szCs w:val="16"/>
                <w:color w:val="auto"/>
              </w:rPr>
              <w:t>Reactivity Management (2.00%)</w:t>
            </w:r>
          </w:p>
        </w:tc>
        <w:tc>
          <w:tcPr>
            <w:tcW w:w="1700" w:type="dxa"/>
            <w:vAlign w:val="bottom"/>
            <w:shd w:val="clear" w:color="auto" w:fill="E3E5EB"/>
          </w:tcPr>
          <w:p>
            <w:pPr>
              <w:jc w:val="center"/>
              <w:ind w:left="40"/>
              <w:spacing w:after="0" w:line="176" w:lineRule="exact"/>
              <w:rPr>
                <w:sz w:val="20"/>
                <w:szCs w:val="20"/>
                <w:color w:val="auto"/>
              </w:rPr>
            </w:pPr>
            <w:r>
              <w:rPr>
                <w:rFonts w:ascii="Arial" w:cs="Arial" w:eastAsia="Arial" w:hAnsi="Arial"/>
                <w:sz w:val="16"/>
                <w:szCs w:val="16"/>
                <w:color w:val="auto"/>
              </w:rPr>
              <w:t>95</w:t>
            </w:r>
          </w:p>
        </w:tc>
        <w:tc>
          <w:tcPr>
            <w:tcW w:w="17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96</w:t>
            </w:r>
          </w:p>
        </w:tc>
        <w:tc>
          <w:tcPr>
            <w:tcW w:w="156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7"/>
              </w:rPr>
              <w:t>150%</w:t>
            </w:r>
          </w:p>
        </w:tc>
        <w:tc>
          <w:tcPr>
            <w:tcW w:w="0" w:type="dxa"/>
            <w:vAlign w:val="bottom"/>
          </w:tcPr>
          <w:p>
            <w:pPr>
              <w:spacing w:after="0"/>
              <w:rPr>
                <w:sz w:val="1"/>
                <w:szCs w:val="1"/>
                <w:color w:val="auto"/>
              </w:rPr>
            </w:pPr>
          </w:p>
        </w:tc>
      </w:tr>
      <w:tr>
        <w:trPr>
          <w:trHeight w:val="184"/>
        </w:trPr>
        <w:tc>
          <w:tcPr>
            <w:tcW w:w="2120" w:type="dxa"/>
            <w:vAlign w:val="bottom"/>
            <w:shd w:val="clear" w:color="auto" w:fill="E3E5EB"/>
          </w:tcPr>
          <w:p>
            <w:pPr>
              <w:spacing w:after="0"/>
              <w:rPr>
                <w:sz w:val="16"/>
                <w:szCs w:val="16"/>
                <w:color w:val="auto"/>
              </w:rPr>
            </w:pPr>
          </w:p>
        </w:tc>
        <w:tc>
          <w:tcPr>
            <w:tcW w:w="300" w:type="dxa"/>
            <w:vAlign w:val="bottom"/>
            <w:shd w:val="clear" w:color="auto" w:fill="E3E5EB"/>
          </w:tcPr>
          <w:p>
            <w:pPr>
              <w:spacing w:after="0"/>
              <w:rPr>
                <w:sz w:val="16"/>
                <w:szCs w:val="16"/>
                <w:color w:val="auto"/>
              </w:rPr>
            </w:pPr>
          </w:p>
        </w:tc>
        <w:tc>
          <w:tcPr>
            <w:tcW w:w="1140" w:type="dxa"/>
            <w:vAlign w:val="bottom"/>
            <w:shd w:val="clear" w:color="auto" w:fill="E3E5EB"/>
          </w:tcPr>
          <w:p>
            <w:pPr>
              <w:spacing w:after="0"/>
              <w:rPr>
                <w:sz w:val="16"/>
                <w:szCs w:val="16"/>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Site Safety (5.00%)</w:t>
            </w:r>
          </w:p>
        </w:tc>
        <w:tc>
          <w:tcPr>
            <w:tcW w:w="170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8"/>
              </w:rPr>
              <w:t>10 G/W; No Red</w:t>
            </w:r>
          </w:p>
        </w:tc>
        <w:tc>
          <w:tcPr>
            <w:tcW w:w="17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12 Green</w:t>
            </w:r>
          </w:p>
        </w:tc>
        <w:tc>
          <w:tcPr>
            <w:tcW w:w="1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96"/>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INPO Recordable Rate (2.50%)</w:t>
            </w:r>
          </w:p>
        </w:tc>
        <w:tc>
          <w:tcPr>
            <w:tcW w:w="1700" w:type="dxa"/>
            <w:vAlign w:val="bottom"/>
            <w:shd w:val="clear" w:color="auto" w:fill="E3E5EB"/>
          </w:tcPr>
          <w:p>
            <w:pPr>
              <w:jc w:val="center"/>
              <w:ind w:left="20"/>
              <w:spacing w:after="0"/>
              <w:rPr>
                <w:sz w:val="20"/>
                <w:szCs w:val="20"/>
                <w:color w:val="auto"/>
              </w:rPr>
            </w:pPr>
            <w:r>
              <w:rPr>
                <w:rFonts w:ascii="Times New Roman" w:cs="Times New Roman" w:eastAsia="Times New Roman" w:hAnsi="Times New Roman"/>
                <w:sz w:val="16"/>
                <w:szCs w:val="16"/>
                <w:color w:val="auto"/>
                <w:w w:val="99"/>
              </w:rPr>
              <w:t xml:space="preserve">£ </w:t>
            </w:r>
            <w:r>
              <w:rPr>
                <w:rFonts w:ascii="Arial" w:cs="Arial" w:eastAsia="Arial" w:hAnsi="Arial"/>
                <w:sz w:val="16"/>
                <w:szCs w:val="16"/>
                <w:color w:val="auto"/>
                <w:w w:val="99"/>
              </w:rPr>
              <w:t>0.110</w:t>
            </w:r>
          </w:p>
        </w:tc>
        <w:tc>
          <w:tcPr>
            <w:tcW w:w="17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0.210</w:t>
            </w:r>
          </w:p>
        </w:tc>
        <w:tc>
          <w:tcPr>
            <w:tcW w:w="156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67"/>
        </w:trPr>
        <w:tc>
          <w:tcPr>
            <w:tcW w:w="2120" w:type="dxa"/>
            <w:vAlign w:val="bottom"/>
            <w:shd w:val="clear" w:color="auto" w:fill="E3E5EB"/>
          </w:tcPr>
          <w:p>
            <w:pPr>
              <w:spacing w:after="0"/>
              <w:rPr>
                <w:sz w:val="14"/>
                <w:szCs w:val="14"/>
                <w:color w:val="auto"/>
              </w:rPr>
            </w:pPr>
          </w:p>
        </w:tc>
        <w:tc>
          <w:tcPr>
            <w:tcW w:w="30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290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Collective Radiation Exposure</w:t>
            </w:r>
          </w:p>
        </w:tc>
        <w:tc>
          <w:tcPr>
            <w:tcW w:w="170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rPr>
              <w:t>75</w:t>
            </w:r>
          </w:p>
        </w:tc>
        <w:tc>
          <w:tcPr>
            <w:tcW w:w="17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6"/>
              </w:rPr>
              <w:t>57.9</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201"/>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(1.75%)</w:t>
            </w:r>
          </w:p>
        </w:tc>
        <w:tc>
          <w:tcPr>
            <w:tcW w:w="1700" w:type="dxa"/>
            <w:vAlign w:val="bottom"/>
            <w:shd w:val="clear" w:color="auto" w:fill="E3E5EB"/>
          </w:tcPr>
          <w:p>
            <w:pPr>
              <w:spacing w:after="0"/>
              <w:rPr>
                <w:sz w:val="17"/>
                <w:szCs w:val="17"/>
                <w:color w:val="auto"/>
              </w:rPr>
            </w:pPr>
          </w:p>
        </w:tc>
        <w:tc>
          <w:tcPr>
            <w:tcW w:w="1700" w:type="dxa"/>
            <w:vAlign w:val="bottom"/>
            <w:shd w:val="clear" w:color="auto" w:fill="E3E5EB"/>
          </w:tcPr>
          <w:p>
            <w:pPr>
              <w:spacing w:after="0"/>
              <w:rPr>
                <w:sz w:val="17"/>
                <w:szCs w:val="17"/>
                <w:color w:val="auto"/>
              </w:rPr>
            </w:pPr>
          </w:p>
        </w:tc>
        <w:tc>
          <w:tcPr>
            <w:tcW w:w="156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2420" w:type="dxa"/>
            <w:vAlign w:val="bottom"/>
            <w:gridSpan w:val="2"/>
          </w:tcPr>
          <w:p>
            <w:pPr>
              <w:spacing w:after="0" w:line="167" w:lineRule="exact"/>
              <w:rPr>
                <w:sz w:val="20"/>
                <w:szCs w:val="20"/>
                <w:color w:val="auto"/>
              </w:rPr>
            </w:pPr>
            <w:r>
              <w:rPr>
                <w:rFonts w:ascii="Arial" w:cs="Arial" w:eastAsia="Arial" w:hAnsi="Arial"/>
                <w:sz w:val="16"/>
                <w:szCs w:val="16"/>
                <w:color w:val="auto"/>
                <w:w w:val="98"/>
              </w:rPr>
              <w:t>Operational Excellence — 15.00%</w:t>
            </w:r>
          </w:p>
        </w:tc>
        <w:tc>
          <w:tcPr>
            <w:tcW w:w="1140" w:type="dxa"/>
            <w:vAlign w:val="bottom"/>
          </w:tcPr>
          <w:p>
            <w:pPr>
              <w:spacing w:after="0"/>
              <w:rPr>
                <w:sz w:val="14"/>
                <w:szCs w:val="14"/>
                <w:color w:val="auto"/>
              </w:rPr>
            </w:pPr>
          </w:p>
        </w:tc>
        <w:tc>
          <w:tcPr>
            <w:tcW w:w="2900" w:type="dxa"/>
            <w:vAlign w:val="bottom"/>
          </w:tcPr>
          <w:p>
            <w:pPr>
              <w:ind w:left="180"/>
              <w:spacing w:after="0" w:line="167" w:lineRule="exact"/>
              <w:rPr>
                <w:sz w:val="20"/>
                <w:szCs w:val="20"/>
                <w:color w:val="auto"/>
              </w:rPr>
            </w:pPr>
            <w:r>
              <w:rPr>
                <w:rFonts w:ascii="Arial" w:cs="Arial" w:eastAsia="Arial" w:hAnsi="Arial"/>
                <w:sz w:val="16"/>
                <w:szCs w:val="16"/>
                <w:color w:val="auto"/>
              </w:rPr>
              <w:t>Site Capacity Factor (10.00%)</w:t>
            </w:r>
          </w:p>
        </w:tc>
        <w:tc>
          <w:tcPr>
            <w:tcW w:w="1700" w:type="dxa"/>
            <w:vAlign w:val="bottom"/>
          </w:tcPr>
          <w:p>
            <w:pPr>
              <w:jc w:val="center"/>
              <w:ind w:left="20"/>
              <w:spacing w:after="0" w:line="167" w:lineRule="exact"/>
              <w:rPr>
                <w:sz w:val="20"/>
                <w:szCs w:val="20"/>
                <w:color w:val="auto"/>
              </w:rPr>
            </w:pPr>
            <w:r>
              <w:rPr>
                <w:rFonts w:ascii="Arial" w:cs="Arial" w:eastAsia="Arial" w:hAnsi="Arial"/>
                <w:sz w:val="16"/>
                <w:szCs w:val="16"/>
                <w:color w:val="auto"/>
                <w:w w:val="96"/>
              </w:rPr>
              <w:t>91.5%</w:t>
            </w:r>
          </w:p>
        </w:tc>
        <w:tc>
          <w:tcPr>
            <w:tcW w:w="1700" w:type="dxa"/>
            <w:vAlign w:val="bottom"/>
          </w:tcPr>
          <w:p>
            <w:pPr>
              <w:jc w:val="center"/>
              <w:spacing w:after="0" w:line="167" w:lineRule="exact"/>
              <w:rPr>
                <w:sz w:val="20"/>
                <w:szCs w:val="20"/>
                <w:color w:val="auto"/>
              </w:rPr>
            </w:pPr>
            <w:r>
              <w:rPr>
                <w:rFonts w:ascii="Arial" w:cs="Arial" w:eastAsia="Arial" w:hAnsi="Arial"/>
                <w:sz w:val="16"/>
                <w:szCs w:val="16"/>
                <w:color w:val="auto"/>
              </w:rPr>
              <w:t>94.3%</w:t>
            </w:r>
          </w:p>
        </w:tc>
        <w:tc>
          <w:tcPr>
            <w:tcW w:w="1560" w:type="dxa"/>
            <w:vAlign w:val="bottom"/>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ind w:left="180"/>
              <w:spacing w:after="0"/>
              <w:rPr>
                <w:sz w:val="20"/>
                <w:szCs w:val="20"/>
                <w:color w:val="auto"/>
              </w:rPr>
            </w:pPr>
            <w:r>
              <w:rPr>
                <w:rFonts w:ascii="Arial" w:cs="Arial" w:eastAsia="Arial" w:hAnsi="Arial"/>
                <w:sz w:val="16"/>
                <w:szCs w:val="16"/>
                <w:color w:val="auto"/>
              </w:rPr>
              <w:t>Spring Outage (2.50%)</w:t>
            </w:r>
          </w:p>
        </w:tc>
        <w:tc>
          <w:tcPr>
            <w:tcW w:w="1700" w:type="dxa"/>
            <w:vAlign w:val="bottom"/>
          </w:tcPr>
          <w:p>
            <w:pPr>
              <w:jc w:val="center"/>
              <w:ind w:left="20"/>
              <w:spacing w:after="0"/>
              <w:rPr>
                <w:sz w:val="20"/>
                <w:szCs w:val="20"/>
                <w:color w:val="auto"/>
              </w:rPr>
            </w:pPr>
            <w:r>
              <w:rPr>
                <w:rFonts w:ascii="Times New Roman" w:cs="Times New Roman" w:eastAsia="Times New Roman" w:hAnsi="Times New Roman"/>
                <w:sz w:val="16"/>
                <w:szCs w:val="16"/>
                <w:color w:val="auto"/>
              </w:rPr>
              <w:t xml:space="preserve">£ </w:t>
            </w:r>
            <w:r>
              <w:rPr>
                <w:rFonts w:ascii="Arial" w:cs="Arial" w:eastAsia="Arial" w:hAnsi="Arial"/>
                <w:sz w:val="16"/>
                <w:szCs w:val="16"/>
                <w:color w:val="auto"/>
              </w:rPr>
              <w:t>31 Days</w:t>
            </w:r>
          </w:p>
        </w:tc>
        <w:tc>
          <w:tcPr>
            <w:tcW w:w="1700" w:type="dxa"/>
            <w:vAlign w:val="bottom"/>
          </w:tcPr>
          <w:p>
            <w:pPr>
              <w:jc w:val="center"/>
              <w:spacing w:after="0"/>
              <w:rPr>
                <w:sz w:val="20"/>
                <w:szCs w:val="20"/>
                <w:color w:val="auto"/>
              </w:rPr>
            </w:pPr>
            <w:r>
              <w:rPr>
                <w:rFonts w:ascii="Arial" w:cs="Arial" w:eastAsia="Arial" w:hAnsi="Arial"/>
                <w:sz w:val="16"/>
                <w:szCs w:val="16"/>
                <w:color w:val="auto"/>
                <w:w w:val="98"/>
              </w:rPr>
              <w:t>29 Days,</w:t>
            </w:r>
          </w:p>
        </w:tc>
        <w:tc>
          <w:tcPr>
            <w:tcW w:w="1560" w:type="dxa"/>
            <w:vAlign w:val="bottom"/>
          </w:tcPr>
          <w:p>
            <w:pPr>
              <w:jc w:val="center"/>
              <w:spacing w:after="0"/>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1700" w:type="dxa"/>
            <w:vAlign w:val="bottom"/>
          </w:tcPr>
          <w:p>
            <w:pPr>
              <w:jc w:val="center"/>
              <w:spacing w:after="0"/>
              <w:rPr>
                <w:sz w:val="20"/>
                <w:szCs w:val="20"/>
                <w:color w:val="auto"/>
              </w:rPr>
            </w:pPr>
            <w:r>
              <w:rPr>
                <w:rFonts w:ascii="Arial" w:cs="Arial" w:eastAsia="Arial" w:hAnsi="Arial"/>
                <w:sz w:val="16"/>
                <w:szCs w:val="16"/>
                <w:color w:val="auto"/>
                <w:w w:val="98"/>
              </w:rPr>
              <w:t>19 Hours</w:t>
            </w:r>
          </w:p>
        </w:tc>
        <w:tc>
          <w:tcPr>
            <w:tcW w:w="1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3"/>
        </w:trPr>
        <w:tc>
          <w:tcPr>
            <w:tcW w:w="2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900" w:type="dxa"/>
            <w:vAlign w:val="bottom"/>
          </w:tcPr>
          <w:p>
            <w:pPr>
              <w:ind w:left="180"/>
              <w:spacing w:after="0"/>
              <w:rPr>
                <w:sz w:val="20"/>
                <w:szCs w:val="20"/>
                <w:color w:val="auto"/>
              </w:rPr>
            </w:pPr>
            <w:r>
              <w:rPr>
                <w:rFonts w:ascii="Arial" w:cs="Arial" w:eastAsia="Arial" w:hAnsi="Arial"/>
                <w:sz w:val="16"/>
                <w:szCs w:val="16"/>
                <w:color w:val="auto"/>
              </w:rPr>
              <w:t>Fall Outage (2.50%)</w:t>
            </w:r>
          </w:p>
        </w:tc>
        <w:tc>
          <w:tcPr>
            <w:tcW w:w="1700" w:type="dxa"/>
            <w:vAlign w:val="bottom"/>
          </w:tcPr>
          <w:p>
            <w:pPr>
              <w:jc w:val="center"/>
              <w:ind w:left="20"/>
              <w:spacing w:after="0"/>
              <w:rPr>
                <w:sz w:val="20"/>
                <w:szCs w:val="20"/>
                <w:color w:val="auto"/>
              </w:rPr>
            </w:pPr>
            <w:r>
              <w:rPr>
                <w:rFonts w:ascii="Times New Roman" w:cs="Times New Roman" w:eastAsia="Times New Roman" w:hAnsi="Times New Roman"/>
                <w:sz w:val="16"/>
                <w:szCs w:val="16"/>
                <w:color w:val="auto"/>
              </w:rPr>
              <w:t xml:space="preserve">£ </w:t>
            </w:r>
            <w:r>
              <w:rPr>
                <w:rFonts w:ascii="Arial" w:cs="Arial" w:eastAsia="Arial" w:hAnsi="Arial"/>
                <w:sz w:val="16"/>
                <w:szCs w:val="16"/>
                <w:color w:val="auto"/>
              </w:rPr>
              <w:t>31 Days</w:t>
            </w:r>
          </w:p>
        </w:tc>
        <w:tc>
          <w:tcPr>
            <w:tcW w:w="1700" w:type="dxa"/>
            <w:vAlign w:val="bottom"/>
          </w:tcPr>
          <w:p>
            <w:pPr>
              <w:jc w:val="center"/>
              <w:spacing w:after="0"/>
              <w:rPr>
                <w:sz w:val="20"/>
                <w:szCs w:val="20"/>
                <w:color w:val="auto"/>
              </w:rPr>
            </w:pPr>
            <w:r>
              <w:rPr>
                <w:rFonts w:ascii="Arial" w:cs="Arial" w:eastAsia="Arial" w:hAnsi="Arial"/>
                <w:sz w:val="16"/>
                <w:szCs w:val="16"/>
                <w:color w:val="auto"/>
                <w:w w:val="98"/>
              </w:rPr>
              <w:t>36 Days</w:t>
            </w:r>
          </w:p>
        </w:tc>
        <w:tc>
          <w:tcPr>
            <w:tcW w:w="1560" w:type="dxa"/>
            <w:vAlign w:val="bottom"/>
          </w:tcPr>
          <w:p>
            <w:pPr>
              <w:jc w:val="center"/>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84"/>
        </w:trPr>
        <w:tc>
          <w:tcPr>
            <w:tcW w:w="3560" w:type="dxa"/>
            <w:vAlign w:val="bottom"/>
            <w:gridSpan w:val="3"/>
            <w:shd w:val="clear" w:color="auto" w:fill="E3E5EB"/>
          </w:tcPr>
          <w:p>
            <w:pPr>
              <w:spacing w:after="0"/>
              <w:rPr>
                <w:sz w:val="20"/>
                <w:szCs w:val="20"/>
                <w:color w:val="auto"/>
              </w:rPr>
            </w:pPr>
            <w:r>
              <w:rPr>
                <w:rFonts w:ascii="Arial" w:cs="Arial" w:eastAsia="Arial" w:hAnsi="Arial"/>
                <w:sz w:val="16"/>
                <w:szCs w:val="16"/>
                <w:color w:val="auto"/>
              </w:rPr>
              <w:t>Performance Improvement — 13.75%</w:t>
            </w: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Equipment Reliability Index (2.50%)</w:t>
            </w:r>
          </w:p>
        </w:tc>
        <w:tc>
          <w:tcPr>
            <w:tcW w:w="170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rPr>
              <w:t>89</w:t>
            </w:r>
          </w:p>
        </w:tc>
        <w:tc>
          <w:tcPr>
            <w:tcW w:w="17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95</w:t>
            </w:r>
          </w:p>
        </w:tc>
        <w:tc>
          <w:tcPr>
            <w:tcW w:w="1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67"/>
        </w:trPr>
        <w:tc>
          <w:tcPr>
            <w:tcW w:w="2120" w:type="dxa"/>
            <w:vAlign w:val="bottom"/>
            <w:shd w:val="clear" w:color="auto" w:fill="E3E5EB"/>
          </w:tcPr>
          <w:p>
            <w:pPr>
              <w:spacing w:after="0"/>
              <w:rPr>
                <w:sz w:val="14"/>
                <w:szCs w:val="14"/>
                <w:color w:val="auto"/>
              </w:rPr>
            </w:pPr>
          </w:p>
        </w:tc>
        <w:tc>
          <w:tcPr>
            <w:tcW w:w="30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290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Corrective Action Performance</w:t>
            </w:r>
          </w:p>
        </w:tc>
        <w:tc>
          <w:tcPr>
            <w:tcW w:w="17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98"/>
              </w:rPr>
              <w:t>12 G/W; No Red</w:t>
            </w:r>
          </w:p>
        </w:tc>
        <w:tc>
          <w:tcPr>
            <w:tcW w:w="17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8"/>
              </w:rPr>
              <w:t>14 G/W;</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201"/>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Scorecard (2.50%)</w:t>
            </w:r>
          </w:p>
        </w:tc>
        <w:tc>
          <w:tcPr>
            <w:tcW w:w="1700" w:type="dxa"/>
            <w:vAlign w:val="bottom"/>
            <w:shd w:val="clear" w:color="auto" w:fill="E3E5EB"/>
          </w:tcPr>
          <w:p>
            <w:pPr>
              <w:spacing w:after="0"/>
              <w:rPr>
                <w:sz w:val="17"/>
                <w:szCs w:val="17"/>
                <w:color w:val="auto"/>
              </w:rPr>
            </w:pPr>
          </w:p>
        </w:tc>
        <w:tc>
          <w:tcPr>
            <w:tcW w:w="17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No Red</w:t>
            </w:r>
          </w:p>
        </w:tc>
        <w:tc>
          <w:tcPr>
            <w:tcW w:w="156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2120" w:type="dxa"/>
            <w:vAlign w:val="bottom"/>
            <w:shd w:val="clear" w:color="auto" w:fill="E3E5EB"/>
          </w:tcPr>
          <w:p>
            <w:pPr>
              <w:spacing w:after="0"/>
              <w:rPr>
                <w:sz w:val="14"/>
                <w:szCs w:val="14"/>
                <w:color w:val="auto"/>
              </w:rPr>
            </w:pPr>
          </w:p>
        </w:tc>
        <w:tc>
          <w:tcPr>
            <w:tcW w:w="30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290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Site Clock Resets (Less Safety)</w:t>
            </w:r>
          </w:p>
        </w:tc>
        <w:tc>
          <w:tcPr>
            <w:tcW w:w="17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w w:val="89"/>
              </w:rPr>
              <w:t>2</w:t>
            </w:r>
          </w:p>
        </w:tc>
        <w:tc>
          <w:tcPr>
            <w:tcW w:w="17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89"/>
              </w:rPr>
              <w:t>0</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201"/>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(2.50%)</w:t>
            </w:r>
          </w:p>
        </w:tc>
        <w:tc>
          <w:tcPr>
            <w:tcW w:w="1700" w:type="dxa"/>
            <w:vAlign w:val="bottom"/>
            <w:shd w:val="clear" w:color="auto" w:fill="E3E5EB"/>
          </w:tcPr>
          <w:p>
            <w:pPr>
              <w:spacing w:after="0"/>
              <w:rPr>
                <w:sz w:val="17"/>
                <w:szCs w:val="17"/>
                <w:color w:val="auto"/>
              </w:rPr>
            </w:pPr>
          </w:p>
        </w:tc>
        <w:tc>
          <w:tcPr>
            <w:tcW w:w="1700" w:type="dxa"/>
            <w:vAlign w:val="bottom"/>
            <w:shd w:val="clear" w:color="auto" w:fill="E3E5EB"/>
          </w:tcPr>
          <w:p>
            <w:pPr>
              <w:spacing w:after="0"/>
              <w:rPr>
                <w:sz w:val="17"/>
                <w:szCs w:val="17"/>
                <w:color w:val="auto"/>
              </w:rPr>
            </w:pPr>
          </w:p>
        </w:tc>
        <w:tc>
          <w:tcPr>
            <w:tcW w:w="156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2120" w:type="dxa"/>
            <w:vAlign w:val="bottom"/>
            <w:shd w:val="clear" w:color="auto" w:fill="E3E5EB"/>
          </w:tcPr>
          <w:p>
            <w:pPr>
              <w:spacing w:after="0"/>
              <w:rPr>
                <w:sz w:val="14"/>
                <w:szCs w:val="14"/>
                <w:color w:val="auto"/>
              </w:rPr>
            </w:pPr>
          </w:p>
        </w:tc>
        <w:tc>
          <w:tcPr>
            <w:tcW w:w="30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290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Site Operational Focus Indicator</w:t>
            </w:r>
          </w:p>
        </w:tc>
        <w:tc>
          <w:tcPr>
            <w:tcW w:w="170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rPr>
              <w:t>14</w:t>
            </w:r>
          </w:p>
        </w:tc>
        <w:tc>
          <w:tcPr>
            <w:tcW w:w="17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rPr>
              <w:t>16</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201"/>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(3.75%)</w:t>
            </w:r>
          </w:p>
        </w:tc>
        <w:tc>
          <w:tcPr>
            <w:tcW w:w="1700" w:type="dxa"/>
            <w:vAlign w:val="bottom"/>
            <w:shd w:val="clear" w:color="auto" w:fill="E3E5EB"/>
          </w:tcPr>
          <w:p>
            <w:pPr>
              <w:spacing w:after="0"/>
              <w:rPr>
                <w:sz w:val="17"/>
                <w:szCs w:val="17"/>
                <w:color w:val="auto"/>
              </w:rPr>
            </w:pPr>
          </w:p>
        </w:tc>
        <w:tc>
          <w:tcPr>
            <w:tcW w:w="1700" w:type="dxa"/>
            <w:vAlign w:val="bottom"/>
            <w:shd w:val="clear" w:color="auto" w:fill="E3E5EB"/>
          </w:tcPr>
          <w:p>
            <w:pPr>
              <w:spacing w:after="0"/>
              <w:rPr>
                <w:sz w:val="17"/>
                <w:szCs w:val="17"/>
                <w:color w:val="auto"/>
              </w:rPr>
            </w:pPr>
          </w:p>
        </w:tc>
        <w:tc>
          <w:tcPr>
            <w:tcW w:w="156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2120" w:type="dxa"/>
            <w:vAlign w:val="bottom"/>
            <w:shd w:val="clear" w:color="auto" w:fill="E3E5EB"/>
          </w:tcPr>
          <w:p>
            <w:pPr>
              <w:spacing w:after="0"/>
              <w:rPr>
                <w:sz w:val="14"/>
                <w:szCs w:val="14"/>
                <w:color w:val="auto"/>
              </w:rPr>
            </w:pPr>
          </w:p>
        </w:tc>
        <w:tc>
          <w:tcPr>
            <w:tcW w:w="30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290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Continuous Improvement Process</w:t>
            </w:r>
          </w:p>
        </w:tc>
        <w:tc>
          <w:tcPr>
            <w:tcW w:w="1700" w:type="dxa"/>
            <w:vAlign w:val="bottom"/>
            <w:shd w:val="clear" w:color="auto" w:fill="E3E5EB"/>
          </w:tcPr>
          <w:p>
            <w:pPr>
              <w:jc w:val="center"/>
              <w:ind w:left="20"/>
              <w:spacing w:after="0" w:line="167" w:lineRule="exact"/>
              <w:rPr>
                <w:sz w:val="20"/>
                <w:szCs w:val="20"/>
                <w:color w:val="auto"/>
              </w:rPr>
            </w:pPr>
            <w:r>
              <w:rPr>
                <w:rFonts w:ascii="Arial" w:cs="Arial" w:eastAsia="Arial" w:hAnsi="Arial"/>
                <w:sz w:val="16"/>
                <w:szCs w:val="16"/>
                <w:color w:val="auto"/>
              </w:rPr>
              <w:t>450</w:t>
            </w:r>
          </w:p>
        </w:tc>
        <w:tc>
          <w:tcPr>
            <w:tcW w:w="17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642</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201"/>
        </w:trPr>
        <w:tc>
          <w:tcPr>
            <w:tcW w:w="2120" w:type="dxa"/>
            <w:vAlign w:val="bottom"/>
            <w:shd w:val="clear" w:color="auto" w:fill="E3E5EB"/>
          </w:tcPr>
          <w:p>
            <w:pPr>
              <w:spacing w:after="0"/>
              <w:rPr>
                <w:sz w:val="17"/>
                <w:szCs w:val="17"/>
                <w:color w:val="auto"/>
              </w:rPr>
            </w:pPr>
          </w:p>
        </w:tc>
        <w:tc>
          <w:tcPr>
            <w:tcW w:w="300" w:type="dxa"/>
            <w:vAlign w:val="bottom"/>
            <w:shd w:val="clear" w:color="auto" w:fill="E3E5EB"/>
          </w:tcPr>
          <w:p>
            <w:pPr>
              <w:spacing w:after="0"/>
              <w:rPr>
                <w:sz w:val="17"/>
                <w:szCs w:val="17"/>
                <w:color w:val="auto"/>
              </w:rPr>
            </w:pPr>
          </w:p>
        </w:tc>
        <w:tc>
          <w:tcPr>
            <w:tcW w:w="1140" w:type="dxa"/>
            <w:vAlign w:val="bottom"/>
            <w:shd w:val="clear" w:color="auto" w:fill="E3E5EB"/>
          </w:tcPr>
          <w:p>
            <w:pPr>
              <w:spacing w:after="0"/>
              <w:rPr>
                <w:sz w:val="17"/>
                <w:szCs w:val="17"/>
                <w:color w:val="auto"/>
              </w:rPr>
            </w:pPr>
          </w:p>
        </w:tc>
        <w:tc>
          <w:tcPr>
            <w:tcW w:w="2900" w:type="dxa"/>
            <w:vAlign w:val="bottom"/>
            <w:shd w:val="clear" w:color="auto" w:fill="E3E5EB"/>
          </w:tcPr>
          <w:p>
            <w:pPr>
              <w:ind w:left="180"/>
              <w:spacing w:after="0"/>
              <w:rPr>
                <w:sz w:val="20"/>
                <w:szCs w:val="20"/>
                <w:color w:val="auto"/>
              </w:rPr>
            </w:pPr>
            <w:r>
              <w:rPr>
                <w:rFonts w:ascii="Arial" w:cs="Arial" w:eastAsia="Arial" w:hAnsi="Arial"/>
                <w:sz w:val="16"/>
                <w:szCs w:val="16"/>
                <w:color w:val="auto"/>
              </w:rPr>
              <w:t>(2.50%)</w:t>
            </w:r>
          </w:p>
        </w:tc>
        <w:tc>
          <w:tcPr>
            <w:tcW w:w="1700" w:type="dxa"/>
            <w:vAlign w:val="bottom"/>
            <w:shd w:val="clear" w:color="auto" w:fill="E3E5EB"/>
          </w:tcPr>
          <w:p>
            <w:pPr>
              <w:spacing w:after="0"/>
              <w:rPr>
                <w:sz w:val="17"/>
                <w:szCs w:val="17"/>
                <w:color w:val="auto"/>
              </w:rPr>
            </w:pPr>
          </w:p>
        </w:tc>
        <w:tc>
          <w:tcPr>
            <w:tcW w:w="1700" w:type="dxa"/>
            <w:vAlign w:val="bottom"/>
            <w:shd w:val="clear" w:color="auto" w:fill="E3E5EB"/>
          </w:tcPr>
          <w:p>
            <w:pPr>
              <w:spacing w:after="0"/>
              <w:rPr>
                <w:sz w:val="17"/>
                <w:szCs w:val="17"/>
                <w:color w:val="auto"/>
              </w:rPr>
            </w:pPr>
          </w:p>
        </w:tc>
        <w:tc>
          <w:tcPr>
            <w:tcW w:w="156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67"/>
        </w:trPr>
        <w:tc>
          <w:tcPr>
            <w:tcW w:w="2120" w:type="dxa"/>
            <w:vAlign w:val="bottom"/>
          </w:tcPr>
          <w:p>
            <w:pPr>
              <w:spacing w:after="0" w:line="167" w:lineRule="exact"/>
              <w:rPr>
                <w:sz w:val="20"/>
                <w:szCs w:val="20"/>
                <w:color w:val="auto"/>
              </w:rPr>
            </w:pPr>
            <w:r>
              <w:rPr>
                <w:rFonts w:ascii="Arial" w:cs="Arial" w:eastAsia="Arial" w:hAnsi="Arial"/>
                <w:sz w:val="16"/>
                <w:szCs w:val="16"/>
                <w:color w:val="auto"/>
                <w:w w:val="99"/>
              </w:rPr>
              <w:t>Shareholder Value — 10.00%</w:t>
            </w:r>
          </w:p>
        </w:tc>
        <w:tc>
          <w:tcPr>
            <w:tcW w:w="3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2900" w:type="dxa"/>
            <w:vAlign w:val="bottom"/>
          </w:tcPr>
          <w:p>
            <w:pPr>
              <w:ind w:left="180"/>
              <w:spacing w:after="0" w:line="167" w:lineRule="exact"/>
              <w:rPr>
                <w:sz w:val="20"/>
                <w:szCs w:val="20"/>
                <w:color w:val="auto"/>
              </w:rPr>
            </w:pPr>
            <w:r>
              <w:rPr>
                <w:rFonts w:ascii="Arial" w:cs="Arial" w:eastAsia="Arial" w:hAnsi="Arial"/>
                <w:sz w:val="16"/>
                <w:szCs w:val="16"/>
                <w:color w:val="auto"/>
              </w:rPr>
              <w:t>Operating and Maintenance Budget</w:t>
            </w:r>
          </w:p>
        </w:tc>
        <w:tc>
          <w:tcPr>
            <w:tcW w:w="1700" w:type="dxa"/>
            <w:vAlign w:val="bottom"/>
          </w:tcPr>
          <w:p>
            <w:pPr>
              <w:jc w:val="center"/>
              <w:ind w:left="20"/>
              <w:spacing w:after="0" w:line="167" w:lineRule="exact"/>
              <w:rPr>
                <w:sz w:val="20"/>
                <w:szCs w:val="20"/>
                <w:color w:val="auto"/>
              </w:rPr>
            </w:pPr>
            <w:r>
              <w:rPr>
                <w:rFonts w:ascii="Times New Roman" w:cs="Times New Roman" w:eastAsia="Times New Roman" w:hAnsi="Times New Roman"/>
                <w:sz w:val="16"/>
                <w:szCs w:val="16"/>
                <w:color w:val="auto"/>
              </w:rPr>
              <w:t xml:space="preserve">£ </w:t>
            </w:r>
            <w:r>
              <w:rPr>
                <w:rFonts w:ascii="Arial" w:cs="Arial" w:eastAsia="Arial" w:hAnsi="Arial"/>
                <w:sz w:val="16"/>
                <w:szCs w:val="16"/>
                <w:color w:val="auto"/>
              </w:rPr>
              <w:t>Budget and 6</w:t>
            </w:r>
          </w:p>
        </w:tc>
        <w:tc>
          <w:tcPr>
            <w:tcW w:w="1700" w:type="dxa"/>
            <w:vAlign w:val="bottom"/>
          </w:tcPr>
          <w:p>
            <w:pPr>
              <w:jc w:val="center"/>
              <w:spacing w:after="0" w:line="167" w:lineRule="exact"/>
              <w:rPr>
                <w:sz w:val="20"/>
                <w:szCs w:val="20"/>
                <w:color w:val="auto"/>
              </w:rPr>
            </w:pPr>
            <w:r>
              <w:rPr>
                <w:rFonts w:ascii="Arial" w:cs="Arial" w:eastAsia="Arial" w:hAnsi="Arial"/>
                <w:sz w:val="16"/>
                <w:szCs w:val="16"/>
                <w:color w:val="auto"/>
                <w:w w:val="99"/>
              </w:rPr>
              <w:t>$21M Under</w:t>
            </w:r>
          </w:p>
        </w:tc>
        <w:tc>
          <w:tcPr>
            <w:tcW w:w="1560" w:type="dxa"/>
            <w:vAlign w:val="bottom"/>
          </w:tcPr>
          <w:p>
            <w:pPr>
              <w:jc w:val="center"/>
              <w:spacing w:after="0" w:line="167" w:lineRule="exact"/>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ind w:left="180"/>
              <w:spacing w:after="0"/>
              <w:rPr>
                <w:sz w:val="20"/>
                <w:szCs w:val="20"/>
                <w:color w:val="auto"/>
              </w:rPr>
            </w:pPr>
            <w:r>
              <w:rPr>
                <w:rFonts w:ascii="Arial" w:cs="Arial" w:eastAsia="Arial" w:hAnsi="Arial"/>
                <w:sz w:val="16"/>
                <w:szCs w:val="16"/>
                <w:color w:val="auto"/>
              </w:rPr>
              <w:t>(7.50%)</w:t>
            </w:r>
          </w:p>
        </w:tc>
        <w:tc>
          <w:tcPr>
            <w:tcW w:w="1700" w:type="dxa"/>
            <w:vAlign w:val="bottom"/>
          </w:tcPr>
          <w:p>
            <w:pPr>
              <w:jc w:val="center"/>
              <w:ind w:left="20"/>
              <w:spacing w:after="0"/>
              <w:rPr>
                <w:sz w:val="20"/>
                <w:szCs w:val="20"/>
                <w:color w:val="auto"/>
              </w:rPr>
            </w:pPr>
            <w:r>
              <w:rPr>
                <w:rFonts w:ascii="Arial" w:cs="Arial" w:eastAsia="Arial" w:hAnsi="Arial"/>
                <w:sz w:val="16"/>
                <w:szCs w:val="16"/>
                <w:color w:val="auto"/>
                <w:w w:val="99"/>
              </w:rPr>
              <w:t>Months Cash Flow</w:t>
            </w:r>
          </w:p>
        </w:tc>
        <w:tc>
          <w:tcPr>
            <w:tcW w:w="1700" w:type="dxa"/>
            <w:vAlign w:val="bottom"/>
          </w:tcPr>
          <w:p>
            <w:pPr>
              <w:jc w:val="center"/>
              <w:spacing w:after="0"/>
              <w:rPr>
                <w:sz w:val="20"/>
                <w:szCs w:val="20"/>
                <w:color w:val="auto"/>
              </w:rPr>
            </w:pPr>
            <w:r>
              <w:rPr>
                <w:rFonts w:ascii="Arial" w:cs="Arial" w:eastAsia="Arial" w:hAnsi="Arial"/>
                <w:sz w:val="16"/>
                <w:szCs w:val="16"/>
                <w:color w:val="auto"/>
                <w:w w:val="97"/>
              </w:rPr>
              <w:t>Budget and 11</w:t>
            </w:r>
          </w:p>
        </w:tc>
        <w:tc>
          <w:tcPr>
            <w:tcW w:w="1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spacing w:after="0"/>
              <w:rPr>
                <w:sz w:val="16"/>
                <w:szCs w:val="16"/>
                <w:color w:val="auto"/>
              </w:rPr>
            </w:pPr>
          </w:p>
        </w:tc>
        <w:tc>
          <w:tcPr>
            <w:tcW w:w="1700" w:type="dxa"/>
            <w:vAlign w:val="bottom"/>
          </w:tcPr>
          <w:p>
            <w:pPr>
              <w:spacing w:after="0"/>
              <w:rPr>
                <w:sz w:val="16"/>
                <w:szCs w:val="16"/>
                <w:color w:val="auto"/>
              </w:rPr>
            </w:pPr>
          </w:p>
        </w:tc>
        <w:tc>
          <w:tcPr>
            <w:tcW w:w="1700" w:type="dxa"/>
            <w:vAlign w:val="bottom"/>
          </w:tcPr>
          <w:p>
            <w:pPr>
              <w:jc w:val="center"/>
              <w:spacing w:after="0"/>
              <w:rPr>
                <w:sz w:val="20"/>
                <w:szCs w:val="20"/>
                <w:color w:val="auto"/>
              </w:rPr>
            </w:pPr>
            <w:r>
              <w:rPr>
                <w:rFonts w:ascii="Arial" w:cs="Arial" w:eastAsia="Arial" w:hAnsi="Arial"/>
                <w:sz w:val="16"/>
                <w:szCs w:val="16"/>
                <w:color w:val="auto"/>
                <w:w w:val="99"/>
              </w:rPr>
              <w:t>Months Cash Flow</w:t>
            </w:r>
          </w:p>
        </w:tc>
        <w:tc>
          <w:tcPr>
            <w:tcW w:w="1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ind w:left="180"/>
              <w:spacing w:after="0"/>
              <w:rPr>
                <w:sz w:val="20"/>
                <w:szCs w:val="20"/>
                <w:color w:val="auto"/>
              </w:rPr>
            </w:pPr>
            <w:r>
              <w:rPr>
                <w:rFonts w:ascii="Arial" w:cs="Arial" w:eastAsia="Arial" w:hAnsi="Arial"/>
                <w:sz w:val="16"/>
                <w:szCs w:val="16"/>
                <w:color w:val="auto"/>
              </w:rPr>
              <w:t>Capital Budget (2.50%)</w:t>
            </w:r>
          </w:p>
        </w:tc>
        <w:tc>
          <w:tcPr>
            <w:tcW w:w="1700" w:type="dxa"/>
            <w:vAlign w:val="bottom"/>
          </w:tcPr>
          <w:p>
            <w:pPr>
              <w:jc w:val="center"/>
              <w:ind w:left="20"/>
              <w:spacing w:after="0"/>
              <w:rPr>
                <w:sz w:val="20"/>
                <w:szCs w:val="20"/>
                <w:color w:val="auto"/>
              </w:rPr>
            </w:pPr>
            <w:r>
              <w:rPr>
                <w:rFonts w:ascii="Times New Roman" w:cs="Times New Roman" w:eastAsia="Times New Roman" w:hAnsi="Times New Roman"/>
                <w:sz w:val="16"/>
                <w:szCs w:val="16"/>
                <w:color w:val="auto"/>
              </w:rPr>
              <w:t xml:space="preserve">£ </w:t>
            </w:r>
            <w:r>
              <w:rPr>
                <w:rFonts w:ascii="Arial" w:cs="Arial" w:eastAsia="Arial" w:hAnsi="Arial"/>
                <w:sz w:val="16"/>
                <w:szCs w:val="16"/>
                <w:color w:val="auto"/>
              </w:rPr>
              <w:t>Budget and 6</w:t>
            </w:r>
          </w:p>
        </w:tc>
        <w:tc>
          <w:tcPr>
            <w:tcW w:w="1700" w:type="dxa"/>
            <w:vAlign w:val="bottom"/>
          </w:tcPr>
          <w:p>
            <w:pPr>
              <w:jc w:val="center"/>
              <w:spacing w:after="0"/>
              <w:rPr>
                <w:sz w:val="20"/>
                <w:szCs w:val="20"/>
                <w:color w:val="auto"/>
              </w:rPr>
            </w:pPr>
            <w:r>
              <w:rPr>
                <w:rFonts w:ascii="Arial" w:cs="Arial" w:eastAsia="Arial" w:hAnsi="Arial"/>
                <w:sz w:val="16"/>
                <w:szCs w:val="16"/>
                <w:color w:val="auto"/>
                <w:w w:val="99"/>
              </w:rPr>
              <w:t>$0.6M Under</w:t>
            </w:r>
          </w:p>
        </w:tc>
        <w:tc>
          <w:tcPr>
            <w:tcW w:w="1560" w:type="dxa"/>
            <w:vAlign w:val="bottom"/>
          </w:tcPr>
          <w:p>
            <w:pPr>
              <w:jc w:val="center"/>
              <w:spacing w:after="0"/>
              <w:rPr>
                <w:sz w:val="20"/>
                <w:szCs w:val="20"/>
                <w:color w:val="auto"/>
              </w:rPr>
            </w:pPr>
            <w:r>
              <w:rPr>
                <w:rFonts w:ascii="Arial" w:cs="Arial" w:eastAsia="Arial" w:hAnsi="Arial"/>
                <w:sz w:val="16"/>
                <w:szCs w:val="16"/>
                <w:color w:val="auto"/>
                <w:w w:val="97"/>
              </w:rPr>
              <w:t>200%</w:t>
            </w:r>
          </w:p>
        </w:tc>
        <w:tc>
          <w:tcPr>
            <w:tcW w:w="0" w:type="dxa"/>
            <w:vAlign w:val="bottom"/>
          </w:tcPr>
          <w:p>
            <w:pPr>
              <w:spacing w:after="0"/>
              <w:rPr>
                <w:sz w:val="1"/>
                <w:szCs w:val="1"/>
                <w:color w:val="auto"/>
              </w:rPr>
            </w:pPr>
          </w:p>
        </w:tc>
      </w:tr>
      <w:tr>
        <w:trPr>
          <w:trHeight w:val="184"/>
        </w:trPr>
        <w:tc>
          <w:tcPr>
            <w:tcW w:w="212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2900" w:type="dxa"/>
            <w:vAlign w:val="bottom"/>
          </w:tcPr>
          <w:p>
            <w:pPr>
              <w:spacing w:after="0"/>
              <w:rPr>
                <w:sz w:val="16"/>
                <w:szCs w:val="16"/>
                <w:color w:val="auto"/>
              </w:rPr>
            </w:pPr>
          </w:p>
        </w:tc>
        <w:tc>
          <w:tcPr>
            <w:tcW w:w="1700" w:type="dxa"/>
            <w:vAlign w:val="bottom"/>
          </w:tcPr>
          <w:p>
            <w:pPr>
              <w:jc w:val="center"/>
              <w:ind w:left="20"/>
              <w:spacing w:after="0"/>
              <w:rPr>
                <w:sz w:val="20"/>
                <w:szCs w:val="20"/>
                <w:color w:val="auto"/>
              </w:rPr>
            </w:pPr>
            <w:r>
              <w:rPr>
                <w:rFonts w:ascii="Arial" w:cs="Arial" w:eastAsia="Arial" w:hAnsi="Arial"/>
                <w:sz w:val="16"/>
                <w:szCs w:val="16"/>
                <w:color w:val="auto"/>
                <w:w w:val="99"/>
              </w:rPr>
              <w:t>Months Cash Flow</w:t>
            </w:r>
          </w:p>
        </w:tc>
        <w:tc>
          <w:tcPr>
            <w:tcW w:w="1700" w:type="dxa"/>
            <w:vAlign w:val="bottom"/>
          </w:tcPr>
          <w:p>
            <w:pPr>
              <w:jc w:val="center"/>
              <w:spacing w:after="0"/>
              <w:rPr>
                <w:sz w:val="20"/>
                <w:szCs w:val="20"/>
                <w:color w:val="auto"/>
              </w:rPr>
            </w:pPr>
            <w:r>
              <w:rPr>
                <w:rFonts w:ascii="Arial" w:cs="Arial" w:eastAsia="Arial" w:hAnsi="Arial"/>
                <w:sz w:val="16"/>
                <w:szCs w:val="16"/>
                <w:color w:val="auto"/>
                <w:w w:val="99"/>
              </w:rPr>
              <w:t>Budget and 12</w:t>
            </w:r>
          </w:p>
        </w:tc>
        <w:tc>
          <w:tcPr>
            <w:tcW w:w="15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1"/>
        </w:trPr>
        <w:tc>
          <w:tcPr>
            <w:tcW w:w="21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290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1700" w:type="dxa"/>
            <w:vAlign w:val="bottom"/>
          </w:tcPr>
          <w:p>
            <w:pPr>
              <w:jc w:val="center"/>
              <w:spacing w:after="0"/>
              <w:rPr>
                <w:sz w:val="20"/>
                <w:szCs w:val="20"/>
                <w:color w:val="auto"/>
              </w:rPr>
            </w:pPr>
            <w:r>
              <w:rPr>
                <w:rFonts w:ascii="Arial" w:cs="Arial" w:eastAsia="Arial" w:hAnsi="Arial"/>
                <w:sz w:val="16"/>
                <w:szCs w:val="16"/>
                <w:color w:val="auto"/>
                <w:w w:val="99"/>
              </w:rPr>
              <w:t>Months Cash Flow</w:t>
            </w:r>
          </w:p>
        </w:tc>
        <w:tc>
          <w:tcPr>
            <w:tcW w:w="15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4"/>
        </w:trPr>
        <w:tc>
          <w:tcPr>
            <w:tcW w:w="2120" w:type="dxa"/>
            <w:vAlign w:val="bottom"/>
            <w:tcBorders>
              <w:bottom w:val="single" w:sz="8" w:color="888992"/>
            </w:tcBorders>
            <w:shd w:val="clear" w:color="auto" w:fill="E3E5EB"/>
          </w:tcPr>
          <w:p>
            <w:pPr>
              <w:spacing w:after="0"/>
              <w:rPr>
                <w:sz w:val="16"/>
                <w:szCs w:val="16"/>
                <w:color w:val="auto"/>
              </w:rPr>
            </w:pPr>
          </w:p>
        </w:tc>
        <w:tc>
          <w:tcPr>
            <w:tcW w:w="300" w:type="dxa"/>
            <w:vAlign w:val="bottom"/>
            <w:tcBorders>
              <w:bottom w:val="single" w:sz="8" w:color="888992"/>
            </w:tcBorders>
            <w:shd w:val="clear" w:color="auto" w:fill="E3E5EB"/>
          </w:tcPr>
          <w:p>
            <w:pPr>
              <w:spacing w:after="0"/>
              <w:rPr>
                <w:sz w:val="16"/>
                <w:szCs w:val="16"/>
                <w:color w:val="auto"/>
              </w:rPr>
            </w:pPr>
          </w:p>
        </w:tc>
        <w:tc>
          <w:tcPr>
            <w:tcW w:w="1140" w:type="dxa"/>
            <w:vAlign w:val="bottom"/>
            <w:tcBorders>
              <w:bottom w:val="single" w:sz="8" w:color="888992"/>
            </w:tcBorders>
            <w:shd w:val="clear" w:color="auto" w:fill="E3E5EB"/>
          </w:tcPr>
          <w:p>
            <w:pPr>
              <w:spacing w:after="0"/>
              <w:rPr>
                <w:sz w:val="16"/>
                <w:szCs w:val="16"/>
                <w:color w:val="auto"/>
              </w:rPr>
            </w:pPr>
          </w:p>
        </w:tc>
        <w:tc>
          <w:tcPr>
            <w:tcW w:w="2900" w:type="dxa"/>
            <w:vAlign w:val="bottom"/>
            <w:tcBorders>
              <w:bottom w:val="single" w:sz="8" w:color="888992"/>
            </w:tcBorders>
            <w:shd w:val="clear" w:color="auto" w:fill="E3E5EB"/>
          </w:tcPr>
          <w:p>
            <w:pPr>
              <w:spacing w:after="0"/>
              <w:rPr>
                <w:sz w:val="16"/>
                <w:szCs w:val="16"/>
                <w:color w:val="auto"/>
              </w:rPr>
            </w:pPr>
          </w:p>
        </w:tc>
        <w:tc>
          <w:tcPr>
            <w:tcW w:w="3400" w:type="dxa"/>
            <w:vAlign w:val="bottom"/>
            <w:tcBorders>
              <w:bottom w:val="single" w:sz="8" w:color="888992"/>
            </w:tcBorders>
            <w:gridSpan w:val="2"/>
            <w:shd w:val="clear" w:color="auto" w:fill="E3E5EB"/>
          </w:tcPr>
          <w:p>
            <w:pPr>
              <w:ind w:left="680"/>
              <w:spacing w:after="0"/>
              <w:rPr>
                <w:sz w:val="20"/>
                <w:szCs w:val="20"/>
                <w:color w:val="auto"/>
              </w:rPr>
            </w:pPr>
            <w:r>
              <w:rPr>
                <w:rFonts w:ascii="Arial" w:cs="Arial" w:eastAsia="Arial" w:hAnsi="Arial"/>
                <w:sz w:val="16"/>
                <w:szCs w:val="16"/>
                <w:b w:val="1"/>
                <w:bCs w:val="1"/>
                <w:color w:val="auto"/>
              </w:rPr>
              <w:t>Overall Edington Incentive Result</w:t>
            </w:r>
          </w:p>
        </w:tc>
        <w:tc>
          <w:tcPr>
            <w:tcW w:w="1560" w:type="dxa"/>
            <w:vAlign w:val="bottom"/>
            <w:tcBorders>
              <w:bottom w:val="single" w:sz="8" w:color="888992"/>
            </w:tcBorders>
            <w:shd w:val="clear" w:color="auto" w:fill="E3E5EB"/>
          </w:tcPr>
          <w:p>
            <w:pPr>
              <w:jc w:val="center"/>
              <w:spacing w:after="0"/>
              <w:rPr>
                <w:sz w:val="20"/>
                <w:szCs w:val="20"/>
                <w:color w:val="auto"/>
              </w:rPr>
            </w:pPr>
            <w:r>
              <w:rPr>
                <w:rFonts w:ascii="Arial" w:cs="Arial" w:eastAsia="Arial" w:hAnsi="Arial"/>
                <w:sz w:val="16"/>
                <w:szCs w:val="16"/>
                <w:b w:val="1"/>
                <w:bCs w:val="1"/>
                <w:color w:val="auto"/>
                <w:w w:val="97"/>
              </w:rPr>
              <w:t>178%</w:t>
            </w:r>
          </w:p>
        </w:tc>
        <w:tc>
          <w:tcPr>
            <w:tcW w:w="0" w:type="dxa"/>
            <w:vAlign w:val="bottom"/>
          </w:tcPr>
          <w:p>
            <w:pPr>
              <w:spacing w:after="0"/>
              <w:rPr>
                <w:sz w:val="1"/>
                <w:szCs w:val="1"/>
                <w:color w:val="auto"/>
              </w:rPr>
            </w:pPr>
          </w:p>
        </w:tc>
      </w:tr>
      <w:tr>
        <w:trPr>
          <w:trHeight w:val="504"/>
        </w:trPr>
        <w:tc>
          <w:tcPr>
            <w:tcW w:w="2120" w:type="dxa"/>
            <w:vAlign w:val="bottom"/>
          </w:tcPr>
          <w:p>
            <w:pPr>
              <w:ind w:left="60"/>
              <w:spacing w:after="0"/>
              <w:rPr>
                <w:sz w:val="20"/>
                <w:szCs w:val="20"/>
                <w:color w:val="auto"/>
              </w:rPr>
            </w:pPr>
            <w:r>
              <w:rPr>
                <w:rFonts w:ascii="Arial" w:cs="Arial" w:eastAsia="Arial" w:hAnsi="Arial"/>
                <w:sz w:val="16"/>
                <w:szCs w:val="16"/>
                <w:b w:val="1"/>
                <w:bCs w:val="1"/>
                <w:color w:val="auto"/>
              </w:rPr>
              <w:t>54</w:t>
            </w:r>
          </w:p>
        </w:tc>
        <w:tc>
          <w:tcPr>
            <w:tcW w:w="300" w:type="dxa"/>
            <w:vAlign w:val="bottom"/>
            <w:vMerge w:val="restart"/>
          </w:tcPr>
          <w:p>
            <w:pPr>
              <w:jc w:val="right"/>
              <w:ind w:right="138"/>
              <w:spacing w:after="0"/>
              <w:rPr>
                <w:sz w:val="20"/>
                <w:szCs w:val="20"/>
                <w:color w:val="auto"/>
              </w:rPr>
            </w:pPr>
            <w:r>
              <w:rPr>
                <w:rFonts w:ascii="Arial" w:cs="Arial" w:eastAsia="Arial" w:hAnsi="Arial"/>
                <w:sz w:val="16"/>
                <w:szCs w:val="16"/>
                <w:b w:val="1"/>
                <w:bCs w:val="1"/>
                <w:color w:val="3A5575"/>
              </w:rPr>
              <w:t>|</w:t>
            </w:r>
          </w:p>
        </w:tc>
        <w:tc>
          <w:tcPr>
            <w:tcW w:w="4040" w:type="dxa"/>
            <w:vAlign w:val="bottom"/>
            <w:gridSpan w:val="2"/>
          </w:tcPr>
          <w:p>
            <w:pPr>
              <w:spacing w:after="0"/>
              <w:rPr>
                <w:sz w:val="20"/>
                <w:szCs w:val="20"/>
                <w:color w:val="auto"/>
              </w:rPr>
            </w:pPr>
            <w:r>
              <w:rPr>
                <w:rFonts w:ascii="Arial" w:cs="Arial" w:eastAsia="Arial" w:hAnsi="Arial"/>
                <w:sz w:val="16"/>
                <w:szCs w:val="16"/>
                <w:color w:val="auto"/>
              </w:rPr>
              <w:t>2016 Proxy Statement</w:t>
            </w:r>
          </w:p>
        </w:tc>
        <w:tc>
          <w:tcPr>
            <w:tcW w:w="170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
        </w:trPr>
        <w:tc>
          <w:tcPr>
            <w:tcW w:w="2120" w:type="dxa"/>
            <w:vAlign w:val="bottom"/>
          </w:tcPr>
          <w:p>
            <w:pPr>
              <w:spacing w:after="0"/>
              <w:rPr>
                <w:sz w:val="6"/>
                <w:szCs w:val="6"/>
                <w:color w:val="auto"/>
              </w:rPr>
            </w:pPr>
          </w:p>
        </w:tc>
        <w:tc>
          <w:tcPr>
            <w:tcW w:w="300" w:type="dxa"/>
            <w:vAlign w:val="bottom"/>
            <w:vMerge w:val="continue"/>
          </w:tcPr>
          <w:p>
            <w:pPr>
              <w:spacing w:after="0"/>
              <w:rPr>
                <w:sz w:val="6"/>
                <w:szCs w:val="6"/>
                <w:color w:val="auto"/>
              </w:rPr>
            </w:pPr>
          </w:p>
        </w:tc>
        <w:tc>
          <w:tcPr>
            <w:tcW w:w="1140" w:type="dxa"/>
            <w:vAlign w:val="bottom"/>
          </w:tcPr>
          <w:p>
            <w:pPr>
              <w:spacing w:after="0"/>
              <w:rPr>
                <w:sz w:val="6"/>
                <w:szCs w:val="6"/>
                <w:color w:val="auto"/>
              </w:rPr>
            </w:pPr>
          </w:p>
        </w:tc>
        <w:tc>
          <w:tcPr>
            <w:tcW w:w="2900" w:type="dxa"/>
            <w:vAlign w:val="bottom"/>
          </w:tcPr>
          <w:p>
            <w:pPr>
              <w:spacing w:after="0"/>
              <w:rPr>
                <w:sz w:val="6"/>
                <w:szCs w:val="6"/>
                <w:color w:val="auto"/>
              </w:rPr>
            </w:pPr>
          </w:p>
        </w:tc>
        <w:tc>
          <w:tcPr>
            <w:tcW w:w="1700" w:type="dxa"/>
            <w:vAlign w:val="bottom"/>
          </w:tcPr>
          <w:p>
            <w:pPr>
              <w:spacing w:after="0"/>
              <w:rPr>
                <w:sz w:val="6"/>
                <w:szCs w:val="6"/>
                <w:color w:val="auto"/>
              </w:rPr>
            </w:pPr>
          </w:p>
        </w:tc>
        <w:tc>
          <w:tcPr>
            <w:tcW w:w="1700" w:type="dxa"/>
            <w:vAlign w:val="bottom"/>
          </w:tcPr>
          <w:p>
            <w:pPr>
              <w:spacing w:after="0"/>
              <w:rPr>
                <w:sz w:val="6"/>
                <w:szCs w:val="6"/>
                <w:color w:val="auto"/>
              </w:rPr>
            </w:pPr>
          </w:p>
        </w:tc>
        <w:tc>
          <w:tcPr>
            <w:tcW w:w="15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2120" w:type="dxa"/>
            <w:vAlign w:val="bottom"/>
            <w:tcBorders>
              <w:bottom w:val="single" w:sz="8" w:color="808080"/>
            </w:tcBorders>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2900" w:type="dxa"/>
            <w:vAlign w:val="bottom"/>
            <w:tcBorders>
              <w:bottom w:val="single" w:sz="8" w:color="808080"/>
            </w:tcBorders>
          </w:tcPr>
          <w:p>
            <w:pPr>
              <w:spacing w:after="0"/>
              <w:rPr>
                <w:sz w:val="10"/>
                <w:szCs w:val="10"/>
                <w:color w:val="auto"/>
              </w:rPr>
            </w:pPr>
          </w:p>
        </w:tc>
        <w:tc>
          <w:tcPr>
            <w:tcW w:w="1700" w:type="dxa"/>
            <w:vAlign w:val="bottom"/>
            <w:tcBorders>
              <w:bottom w:val="single" w:sz="8" w:color="808080"/>
            </w:tcBorders>
          </w:tcPr>
          <w:p>
            <w:pPr>
              <w:spacing w:after="0"/>
              <w:rPr>
                <w:sz w:val="10"/>
                <w:szCs w:val="10"/>
                <w:color w:val="auto"/>
              </w:rPr>
            </w:pPr>
          </w:p>
        </w:tc>
        <w:tc>
          <w:tcPr>
            <w:tcW w:w="1700" w:type="dxa"/>
            <w:vAlign w:val="bottom"/>
            <w:tcBorders>
              <w:bottom w:val="single" w:sz="8" w:color="808080"/>
            </w:tcBorders>
          </w:tcPr>
          <w:p>
            <w:pPr>
              <w:spacing w:after="0"/>
              <w:rPr>
                <w:sz w:val="10"/>
                <w:szCs w:val="10"/>
                <w:color w:val="auto"/>
              </w:rPr>
            </w:pPr>
          </w:p>
        </w:tc>
        <w:tc>
          <w:tcPr>
            <w:tcW w:w="15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380365</wp:posOffset>
            </wp:positionH>
            <wp:positionV relativeFrom="paragraph">
              <wp:posOffset>-281940</wp:posOffset>
            </wp:positionV>
            <wp:extent cx="841375" cy="16383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63" w:name="page64"/>
    <w:bookmarkEnd w:id="63"/>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5832475</wp:posOffset>
            </wp:positionH>
            <wp:positionV relativeFrom="paragraph">
              <wp:posOffset>137795</wp:posOffset>
            </wp:positionV>
            <wp:extent cx="1482725" cy="1555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1482725" cy="155575"/>
                    </a:xfrm>
                    <a:prstGeom prst="rect">
                      <a:avLst/>
                    </a:prstGeom>
                    <a:noFill/>
                  </pic:spPr>
                </pic:pic>
              </a:graphicData>
            </a:graphic>
          </wp:anchor>
        </w:drawing>
      </w:r>
    </w:p>
    <w:p>
      <w:pPr>
        <w:spacing w:after="0" w:line="232" w:lineRule="exact"/>
        <w:rPr>
          <w:sz w:val="20"/>
          <w:szCs w:val="20"/>
          <w:color w:val="auto"/>
        </w:rPr>
      </w:pPr>
    </w:p>
    <w:p>
      <w:pPr>
        <w:ind w:left="9240"/>
        <w:spacing w:after="0"/>
        <w:rPr>
          <w:sz w:val="20"/>
          <w:szCs w:val="20"/>
          <w:color w:val="auto"/>
        </w:rPr>
      </w:pPr>
      <w:r>
        <w:rPr>
          <w:rFonts w:ascii="Arial" w:cs="Arial" w:eastAsia="Arial" w:hAnsi="Arial"/>
          <w:sz w:val="13"/>
          <w:szCs w:val="13"/>
          <w:b w:val="1"/>
          <w:bCs w:val="1"/>
          <w:color w:val="FFFFFE"/>
        </w:rPr>
        <w:t>EXECUTIVE COMPENSATION</w:t>
      </w:r>
    </w:p>
    <w:p>
      <w:pPr>
        <w:spacing w:after="0" w:line="92" w:lineRule="exact"/>
        <w:rPr>
          <w:sz w:val="20"/>
          <w:szCs w:val="20"/>
          <w:color w:val="auto"/>
        </w:rPr>
      </w:pPr>
    </w:p>
    <w:p>
      <w:pPr>
        <w:spacing w:after="0"/>
        <w:rPr>
          <w:sz w:val="20"/>
          <w:szCs w:val="20"/>
          <w:color w:val="auto"/>
        </w:rPr>
      </w:pPr>
      <w:r>
        <w:rPr>
          <w:rFonts w:ascii="Arial" w:cs="Arial" w:eastAsia="Arial" w:hAnsi="Arial"/>
          <w:sz w:val="20"/>
          <w:szCs w:val="20"/>
          <w:color w:val="auto"/>
        </w:rPr>
        <w:t>Mr. Schiavoni's business unit performance metrics (50% of the overall opportunity) were as follows:</w:t>
      </w:r>
    </w:p>
    <w:p>
      <w:pPr>
        <w:spacing w:after="0" w:line="200" w:lineRule="exact"/>
        <w:rPr>
          <w:sz w:val="20"/>
          <w:szCs w:val="20"/>
          <w:color w:val="auto"/>
        </w:rPr>
      </w:pPr>
    </w:p>
    <w:p>
      <w:pPr>
        <w:spacing w:after="0" w:line="341"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00" w:type="dxa"/>
            <w:vAlign w:val="bottom"/>
          </w:tcPr>
          <w:p>
            <w:pPr>
              <w:spacing w:after="0"/>
              <w:rPr>
                <w:sz w:val="16"/>
                <w:szCs w:val="16"/>
                <w:color w:val="auto"/>
              </w:rPr>
            </w:pPr>
          </w:p>
        </w:tc>
        <w:tc>
          <w:tcPr>
            <w:tcW w:w="3560" w:type="dxa"/>
            <w:vAlign w:val="bottom"/>
          </w:tcPr>
          <w:p>
            <w:pPr>
              <w:spacing w:after="0"/>
              <w:rPr>
                <w:sz w:val="16"/>
                <w:szCs w:val="16"/>
                <w:color w:val="auto"/>
              </w:rPr>
            </w:pPr>
          </w:p>
        </w:tc>
        <w:tc>
          <w:tcPr>
            <w:tcW w:w="346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600" w:type="dxa"/>
            <w:vAlign w:val="bottom"/>
          </w:tcPr>
          <w:p>
            <w:pPr>
              <w:spacing w:after="0"/>
              <w:rPr>
                <w:sz w:val="16"/>
                <w:szCs w:val="16"/>
                <w:color w:val="auto"/>
              </w:rPr>
            </w:pPr>
          </w:p>
        </w:tc>
        <w:tc>
          <w:tcPr>
            <w:tcW w:w="1440" w:type="dxa"/>
            <w:vAlign w:val="bottom"/>
          </w:tcPr>
          <w:p>
            <w:pPr>
              <w:jc w:val="center"/>
              <w:ind w:left="40"/>
              <w:spacing w:after="0"/>
              <w:rPr>
                <w:sz w:val="20"/>
                <w:szCs w:val="20"/>
                <w:color w:val="auto"/>
              </w:rPr>
            </w:pPr>
            <w:r>
              <w:rPr>
                <w:rFonts w:ascii="Arial" w:cs="Arial" w:eastAsia="Arial" w:hAnsi="Arial"/>
                <w:sz w:val="16"/>
                <w:szCs w:val="16"/>
                <w:b w:val="1"/>
                <w:bCs w:val="1"/>
                <w:color w:val="3A5575"/>
                <w:w w:val="97"/>
              </w:rPr>
              <w:t>% OF TARGET</w:t>
            </w:r>
          </w:p>
        </w:tc>
        <w:tc>
          <w:tcPr>
            <w:tcW w:w="80" w:type="dxa"/>
            <w:vAlign w:val="bottom"/>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3560" w:type="dxa"/>
            <w:vAlign w:val="bottom"/>
          </w:tcPr>
          <w:p>
            <w:pPr>
              <w:spacing w:after="0"/>
              <w:rPr>
                <w:sz w:val="16"/>
                <w:szCs w:val="16"/>
                <w:color w:val="auto"/>
              </w:rPr>
            </w:pPr>
          </w:p>
        </w:tc>
        <w:tc>
          <w:tcPr>
            <w:tcW w:w="346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1600" w:type="dxa"/>
            <w:vAlign w:val="bottom"/>
          </w:tcPr>
          <w:p>
            <w:pPr>
              <w:jc w:val="center"/>
              <w:spacing w:after="0"/>
              <w:rPr>
                <w:sz w:val="20"/>
                <w:szCs w:val="20"/>
                <w:color w:val="auto"/>
              </w:rPr>
            </w:pPr>
            <w:r>
              <w:rPr>
                <w:rFonts w:ascii="Arial" w:cs="Arial" w:eastAsia="Arial" w:hAnsi="Arial"/>
                <w:sz w:val="16"/>
                <w:szCs w:val="16"/>
                <w:b w:val="1"/>
                <w:bCs w:val="1"/>
                <w:color w:val="3A5575"/>
              </w:rPr>
              <w:t>ACTUAL</w:t>
            </w:r>
          </w:p>
        </w:tc>
        <w:tc>
          <w:tcPr>
            <w:tcW w:w="1440" w:type="dxa"/>
            <w:vAlign w:val="bottom"/>
          </w:tcPr>
          <w:p>
            <w:pPr>
              <w:jc w:val="center"/>
              <w:ind w:left="40"/>
              <w:spacing w:after="0"/>
              <w:rPr>
                <w:sz w:val="20"/>
                <w:szCs w:val="20"/>
                <w:color w:val="auto"/>
              </w:rPr>
            </w:pPr>
            <w:r>
              <w:rPr>
                <w:rFonts w:ascii="Arial" w:cs="Arial" w:eastAsia="Arial" w:hAnsi="Arial"/>
                <w:sz w:val="16"/>
                <w:szCs w:val="16"/>
                <w:b w:val="1"/>
                <w:bCs w:val="1"/>
                <w:color w:val="3A5575"/>
                <w:w w:val="98"/>
              </w:rPr>
              <w:t>PERFORMANCE</w:t>
            </w:r>
          </w:p>
        </w:tc>
        <w:tc>
          <w:tcPr>
            <w:tcW w:w="80" w:type="dxa"/>
            <w:vAlign w:val="bottom"/>
          </w:tcPr>
          <w:p>
            <w:pPr>
              <w:spacing w:after="0"/>
              <w:rPr>
                <w:sz w:val="16"/>
                <w:szCs w:val="16"/>
                <w:color w:val="auto"/>
              </w:rPr>
            </w:pPr>
          </w:p>
        </w:tc>
      </w:tr>
      <w:tr>
        <w:trPr>
          <w:trHeight w:val="203"/>
        </w:trPr>
        <w:tc>
          <w:tcPr>
            <w:tcW w:w="100" w:type="dxa"/>
            <w:vAlign w:val="bottom"/>
          </w:tcPr>
          <w:p>
            <w:pPr>
              <w:spacing w:after="0"/>
              <w:rPr>
                <w:sz w:val="17"/>
                <w:szCs w:val="17"/>
                <w:color w:val="auto"/>
              </w:rPr>
            </w:pPr>
          </w:p>
        </w:tc>
        <w:tc>
          <w:tcPr>
            <w:tcW w:w="3560" w:type="dxa"/>
            <w:vAlign w:val="bottom"/>
            <w:tcBorders>
              <w:bottom w:val="single" w:sz="8" w:color="888992"/>
            </w:tcBorders>
          </w:tcPr>
          <w:p>
            <w:pPr>
              <w:spacing w:after="0"/>
              <w:rPr>
                <w:sz w:val="20"/>
                <w:szCs w:val="20"/>
                <w:color w:val="auto"/>
              </w:rPr>
            </w:pPr>
            <w:r>
              <w:rPr>
                <w:rFonts w:ascii="Arial" w:cs="Arial" w:eastAsia="Arial" w:hAnsi="Arial"/>
                <w:sz w:val="16"/>
                <w:szCs w:val="16"/>
                <w:b w:val="1"/>
                <w:bCs w:val="1"/>
                <w:color w:val="3A5575"/>
                <w:w w:val="99"/>
              </w:rPr>
              <w:t>PERFORMANCE MEASURES AND WEIGHTING</w:t>
            </w:r>
          </w:p>
        </w:tc>
        <w:tc>
          <w:tcPr>
            <w:tcW w:w="3460" w:type="dxa"/>
            <w:vAlign w:val="bottom"/>
            <w:tcBorders>
              <w:bottom w:val="single" w:sz="8" w:color="888992"/>
            </w:tcBorders>
          </w:tcPr>
          <w:p>
            <w:pPr>
              <w:ind w:left="1300"/>
              <w:spacing w:after="0"/>
              <w:rPr>
                <w:sz w:val="20"/>
                <w:szCs w:val="20"/>
                <w:color w:val="auto"/>
              </w:rPr>
            </w:pPr>
            <w:r>
              <w:rPr>
                <w:rFonts w:ascii="Arial" w:cs="Arial" w:eastAsia="Arial" w:hAnsi="Arial"/>
                <w:sz w:val="16"/>
                <w:szCs w:val="16"/>
                <w:b w:val="1"/>
                <w:bCs w:val="1"/>
                <w:color w:val="3A5575"/>
              </w:rPr>
              <w:t>MEASURE</w:t>
            </w:r>
          </w:p>
        </w:tc>
        <w:tc>
          <w:tcPr>
            <w:tcW w:w="1280" w:type="dxa"/>
            <w:vAlign w:val="bottom"/>
            <w:tcBorders>
              <w:bottom w:val="single" w:sz="8" w:color="888992"/>
            </w:tcBorders>
          </w:tcPr>
          <w:p>
            <w:pPr>
              <w:ind w:left="260"/>
              <w:spacing w:after="0"/>
              <w:rPr>
                <w:sz w:val="20"/>
                <w:szCs w:val="20"/>
                <w:color w:val="auto"/>
              </w:rPr>
            </w:pPr>
            <w:r>
              <w:rPr>
                <w:rFonts w:ascii="Arial" w:cs="Arial" w:eastAsia="Arial" w:hAnsi="Arial"/>
                <w:sz w:val="16"/>
                <w:szCs w:val="16"/>
                <w:b w:val="1"/>
                <w:bCs w:val="1"/>
                <w:color w:val="3A5575"/>
              </w:rPr>
              <w:t>TARGET</w:t>
            </w:r>
          </w:p>
        </w:tc>
        <w:tc>
          <w:tcPr>
            <w:tcW w:w="160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9"/>
              </w:rPr>
              <w:t>RESULTS</w:t>
            </w:r>
          </w:p>
        </w:tc>
        <w:tc>
          <w:tcPr>
            <w:tcW w:w="1440" w:type="dxa"/>
            <w:vAlign w:val="bottom"/>
            <w:tcBorders>
              <w:bottom w:val="single" w:sz="8" w:color="888992"/>
            </w:tcBorders>
          </w:tcPr>
          <w:p>
            <w:pPr>
              <w:jc w:val="center"/>
              <w:ind w:left="40"/>
              <w:spacing w:after="0"/>
              <w:rPr>
                <w:sz w:val="20"/>
                <w:szCs w:val="20"/>
                <w:color w:val="auto"/>
              </w:rPr>
            </w:pPr>
            <w:r>
              <w:rPr>
                <w:rFonts w:ascii="Arial" w:cs="Arial" w:eastAsia="Arial" w:hAnsi="Arial"/>
                <w:sz w:val="16"/>
                <w:szCs w:val="16"/>
                <w:b w:val="1"/>
                <w:bCs w:val="1"/>
                <w:color w:val="3A5575"/>
              </w:rPr>
              <w:t>ACHIEVED</w:t>
            </w:r>
          </w:p>
        </w:tc>
        <w:tc>
          <w:tcPr>
            <w:tcW w:w="80" w:type="dxa"/>
            <w:vAlign w:val="bottom"/>
            <w:tcBorders>
              <w:bottom w:val="single" w:sz="8" w:color="888992"/>
            </w:tcBorders>
          </w:tcPr>
          <w:p>
            <w:pPr>
              <w:spacing w:after="0"/>
              <w:rPr>
                <w:sz w:val="17"/>
                <w:szCs w:val="17"/>
                <w:color w:val="auto"/>
              </w:rPr>
            </w:pPr>
          </w:p>
        </w:tc>
      </w:tr>
      <w:tr>
        <w:trPr>
          <w:trHeight w:val="157"/>
        </w:trPr>
        <w:tc>
          <w:tcPr>
            <w:tcW w:w="100" w:type="dxa"/>
            <w:vAlign w:val="bottom"/>
          </w:tcPr>
          <w:p>
            <w:pPr>
              <w:spacing w:after="0"/>
              <w:rPr>
                <w:sz w:val="13"/>
                <w:szCs w:val="13"/>
                <w:color w:val="auto"/>
              </w:rPr>
            </w:pPr>
          </w:p>
        </w:tc>
        <w:tc>
          <w:tcPr>
            <w:tcW w:w="3560" w:type="dxa"/>
            <w:vAlign w:val="bottom"/>
            <w:shd w:val="clear" w:color="auto" w:fill="E3E5EB"/>
          </w:tcPr>
          <w:p>
            <w:pPr>
              <w:spacing w:after="0" w:line="157" w:lineRule="exact"/>
              <w:rPr>
                <w:sz w:val="20"/>
                <w:szCs w:val="20"/>
                <w:color w:val="auto"/>
              </w:rPr>
            </w:pPr>
            <w:r>
              <w:rPr>
                <w:rFonts w:ascii="Arial" w:cs="Arial" w:eastAsia="Arial" w:hAnsi="Arial"/>
                <w:sz w:val="16"/>
                <w:szCs w:val="16"/>
                <w:b w:val="1"/>
                <w:bCs w:val="1"/>
                <w:color w:val="auto"/>
              </w:rPr>
              <w:t>Corporate Resources Business</w:t>
            </w:r>
          </w:p>
        </w:tc>
        <w:tc>
          <w:tcPr>
            <w:tcW w:w="3460" w:type="dxa"/>
            <w:vAlign w:val="bottom"/>
            <w:shd w:val="clear" w:color="auto" w:fill="E3E5EB"/>
          </w:tcPr>
          <w:p>
            <w:pPr>
              <w:spacing w:after="0"/>
              <w:rPr>
                <w:sz w:val="13"/>
                <w:szCs w:val="13"/>
                <w:color w:val="auto"/>
              </w:rPr>
            </w:pPr>
          </w:p>
        </w:tc>
        <w:tc>
          <w:tcPr>
            <w:tcW w:w="1280" w:type="dxa"/>
            <w:vAlign w:val="bottom"/>
            <w:shd w:val="clear" w:color="auto" w:fill="E3E5EB"/>
          </w:tcPr>
          <w:p>
            <w:pPr>
              <w:spacing w:after="0"/>
              <w:rPr>
                <w:sz w:val="13"/>
                <w:szCs w:val="13"/>
                <w:color w:val="auto"/>
              </w:rPr>
            </w:pPr>
          </w:p>
        </w:tc>
        <w:tc>
          <w:tcPr>
            <w:tcW w:w="1600" w:type="dxa"/>
            <w:vAlign w:val="bottom"/>
            <w:shd w:val="clear" w:color="auto" w:fill="E3E5EB"/>
          </w:tcPr>
          <w:p>
            <w:pPr>
              <w:spacing w:after="0"/>
              <w:rPr>
                <w:sz w:val="13"/>
                <w:szCs w:val="13"/>
                <w:color w:val="auto"/>
              </w:rPr>
            </w:pPr>
          </w:p>
        </w:tc>
        <w:tc>
          <w:tcPr>
            <w:tcW w:w="1440" w:type="dxa"/>
            <w:vAlign w:val="bottom"/>
            <w:shd w:val="clear" w:color="auto" w:fill="E3E5EB"/>
          </w:tcPr>
          <w:p>
            <w:pPr>
              <w:spacing w:after="0"/>
              <w:rPr>
                <w:sz w:val="13"/>
                <w:szCs w:val="13"/>
                <w:color w:val="auto"/>
              </w:rPr>
            </w:pPr>
          </w:p>
        </w:tc>
        <w:tc>
          <w:tcPr>
            <w:tcW w:w="80" w:type="dxa"/>
            <w:vAlign w:val="bottom"/>
            <w:shd w:val="clear" w:color="auto" w:fill="E3E5EB"/>
          </w:tcPr>
          <w:p>
            <w:pPr>
              <w:spacing w:after="0"/>
              <w:rPr>
                <w:sz w:val="13"/>
                <w:szCs w:val="13"/>
                <w:color w:val="auto"/>
              </w:rPr>
            </w:pPr>
          </w:p>
        </w:tc>
      </w:tr>
      <w:tr>
        <w:trPr>
          <w:trHeight w:val="203"/>
        </w:trPr>
        <w:tc>
          <w:tcPr>
            <w:tcW w:w="100" w:type="dxa"/>
            <w:vAlign w:val="bottom"/>
          </w:tcPr>
          <w:p>
            <w:pPr>
              <w:spacing w:after="0"/>
              <w:rPr>
                <w:sz w:val="17"/>
                <w:szCs w:val="17"/>
                <w:color w:val="auto"/>
              </w:rPr>
            </w:pPr>
          </w:p>
        </w:tc>
        <w:tc>
          <w:tcPr>
            <w:tcW w:w="3560" w:type="dxa"/>
            <w:vAlign w:val="bottom"/>
            <w:shd w:val="clear" w:color="auto" w:fill="E3E5EB"/>
          </w:tcPr>
          <w:p>
            <w:pPr>
              <w:ind w:left="140"/>
              <w:spacing w:after="0"/>
              <w:rPr>
                <w:sz w:val="20"/>
                <w:szCs w:val="20"/>
                <w:color w:val="auto"/>
              </w:rPr>
            </w:pPr>
            <w:r>
              <w:rPr>
                <w:rFonts w:ascii="Arial" w:cs="Arial" w:eastAsia="Arial" w:hAnsi="Arial"/>
                <w:sz w:val="16"/>
                <w:szCs w:val="16"/>
                <w:b w:val="1"/>
                <w:bCs w:val="1"/>
                <w:color w:val="auto"/>
              </w:rPr>
              <w:t>Unit — 12.50%:</w:t>
            </w:r>
          </w:p>
        </w:tc>
        <w:tc>
          <w:tcPr>
            <w:tcW w:w="3460" w:type="dxa"/>
            <w:vAlign w:val="bottom"/>
            <w:shd w:val="clear" w:color="auto" w:fill="E3E5EB"/>
          </w:tcPr>
          <w:p>
            <w:pPr>
              <w:spacing w:after="0"/>
              <w:rPr>
                <w:sz w:val="17"/>
                <w:szCs w:val="17"/>
                <w:color w:val="auto"/>
              </w:rPr>
            </w:pPr>
          </w:p>
        </w:tc>
        <w:tc>
          <w:tcPr>
            <w:tcW w:w="1280" w:type="dxa"/>
            <w:vAlign w:val="bottom"/>
            <w:shd w:val="clear" w:color="auto" w:fill="E3E5EB"/>
          </w:tcPr>
          <w:p>
            <w:pPr>
              <w:spacing w:after="0"/>
              <w:rPr>
                <w:sz w:val="17"/>
                <w:szCs w:val="17"/>
                <w:color w:val="auto"/>
              </w:rPr>
            </w:pPr>
          </w:p>
        </w:tc>
        <w:tc>
          <w:tcPr>
            <w:tcW w:w="160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c>
          <w:tcPr>
            <w:tcW w:w="80" w:type="dxa"/>
            <w:vAlign w:val="bottom"/>
            <w:shd w:val="clear" w:color="auto" w:fill="E3E5EB"/>
          </w:tcPr>
          <w:p>
            <w:pPr>
              <w:spacing w:after="0"/>
              <w:rPr>
                <w:sz w:val="17"/>
                <w:szCs w:val="17"/>
                <w:color w:val="auto"/>
              </w:rPr>
            </w:pPr>
          </w:p>
        </w:tc>
      </w:tr>
      <w:tr>
        <w:trPr>
          <w:trHeight w:val="167"/>
        </w:trPr>
        <w:tc>
          <w:tcPr>
            <w:tcW w:w="100" w:type="dxa"/>
            <w:vAlign w:val="bottom"/>
          </w:tcPr>
          <w:p>
            <w:pPr>
              <w:spacing w:after="0"/>
              <w:rPr>
                <w:sz w:val="14"/>
                <w:szCs w:val="14"/>
                <w:color w:val="auto"/>
              </w:rPr>
            </w:pPr>
          </w:p>
        </w:tc>
        <w:tc>
          <w:tcPr>
            <w:tcW w:w="3560" w:type="dxa"/>
            <w:vAlign w:val="bottom"/>
          </w:tcPr>
          <w:p>
            <w:pPr>
              <w:ind w:left="140"/>
              <w:spacing w:after="0" w:line="167" w:lineRule="exact"/>
              <w:rPr>
                <w:sz w:val="20"/>
                <w:szCs w:val="20"/>
                <w:color w:val="auto"/>
              </w:rPr>
            </w:pPr>
            <w:r>
              <w:rPr>
                <w:rFonts w:ascii="Arial" w:cs="Arial" w:eastAsia="Arial" w:hAnsi="Arial"/>
                <w:sz w:val="16"/>
                <w:szCs w:val="16"/>
                <w:color w:val="auto"/>
              </w:rPr>
              <w:t>Business Area</w:t>
            </w:r>
          </w:p>
        </w:tc>
        <w:tc>
          <w:tcPr>
            <w:tcW w:w="3460" w:type="dxa"/>
            <w:vAlign w:val="bottom"/>
          </w:tcPr>
          <w:p>
            <w:pPr>
              <w:ind w:left="180"/>
              <w:spacing w:after="0" w:line="167" w:lineRule="exact"/>
              <w:rPr>
                <w:sz w:val="20"/>
                <w:szCs w:val="20"/>
                <w:color w:val="auto"/>
              </w:rPr>
            </w:pPr>
            <w:r>
              <w:rPr>
                <w:rFonts w:ascii="Arial" w:cs="Arial" w:eastAsia="Arial" w:hAnsi="Arial"/>
                <w:sz w:val="16"/>
                <w:szCs w:val="16"/>
                <w:color w:val="auto"/>
              </w:rPr>
              <w:t>Supply Chain (4.17%)</w:t>
            </w:r>
          </w:p>
        </w:tc>
        <w:tc>
          <w:tcPr>
            <w:tcW w:w="1280" w:type="dxa"/>
            <w:vAlign w:val="bottom"/>
          </w:tcPr>
          <w:p>
            <w:pPr>
              <w:jc w:val="center"/>
              <w:ind w:right="20"/>
              <w:spacing w:after="0" w:line="167" w:lineRule="exact"/>
              <w:rPr>
                <w:sz w:val="20"/>
                <w:szCs w:val="20"/>
                <w:color w:val="auto"/>
              </w:rPr>
            </w:pPr>
            <w:r>
              <w:rPr>
                <w:rFonts w:ascii="Arial" w:cs="Arial" w:eastAsia="Arial" w:hAnsi="Arial"/>
                <w:sz w:val="16"/>
                <w:szCs w:val="16"/>
                <w:color w:val="auto"/>
              </w:rPr>
              <w:t>100%</w:t>
            </w:r>
          </w:p>
        </w:tc>
        <w:tc>
          <w:tcPr>
            <w:tcW w:w="1600" w:type="dxa"/>
            <w:vAlign w:val="bottom"/>
          </w:tcPr>
          <w:p>
            <w:pPr>
              <w:jc w:val="center"/>
              <w:spacing w:after="0" w:line="167" w:lineRule="exact"/>
              <w:rPr>
                <w:sz w:val="20"/>
                <w:szCs w:val="20"/>
                <w:color w:val="auto"/>
              </w:rPr>
            </w:pPr>
            <w:r>
              <w:rPr>
                <w:rFonts w:ascii="Arial" w:cs="Arial" w:eastAsia="Arial" w:hAnsi="Arial"/>
                <w:sz w:val="16"/>
                <w:szCs w:val="16"/>
                <w:color w:val="auto"/>
                <w:w w:val="99"/>
              </w:rPr>
              <w:t>183.2%</w:t>
            </w:r>
          </w:p>
        </w:tc>
        <w:tc>
          <w:tcPr>
            <w:tcW w:w="144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7"/>
              </w:rPr>
              <w:t>183%</w:t>
            </w:r>
          </w:p>
        </w:tc>
        <w:tc>
          <w:tcPr>
            <w:tcW w:w="80" w:type="dxa"/>
            <w:vAlign w:val="bottom"/>
          </w:tcPr>
          <w:p>
            <w:pPr>
              <w:spacing w:after="0"/>
              <w:rPr>
                <w:sz w:val="14"/>
                <w:szCs w:val="14"/>
                <w:color w:val="auto"/>
              </w:rPr>
            </w:pPr>
          </w:p>
        </w:tc>
      </w:tr>
      <w:tr>
        <w:trPr>
          <w:trHeight w:val="184"/>
        </w:trPr>
        <w:tc>
          <w:tcPr>
            <w:tcW w:w="100" w:type="dxa"/>
            <w:vAlign w:val="bottom"/>
          </w:tcPr>
          <w:p>
            <w:pPr>
              <w:spacing w:after="0"/>
              <w:rPr>
                <w:sz w:val="16"/>
                <w:szCs w:val="16"/>
                <w:color w:val="auto"/>
              </w:rPr>
            </w:pPr>
          </w:p>
        </w:tc>
        <w:tc>
          <w:tcPr>
            <w:tcW w:w="3560" w:type="dxa"/>
            <w:vAlign w:val="bottom"/>
          </w:tcPr>
          <w:p>
            <w:pPr>
              <w:ind w:left="300"/>
              <w:spacing w:after="0"/>
              <w:rPr>
                <w:sz w:val="20"/>
                <w:szCs w:val="20"/>
                <w:color w:val="auto"/>
              </w:rPr>
            </w:pPr>
            <w:r>
              <w:rPr>
                <w:rFonts w:ascii="Arial" w:cs="Arial" w:eastAsia="Arial" w:hAnsi="Arial"/>
                <w:sz w:val="16"/>
                <w:szCs w:val="16"/>
                <w:color w:val="auto"/>
              </w:rPr>
              <w:t>Performance — 12.50%</w:t>
            </w:r>
          </w:p>
        </w:tc>
        <w:tc>
          <w:tcPr>
            <w:tcW w:w="3460" w:type="dxa"/>
            <w:vAlign w:val="bottom"/>
          </w:tcPr>
          <w:p>
            <w:pPr>
              <w:ind w:left="180"/>
              <w:spacing w:after="0"/>
              <w:rPr>
                <w:sz w:val="20"/>
                <w:szCs w:val="20"/>
                <w:color w:val="auto"/>
              </w:rPr>
            </w:pPr>
            <w:r>
              <w:rPr>
                <w:rFonts w:ascii="Arial" w:cs="Arial" w:eastAsia="Arial" w:hAnsi="Arial"/>
                <w:sz w:val="16"/>
                <w:szCs w:val="16"/>
                <w:color w:val="auto"/>
              </w:rPr>
              <w:t>Sustainability (4.17%)</w:t>
            </w:r>
          </w:p>
        </w:tc>
        <w:tc>
          <w:tcPr>
            <w:tcW w:w="1280" w:type="dxa"/>
            <w:vAlign w:val="bottom"/>
          </w:tcPr>
          <w:p>
            <w:pPr>
              <w:jc w:val="center"/>
              <w:ind w:right="20"/>
              <w:spacing w:after="0"/>
              <w:rPr>
                <w:sz w:val="20"/>
                <w:szCs w:val="20"/>
                <w:color w:val="auto"/>
              </w:rPr>
            </w:pPr>
            <w:r>
              <w:rPr>
                <w:rFonts w:ascii="Arial" w:cs="Arial" w:eastAsia="Arial" w:hAnsi="Arial"/>
                <w:sz w:val="16"/>
                <w:szCs w:val="16"/>
                <w:color w:val="auto"/>
              </w:rPr>
              <w:t>100%</w:t>
            </w:r>
          </w:p>
        </w:tc>
        <w:tc>
          <w:tcPr>
            <w:tcW w:w="1600" w:type="dxa"/>
            <w:vAlign w:val="bottom"/>
          </w:tcPr>
          <w:p>
            <w:pPr>
              <w:jc w:val="center"/>
              <w:spacing w:after="0"/>
              <w:rPr>
                <w:sz w:val="20"/>
                <w:szCs w:val="20"/>
                <w:color w:val="auto"/>
              </w:rPr>
            </w:pPr>
            <w:r>
              <w:rPr>
                <w:rFonts w:ascii="Arial" w:cs="Arial" w:eastAsia="Arial" w:hAnsi="Arial"/>
                <w:sz w:val="16"/>
                <w:szCs w:val="16"/>
                <w:color w:val="auto"/>
                <w:w w:val="99"/>
              </w:rPr>
              <w:t>183.0%</w:t>
            </w:r>
          </w:p>
        </w:tc>
        <w:tc>
          <w:tcPr>
            <w:tcW w:w="1440" w:type="dxa"/>
            <w:vAlign w:val="bottom"/>
          </w:tcPr>
          <w:p>
            <w:pPr>
              <w:jc w:val="center"/>
              <w:ind w:left="40"/>
              <w:spacing w:after="0"/>
              <w:rPr>
                <w:sz w:val="20"/>
                <w:szCs w:val="20"/>
                <w:color w:val="auto"/>
              </w:rPr>
            </w:pPr>
            <w:r>
              <w:rPr>
                <w:rFonts w:ascii="Arial" w:cs="Arial" w:eastAsia="Arial" w:hAnsi="Arial"/>
                <w:sz w:val="16"/>
                <w:szCs w:val="16"/>
                <w:color w:val="auto"/>
                <w:w w:val="97"/>
              </w:rPr>
              <w:t>183%</w:t>
            </w:r>
          </w:p>
        </w:tc>
        <w:tc>
          <w:tcPr>
            <w:tcW w:w="80" w:type="dxa"/>
            <w:vAlign w:val="bottom"/>
          </w:tcPr>
          <w:p>
            <w:pPr>
              <w:spacing w:after="0"/>
              <w:rPr>
                <w:sz w:val="16"/>
                <w:szCs w:val="16"/>
                <w:color w:val="auto"/>
              </w:rPr>
            </w:pPr>
          </w:p>
        </w:tc>
      </w:tr>
      <w:tr>
        <w:trPr>
          <w:trHeight w:val="213"/>
        </w:trPr>
        <w:tc>
          <w:tcPr>
            <w:tcW w:w="100" w:type="dxa"/>
            <w:vAlign w:val="bottom"/>
          </w:tcPr>
          <w:p>
            <w:pPr>
              <w:spacing w:after="0"/>
              <w:rPr>
                <w:sz w:val="18"/>
                <w:szCs w:val="18"/>
                <w:color w:val="auto"/>
              </w:rPr>
            </w:pPr>
          </w:p>
        </w:tc>
        <w:tc>
          <w:tcPr>
            <w:tcW w:w="3560" w:type="dxa"/>
            <w:vAlign w:val="bottom"/>
          </w:tcPr>
          <w:p>
            <w:pPr>
              <w:spacing w:after="0"/>
              <w:rPr>
                <w:sz w:val="18"/>
                <w:szCs w:val="18"/>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Resource Management (4.16%)</w:t>
            </w:r>
          </w:p>
        </w:tc>
        <w:tc>
          <w:tcPr>
            <w:tcW w:w="1280" w:type="dxa"/>
            <w:vAlign w:val="bottom"/>
          </w:tcPr>
          <w:p>
            <w:pPr>
              <w:jc w:val="center"/>
              <w:ind w:right="20"/>
              <w:spacing w:after="0"/>
              <w:rPr>
                <w:sz w:val="20"/>
                <w:szCs w:val="20"/>
                <w:color w:val="auto"/>
              </w:rPr>
            </w:pPr>
            <w:r>
              <w:rPr>
                <w:rFonts w:ascii="Arial" w:cs="Arial" w:eastAsia="Arial" w:hAnsi="Arial"/>
                <w:sz w:val="16"/>
                <w:szCs w:val="16"/>
                <w:color w:val="auto"/>
              </w:rPr>
              <w:t>100%</w:t>
            </w:r>
          </w:p>
        </w:tc>
        <w:tc>
          <w:tcPr>
            <w:tcW w:w="1600" w:type="dxa"/>
            <w:vAlign w:val="bottom"/>
          </w:tcPr>
          <w:p>
            <w:pPr>
              <w:jc w:val="center"/>
              <w:spacing w:after="0"/>
              <w:rPr>
                <w:sz w:val="20"/>
                <w:szCs w:val="20"/>
                <w:color w:val="auto"/>
              </w:rPr>
            </w:pPr>
            <w:r>
              <w:rPr>
                <w:rFonts w:ascii="Arial" w:cs="Arial" w:eastAsia="Arial" w:hAnsi="Arial"/>
                <w:sz w:val="16"/>
                <w:szCs w:val="16"/>
                <w:color w:val="auto"/>
                <w:w w:val="99"/>
              </w:rPr>
              <w:t>173.7%</w:t>
            </w:r>
          </w:p>
        </w:tc>
        <w:tc>
          <w:tcPr>
            <w:tcW w:w="1440" w:type="dxa"/>
            <w:vAlign w:val="bottom"/>
          </w:tcPr>
          <w:p>
            <w:pPr>
              <w:jc w:val="center"/>
              <w:ind w:left="40"/>
              <w:spacing w:after="0"/>
              <w:rPr>
                <w:sz w:val="20"/>
                <w:szCs w:val="20"/>
                <w:color w:val="auto"/>
              </w:rPr>
            </w:pPr>
            <w:r>
              <w:rPr>
                <w:rFonts w:ascii="Arial" w:cs="Arial" w:eastAsia="Arial" w:hAnsi="Arial"/>
                <w:sz w:val="16"/>
                <w:szCs w:val="16"/>
                <w:color w:val="auto"/>
                <w:w w:val="97"/>
              </w:rPr>
              <w:t>174%</w:t>
            </w:r>
          </w:p>
        </w:tc>
        <w:tc>
          <w:tcPr>
            <w:tcW w:w="80" w:type="dxa"/>
            <w:vAlign w:val="bottom"/>
          </w:tcPr>
          <w:p>
            <w:pPr>
              <w:spacing w:after="0"/>
              <w:rPr>
                <w:sz w:val="18"/>
                <w:szCs w:val="18"/>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spacing w:after="0"/>
              <w:rPr>
                <w:sz w:val="16"/>
                <w:szCs w:val="16"/>
                <w:color w:val="auto"/>
              </w:rPr>
            </w:pPr>
          </w:p>
        </w:tc>
        <w:tc>
          <w:tcPr>
            <w:tcW w:w="6340" w:type="dxa"/>
            <w:vAlign w:val="bottom"/>
            <w:gridSpan w:val="3"/>
            <w:shd w:val="clear" w:color="auto" w:fill="E3E5EB"/>
          </w:tcPr>
          <w:p>
            <w:pPr>
              <w:jc w:val="right"/>
              <w:ind w:right="80"/>
              <w:spacing w:after="0"/>
              <w:rPr>
                <w:sz w:val="20"/>
                <w:szCs w:val="20"/>
                <w:color w:val="auto"/>
              </w:rPr>
            </w:pPr>
            <w:r>
              <w:rPr>
                <w:rFonts w:ascii="Arial" w:cs="Arial" w:eastAsia="Arial" w:hAnsi="Arial"/>
                <w:sz w:val="16"/>
                <w:szCs w:val="16"/>
                <w:b w:val="1"/>
                <w:bCs w:val="1"/>
                <w:color w:val="auto"/>
              </w:rPr>
              <w:t>COO Corporate Resources Business Unit Results</w:t>
            </w:r>
          </w:p>
        </w:tc>
        <w:tc>
          <w:tcPr>
            <w:tcW w:w="1440" w:type="dxa"/>
            <w:vAlign w:val="bottom"/>
            <w:shd w:val="clear" w:color="auto" w:fill="E3E5EB"/>
          </w:tcPr>
          <w:p>
            <w:pPr>
              <w:jc w:val="center"/>
              <w:ind w:left="40"/>
              <w:spacing w:after="0"/>
              <w:rPr>
                <w:sz w:val="20"/>
                <w:szCs w:val="20"/>
                <w:color w:val="auto"/>
              </w:rPr>
            </w:pPr>
            <w:r>
              <w:rPr>
                <w:rFonts w:ascii="Arial" w:cs="Arial" w:eastAsia="Arial" w:hAnsi="Arial"/>
                <w:sz w:val="16"/>
                <w:szCs w:val="16"/>
                <w:b w:val="1"/>
                <w:bCs w:val="1"/>
                <w:color w:val="auto"/>
                <w:w w:val="97"/>
              </w:rPr>
              <w:t>180%</w:t>
            </w:r>
          </w:p>
        </w:tc>
        <w:tc>
          <w:tcPr>
            <w:tcW w:w="80" w:type="dxa"/>
            <w:vAlign w:val="bottom"/>
            <w:shd w:val="clear" w:color="auto" w:fill="E3E5EB"/>
          </w:tcPr>
          <w:p>
            <w:pPr>
              <w:spacing w:after="0"/>
              <w:rPr>
                <w:sz w:val="16"/>
                <w:szCs w:val="16"/>
                <w:color w:val="auto"/>
              </w:rPr>
            </w:pPr>
          </w:p>
        </w:tc>
      </w:tr>
      <w:tr>
        <w:trPr>
          <w:trHeight w:val="165"/>
        </w:trPr>
        <w:tc>
          <w:tcPr>
            <w:tcW w:w="100" w:type="dxa"/>
            <w:vAlign w:val="bottom"/>
          </w:tcPr>
          <w:p>
            <w:pPr>
              <w:spacing w:after="0"/>
              <w:rPr>
                <w:sz w:val="14"/>
                <w:szCs w:val="14"/>
                <w:color w:val="auto"/>
              </w:rPr>
            </w:pPr>
          </w:p>
        </w:tc>
        <w:tc>
          <w:tcPr>
            <w:tcW w:w="3560" w:type="dxa"/>
            <w:vAlign w:val="bottom"/>
          </w:tcPr>
          <w:p>
            <w:pPr>
              <w:spacing w:after="0" w:line="165" w:lineRule="exact"/>
              <w:rPr>
                <w:sz w:val="20"/>
                <w:szCs w:val="20"/>
                <w:color w:val="auto"/>
              </w:rPr>
            </w:pPr>
            <w:r>
              <w:rPr>
                <w:rFonts w:ascii="Arial" w:cs="Arial" w:eastAsia="Arial" w:hAnsi="Arial"/>
                <w:sz w:val="16"/>
                <w:szCs w:val="16"/>
                <w:b w:val="1"/>
                <w:bCs w:val="1"/>
                <w:color w:val="auto"/>
              </w:rPr>
              <w:t>Transmission and Distribution Business</w:t>
            </w:r>
          </w:p>
        </w:tc>
        <w:tc>
          <w:tcPr>
            <w:tcW w:w="346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80" w:type="dxa"/>
            <w:vAlign w:val="bottom"/>
          </w:tcPr>
          <w:p>
            <w:pPr>
              <w:spacing w:after="0"/>
              <w:rPr>
                <w:sz w:val="14"/>
                <w:szCs w:val="14"/>
                <w:color w:val="auto"/>
              </w:rPr>
            </w:pPr>
          </w:p>
        </w:tc>
      </w:tr>
      <w:tr>
        <w:trPr>
          <w:trHeight w:val="203"/>
        </w:trPr>
        <w:tc>
          <w:tcPr>
            <w:tcW w:w="100" w:type="dxa"/>
            <w:vAlign w:val="bottom"/>
          </w:tcPr>
          <w:p>
            <w:pPr>
              <w:spacing w:after="0"/>
              <w:rPr>
                <w:sz w:val="17"/>
                <w:szCs w:val="17"/>
                <w:color w:val="auto"/>
              </w:rPr>
            </w:pPr>
          </w:p>
        </w:tc>
        <w:tc>
          <w:tcPr>
            <w:tcW w:w="3560" w:type="dxa"/>
            <w:vAlign w:val="bottom"/>
          </w:tcPr>
          <w:p>
            <w:pPr>
              <w:ind w:left="140"/>
              <w:spacing w:after="0"/>
              <w:rPr>
                <w:sz w:val="20"/>
                <w:szCs w:val="20"/>
                <w:color w:val="auto"/>
              </w:rPr>
            </w:pPr>
            <w:r>
              <w:rPr>
                <w:rFonts w:ascii="Arial" w:cs="Arial" w:eastAsia="Arial" w:hAnsi="Arial"/>
                <w:sz w:val="16"/>
                <w:szCs w:val="16"/>
                <w:b w:val="1"/>
                <w:bCs w:val="1"/>
                <w:color w:val="auto"/>
              </w:rPr>
              <w:t>Unit — 12.50%:</w:t>
            </w:r>
          </w:p>
        </w:tc>
        <w:tc>
          <w:tcPr>
            <w:tcW w:w="346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144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ind w:left="140"/>
              <w:spacing w:after="0"/>
              <w:rPr>
                <w:sz w:val="20"/>
                <w:szCs w:val="20"/>
                <w:color w:val="auto"/>
              </w:rPr>
            </w:pPr>
            <w:r>
              <w:rPr>
                <w:rFonts w:ascii="Arial" w:cs="Arial" w:eastAsia="Arial" w:hAnsi="Arial"/>
                <w:sz w:val="16"/>
                <w:szCs w:val="16"/>
                <w:color w:val="auto"/>
              </w:rPr>
              <w:t>Employees — 3.12%</w:t>
            </w: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OSHA Recordable Incidents (1.87%)</w:t>
            </w:r>
          </w:p>
        </w:tc>
        <w:tc>
          <w:tcPr>
            <w:tcW w:w="1280" w:type="dxa"/>
            <w:vAlign w:val="bottom"/>
            <w:shd w:val="clear" w:color="auto" w:fill="E3E5EB"/>
          </w:tcPr>
          <w:p>
            <w:pPr>
              <w:jc w:val="center"/>
              <w:ind w:right="20"/>
              <w:spacing w:after="0"/>
              <w:rPr>
                <w:sz w:val="20"/>
                <w:szCs w:val="20"/>
                <w:color w:val="auto"/>
              </w:rPr>
            </w:pPr>
            <w:r>
              <w:rPr>
                <w:rFonts w:ascii="Arial" w:cs="Arial" w:eastAsia="Arial" w:hAnsi="Arial"/>
                <w:sz w:val="16"/>
                <w:szCs w:val="16"/>
                <w:color w:val="auto"/>
              </w:rPr>
              <w:t>18</w:t>
            </w:r>
          </w:p>
        </w:tc>
        <w:tc>
          <w:tcPr>
            <w:tcW w:w="16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24</w:t>
            </w:r>
          </w:p>
        </w:tc>
        <w:tc>
          <w:tcPr>
            <w:tcW w:w="144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9"/>
              </w:rPr>
              <w:t>50%</w:t>
            </w:r>
          </w:p>
        </w:tc>
        <w:tc>
          <w:tcPr>
            <w:tcW w:w="80" w:type="dxa"/>
            <w:vAlign w:val="bottom"/>
            <w:shd w:val="clear" w:color="auto" w:fill="E3E5EB"/>
          </w:tcPr>
          <w:p>
            <w:pPr>
              <w:spacing w:after="0"/>
              <w:rPr>
                <w:sz w:val="16"/>
                <w:szCs w:val="16"/>
                <w:color w:val="auto"/>
              </w:rPr>
            </w:pPr>
          </w:p>
        </w:tc>
      </w:tr>
      <w:tr>
        <w:trPr>
          <w:trHeight w:val="167"/>
        </w:trPr>
        <w:tc>
          <w:tcPr>
            <w:tcW w:w="100" w:type="dxa"/>
            <w:vAlign w:val="bottom"/>
          </w:tcPr>
          <w:p>
            <w:pPr>
              <w:spacing w:after="0"/>
              <w:rPr>
                <w:sz w:val="14"/>
                <w:szCs w:val="14"/>
                <w:color w:val="auto"/>
              </w:rPr>
            </w:pPr>
          </w:p>
        </w:tc>
        <w:tc>
          <w:tcPr>
            <w:tcW w:w="3560" w:type="dxa"/>
            <w:vAlign w:val="bottom"/>
            <w:shd w:val="clear" w:color="auto" w:fill="E3E5EB"/>
          </w:tcPr>
          <w:p>
            <w:pPr>
              <w:spacing w:after="0"/>
              <w:rPr>
                <w:sz w:val="14"/>
                <w:szCs w:val="14"/>
                <w:color w:val="auto"/>
              </w:rPr>
            </w:pPr>
          </w:p>
        </w:tc>
        <w:tc>
          <w:tcPr>
            <w:tcW w:w="346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Human Performance Event Clock Resets</w:t>
            </w:r>
          </w:p>
        </w:tc>
        <w:tc>
          <w:tcPr>
            <w:tcW w:w="1280" w:type="dxa"/>
            <w:vAlign w:val="bottom"/>
            <w:shd w:val="clear" w:color="auto" w:fill="E3E5EB"/>
          </w:tcPr>
          <w:p>
            <w:pPr>
              <w:jc w:val="center"/>
              <w:ind w:right="20"/>
              <w:spacing w:after="0" w:line="167" w:lineRule="exact"/>
              <w:rPr>
                <w:sz w:val="20"/>
                <w:szCs w:val="20"/>
                <w:color w:val="auto"/>
              </w:rPr>
            </w:pPr>
            <w:r>
              <w:rPr>
                <w:rFonts w:ascii="Arial" w:cs="Arial" w:eastAsia="Arial" w:hAnsi="Arial"/>
                <w:sz w:val="16"/>
                <w:szCs w:val="16"/>
                <w:color w:val="auto"/>
              </w:rPr>
              <w:t>29</w:t>
            </w:r>
          </w:p>
        </w:tc>
        <w:tc>
          <w:tcPr>
            <w:tcW w:w="16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rPr>
              <w:t>32</w:t>
            </w:r>
          </w:p>
        </w:tc>
        <w:tc>
          <w:tcPr>
            <w:tcW w:w="144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w w:val="99"/>
              </w:rPr>
              <w:t>63%</w:t>
            </w:r>
          </w:p>
        </w:tc>
        <w:tc>
          <w:tcPr>
            <w:tcW w:w="80" w:type="dxa"/>
            <w:vAlign w:val="bottom"/>
            <w:shd w:val="clear" w:color="auto" w:fill="E3E5EB"/>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shd w:val="clear" w:color="auto" w:fill="E3E5EB"/>
          </w:tcPr>
          <w:p>
            <w:pPr>
              <w:spacing w:after="0"/>
              <w:rPr>
                <w:sz w:val="17"/>
                <w:szCs w:val="17"/>
                <w:color w:val="auto"/>
              </w:rPr>
            </w:pP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(1.25%)</w:t>
            </w:r>
          </w:p>
        </w:tc>
        <w:tc>
          <w:tcPr>
            <w:tcW w:w="1280" w:type="dxa"/>
            <w:vAlign w:val="bottom"/>
            <w:shd w:val="clear" w:color="auto" w:fill="E3E5EB"/>
          </w:tcPr>
          <w:p>
            <w:pPr>
              <w:spacing w:after="0"/>
              <w:rPr>
                <w:sz w:val="17"/>
                <w:szCs w:val="17"/>
                <w:color w:val="auto"/>
              </w:rPr>
            </w:pPr>
          </w:p>
        </w:tc>
        <w:tc>
          <w:tcPr>
            <w:tcW w:w="160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c>
          <w:tcPr>
            <w:tcW w:w="80" w:type="dxa"/>
            <w:vAlign w:val="bottom"/>
            <w:shd w:val="clear" w:color="auto" w:fill="E3E5EB"/>
          </w:tcPr>
          <w:p>
            <w:pPr>
              <w:spacing w:after="0"/>
              <w:rPr>
                <w:sz w:val="17"/>
                <w:szCs w:val="17"/>
                <w:color w:val="auto"/>
              </w:rPr>
            </w:pPr>
          </w:p>
        </w:tc>
      </w:tr>
      <w:tr>
        <w:trPr>
          <w:trHeight w:val="167"/>
        </w:trPr>
        <w:tc>
          <w:tcPr>
            <w:tcW w:w="100" w:type="dxa"/>
            <w:vAlign w:val="bottom"/>
          </w:tcPr>
          <w:p>
            <w:pPr>
              <w:spacing w:after="0"/>
              <w:rPr>
                <w:sz w:val="14"/>
                <w:szCs w:val="14"/>
                <w:color w:val="auto"/>
              </w:rPr>
            </w:pPr>
          </w:p>
        </w:tc>
        <w:tc>
          <w:tcPr>
            <w:tcW w:w="3560" w:type="dxa"/>
            <w:vAlign w:val="bottom"/>
          </w:tcPr>
          <w:p>
            <w:pPr>
              <w:ind w:left="140"/>
              <w:spacing w:after="0" w:line="167" w:lineRule="exact"/>
              <w:rPr>
                <w:sz w:val="20"/>
                <w:szCs w:val="20"/>
                <w:color w:val="auto"/>
              </w:rPr>
            </w:pPr>
            <w:r>
              <w:rPr>
                <w:rFonts w:ascii="Arial" w:cs="Arial" w:eastAsia="Arial" w:hAnsi="Arial"/>
                <w:sz w:val="16"/>
                <w:szCs w:val="16"/>
                <w:color w:val="auto"/>
              </w:rPr>
              <w:t>Operational Excellence — 7.50%</w:t>
            </w:r>
          </w:p>
        </w:tc>
        <w:tc>
          <w:tcPr>
            <w:tcW w:w="3460" w:type="dxa"/>
            <w:vAlign w:val="bottom"/>
          </w:tcPr>
          <w:p>
            <w:pPr>
              <w:ind w:left="180"/>
              <w:spacing w:after="0" w:line="167" w:lineRule="exact"/>
              <w:rPr>
                <w:sz w:val="20"/>
                <w:szCs w:val="20"/>
                <w:color w:val="auto"/>
              </w:rPr>
            </w:pPr>
            <w:r>
              <w:rPr>
                <w:rFonts w:ascii="Arial" w:cs="Arial" w:eastAsia="Arial" w:hAnsi="Arial"/>
                <w:sz w:val="16"/>
                <w:szCs w:val="16"/>
                <w:color w:val="auto"/>
              </w:rPr>
              <w:t>System Average Interruption Duration</w:t>
            </w:r>
          </w:p>
        </w:tc>
        <w:tc>
          <w:tcPr>
            <w:tcW w:w="1280" w:type="dxa"/>
            <w:vAlign w:val="bottom"/>
          </w:tcPr>
          <w:p>
            <w:pPr>
              <w:jc w:val="center"/>
              <w:ind w:right="20"/>
              <w:spacing w:after="0" w:line="167" w:lineRule="exact"/>
              <w:rPr>
                <w:sz w:val="20"/>
                <w:szCs w:val="20"/>
                <w:color w:val="auto"/>
              </w:rPr>
            </w:pPr>
            <w:r>
              <w:rPr>
                <w:rFonts w:ascii="Arial" w:cs="Arial" w:eastAsia="Arial" w:hAnsi="Arial"/>
                <w:sz w:val="16"/>
                <w:szCs w:val="16"/>
                <w:color w:val="auto"/>
              </w:rPr>
              <w:t>72</w:t>
            </w:r>
          </w:p>
        </w:tc>
        <w:tc>
          <w:tcPr>
            <w:tcW w:w="1600" w:type="dxa"/>
            <w:vAlign w:val="bottom"/>
          </w:tcPr>
          <w:p>
            <w:pPr>
              <w:jc w:val="center"/>
              <w:spacing w:after="0" w:line="167" w:lineRule="exact"/>
              <w:rPr>
                <w:sz w:val="20"/>
                <w:szCs w:val="20"/>
                <w:color w:val="auto"/>
              </w:rPr>
            </w:pPr>
            <w:r>
              <w:rPr>
                <w:rFonts w:ascii="Arial" w:cs="Arial" w:eastAsia="Arial" w:hAnsi="Arial"/>
                <w:sz w:val="16"/>
                <w:szCs w:val="16"/>
                <w:color w:val="auto"/>
              </w:rPr>
              <w:t>77</w:t>
            </w:r>
          </w:p>
        </w:tc>
        <w:tc>
          <w:tcPr>
            <w:tcW w:w="144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9"/>
              </w:rPr>
              <w:t>75%</w:t>
            </w:r>
          </w:p>
        </w:tc>
        <w:tc>
          <w:tcPr>
            <w:tcW w:w="80" w:type="dxa"/>
            <w:vAlign w:val="bottom"/>
          </w:tcPr>
          <w:p>
            <w:pPr>
              <w:spacing w:after="0"/>
              <w:rPr>
                <w:sz w:val="14"/>
                <w:szCs w:val="14"/>
                <w:color w:val="auto"/>
              </w:rPr>
            </w:pPr>
          </w:p>
        </w:tc>
      </w:tr>
      <w:tr>
        <w:trPr>
          <w:trHeight w:val="184"/>
        </w:trPr>
        <w:tc>
          <w:tcPr>
            <w:tcW w:w="100" w:type="dxa"/>
            <w:vAlign w:val="bottom"/>
          </w:tcPr>
          <w:p>
            <w:pPr>
              <w:spacing w:after="0"/>
              <w:rPr>
                <w:sz w:val="16"/>
                <w:szCs w:val="16"/>
                <w:color w:val="auto"/>
              </w:rPr>
            </w:pPr>
          </w:p>
        </w:tc>
        <w:tc>
          <w:tcPr>
            <w:tcW w:w="3560" w:type="dxa"/>
            <w:vAlign w:val="bottom"/>
          </w:tcPr>
          <w:p>
            <w:pPr>
              <w:spacing w:after="0"/>
              <w:rPr>
                <w:sz w:val="16"/>
                <w:szCs w:val="16"/>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Index (SAIDI) — All Weather (1.88%)</w:t>
            </w:r>
          </w:p>
        </w:tc>
        <w:tc>
          <w:tcPr>
            <w:tcW w:w="1280" w:type="dxa"/>
            <w:vAlign w:val="bottom"/>
          </w:tcPr>
          <w:p>
            <w:pPr>
              <w:spacing w:after="0"/>
              <w:rPr>
                <w:sz w:val="16"/>
                <w:szCs w:val="16"/>
                <w:color w:val="auto"/>
              </w:rPr>
            </w:pPr>
          </w:p>
        </w:tc>
        <w:tc>
          <w:tcPr>
            <w:tcW w:w="160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80" w:type="dxa"/>
            <w:vAlign w:val="bottom"/>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3560" w:type="dxa"/>
            <w:vAlign w:val="bottom"/>
          </w:tcPr>
          <w:p>
            <w:pPr>
              <w:spacing w:after="0"/>
              <w:rPr>
                <w:sz w:val="16"/>
                <w:szCs w:val="16"/>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System Average Interruption Frequency</w:t>
            </w:r>
          </w:p>
        </w:tc>
        <w:tc>
          <w:tcPr>
            <w:tcW w:w="1280" w:type="dxa"/>
            <w:vAlign w:val="bottom"/>
          </w:tcPr>
          <w:p>
            <w:pPr>
              <w:jc w:val="center"/>
              <w:ind w:right="20"/>
              <w:spacing w:after="0"/>
              <w:rPr>
                <w:sz w:val="20"/>
                <w:szCs w:val="20"/>
                <w:color w:val="auto"/>
              </w:rPr>
            </w:pPr>
            <w:r>
              <w:rPr>
                <w:rFonts w:ascii="Arial" w:cs="Arial" w:eastAsia="Arial" w:hAnsi="Arial"/>
                <w:sz w:val="16"/>
                <w:szCs w:val="16"/>
                <w:color w:val="auto"/>
                <w:w w:val="96"/>
              </w:rPr>
              <w:t>0.79</w:t>
            </w:r>
          </w:p>
        </w:tc>
        <w:tc>
          <w:tcPr>
            <w:tcW w:w="1600" w:type="dxa"/>
            <w:vAlign w:val="bottom"/>
          </w:tcPr>
          <w:p>
            <w:pPr>
              <w:jc w:val="center"/>
              <w:spacing w:after="0"/>
              <w:rPr>
                <w:sz w:val="20"/>
                <w:szCs w:val="20"/>
                <w:color w:val="auto"/>
              </w:rPr>
            </w:pPr>
            <w:r>
              <w:rPr>
                <w:rFonts w:ascii="Arial" w:cs="Arial" w:eastAsia="Arial" w:hAnsi="Arial"/>
                <w:sz w:val="16"/>
                <w:szCs w:val="16"/>
                <w:color w:val="auto"/>
                <w:w w:val="96"/>
              </w:rPr>
              <w:t>0.79</w:t>
            </w:r>
          </w:p>
        </w:tc>
        <w:tc>
          <w:tcPr>
            <w:tcW w:w="1440" w:type="dxa"/>
            <w:vAlign w:val="bottom"/>
          </w:tcPr>
          <w:p>
            <w:pPr>
              <w:jc w:val="center"/>
              <w:ind w:left="40"/>
              <w:spacing w:after="0"/>
              <w:rPr>
                <w:sz w:val="20"/>
                <w:szCs w:val="20"/>
                <w:color w:val="auto"/>
              </w:rPr>
            </w:pPr>
            <w:r>
              <w:rPr>
                <w:rFonts w:ascii="Arial" w:cs="Arial" w:eastAsia="Arial" w:hAnsi="Arial"/>
                <w:sz w:val="16"/>
                <w:szCs w:val="16"/>
                <w:color w:val="auto"/>
                <w:w w:val="97"/>
              </w:rPr>
              <w:t>100%</w:t>
            </w:r>
          </w:p>
        </w:tc>
        <w:tc>
          <w:tcPr>
            <w:tcW w:w="80" w:type="dxa"/>
            <w:vAlign w:val="bottom"/>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3560" w:type="dxa"/>
            <w:vAlign w:val="bottom"/>
          </w:tcPr>
          <w:p>
            <w:pPr>
              <w:spacing w:after="0"/>
              <w:rPr>
                <w:sz w:val="16"/>
                <w:szCs w:val="16"/>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Index (SAIFI) — All Weather (1.88%)</w:t>
            </w:r>
          </w:p>
        </w:tc>
        <w:tc>
          <w:tcPr>
            <w:tcW w:w="1280" w:type="dxa"/>
            <w:vAlign w:val="bottom"/>
          </w:tcPr>
          <w:p>
            <w:pPr>
              <w:spacing w:after="0"/>
              <w:rPr>
                <w:sz w:val="16"/>
                <w:szCs w:val="16"/>
                <w:color w:val="auto"/>
              </w:rPr>
            </w:pPr>
          </w:p>
        </w:tc>
        <w:tc>
          <w:tcPr>
            <w:tcW w:w="160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80" w:type="dxa"/>
            <w:vAlign w:val="bottom"/>
          </w:tcPr>
          <w:p>
            <w:pPr>
              <w:spacing w:after="0"/>
              <w:rPr>
                <w:sz w:val="16"/>
                <w:szCs w:val="16"/>
                <w:color w:val="auto"/>
              </w:rPr>
            </w:pPr>
          </w:p>
        </w:tc>
      </w:tr>
      <w:tr>
        <w:trPr>
          <w:trHeight w:val="196"/>
        </w:trPr>
        <w:tc>
          <w:tcPr>
            <w:tcW w:w="100" w:type="dxa"/>
            <w:vAlign w:val="bottom"/>
          </w:tcPr>
          <w:p>
            <w:pPr>
              <w:spacing w:after="0"/>
              <w:rPr>
                <w:sz w:val="17"/>
                <w:szCs w:val="17"/>
                <w:color w:val="auto"/>
              </w:rPr>
            </w:pPr>
          </w:p>
        </w:tc>
        <w:tc>
          <w:tcPr>
            <w:tcW w:w="3560" w:type="dxa"/>
            <w:vAlign w:val="bottom"/>
          </w:tcPr>
          <w:p>
            <w:pPr>
              <w:spacing w:after="0"/>
              <w:rPr>
                <w:sz w:val="17"/>
                <w:szCs w:val="17"/>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QA/QC Inspections (1.87%)</w:t>
            </w:r>
          </w:p>
        </w:tc>
        <w:tc>
          <w:tcPr>
            <w:tcW w:w="1280" w:type="dxa"/>
            <w:vAlign w:val="bottom"/>
          </w:tcPr>
          <w:p>
            <w:pPr>
              <w:jc w:val="center"/>
              <w:ind w:right="40"/>
              <w:spacing w:after="0"/>
              <w:rPr>
                <w:sz w:val="20"/>
                <w:szCs w:val="20"/>
                <w:color w:val="auto"/>
              </w:rPr>
            </w:pPr>
            <w:r>
              <w:rPr>
                <w:rFonts w:ascii="Arial" w:cs="Arial" w:eastAsia="Arial" w:hAnsi="Arial"/>
                <w:sz w:val="16"/>
                <w:szCs w:val="16"/>
                <w:color w:val="auto"/>
                <w:w w:val="99"/>
              </w:rPr>
              <w:t>85%</w:t>
            </w:r>
          </w:p>
        </w:tc>
        <w:tc>
          <w:tcPr>
            <w:tcW w:w="1600" w:type="dxa"/>
            <w:vAlign w:val="bottom"/>
          </w:tcPr>
          <w:p>
            <w:pPr>
              <w:jc w:val="center"/>
              <w:spacing w:after="0"/>
              <w:rPr>
                <w:sz w:val="20"/>
                <w:szCs w:val="20"/>
                <w:color w:val="auto"/>
              </w:rPr>
            </w:pPr>
            <w:r>
              <w:rPr>
                <w:rFonts w:ascii="Arial" w:cs="Arial" w:eastAsia="Arial" w:hAnsi="Arial"/>
                <w:sz w:val="16"/>
                <w:szCs w:val="16"/>
                <w:color w:val="auto"/>
              </w:rPr>
              <w:t>87.4%</w:t>
            </w:r>
          </w:p>
        </w:tc>
        <w:tc>
          <w:tcPr>
            <w:tcW w:w="1440" w:type="dxa"/>
            <w:vAlign w:val="bottom"/>
          </w:tcPr>
          <w:p>
            <w:pPr>
              <w:jc w:val="center"/>
              <w:ind w:left="40"/>
              <w:spacing w:after="0"/>
              <w:rPr>
                <w:sz w:val="20"/>
                <w:szCs w:val="20"/>
                <w:color w:val="auto"/>
              </w:rPr>
            </w:pPr>
            <w:r>
              <w:rPr>
                <w:rFonts w:ascii="Arial" w:cs="Arial" w:eastAsia="Arial" w:hAnsi="Arial"/>
                <w:sz w:val="16"/>
                <w:szCs w:val="16"/>
                <w:color w:val="auto"/>
                <w:w w:val="97"/>
              </w:rPr>
              <w:t>148%</w:t>
            </w:r>
          </w:p>
        </w:tc>
        <w:tc>
          <w:tcPr>
            <w:tcW w:w="80" w:type="dxa"/>
            <w:vAlign w:val="bottom"/>
          </w:tcPr>
          <w:p>
            <w:pPr>
              <w:spacing w:after="0"/>
              <w:rPr>
                <w:sz w:val="17"/>
                <w:szCs w:val="17"/>
                <w:color w:val="auto"/>
              </w:rPr>
            </w:pPr>
          </w:p>
        </w:tc>
      </w:tr>
      <w:tr>
        <w:trPr>
          <w:trHeight w:val="213"/>
        </w:trPr>
        <w:tc>
          <w:tcPr>
            <w:tcW w:w="100" w:type="dxa"/>
            <w:vAlign w:val="bottom"/>
          </w:tcPr>
          <w:p>
            <w:pPr>
              <w:spacing w:after="0"/>
              <w:rPr>
                <w:sz w:val="18"/>
                <w:szCs w:val="18"/>
                <w:color w:val="auto"/>
              </w:rPr>
            </w:pPr>
          </w:p>
        </w:tc>
        <w:tc>
          <w:tcPr>
            <w:tcW w:w="3560" w:type="dxa"/>
            <w:vAlign w:val="bottom"/>
          </w:tcPr>
          <w:p>
            <w:pPr>
              <w:spacing w:after="0"/>
              <w:rPr>
                <w:sz w:val="18"/>
                <w:szCs w:val="18"/>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Capital Project Execution (1.87%)</w:t>
            </w:r>
          </w:p>
        </w:tc>
        <w:tc>
          <w:tcPr>
            <w:tcW w:w="1280" w:type="dxa"/>
            <w:vAlign w:val="bottom"/>
          </w:tcPr>
          <w:p>
            <w:pPr>
              <w:jc w:val="center"/>
              <w:ind w:right="40"/>
              <w:spacing w:after="0"/>
              <w:rPr>
                <w:sz w:val="20"/>
                <w:szCs w:val="20"/>
                <w:color w:val="auto"/>
              </w:rPr>
            </w:pPr>
            <w:r>
              <w:rPr>
                <w:rFonts w:ascii="Arial" w:cs="Arial" w:eastAsia="Arial" w:hAnsi="Arial"/>
                <w:sz w:val="16"/>
                <w:szCs w:val="16"/>
                <w:color w:val="auto"/>
                <w:w w:val="99"/>
              </w:rPr>
              <w:t>80%</w:t>
            </w:r>
          </w:p>
        </w:tc>
        <w:tc>
          <w:tcPr>
            <w:tcW w:w="1600" w:type="dxa"/>
            <w:vAlign w:val="bottom"/>
          </w:tcPr>
          <w:p>
            <w:pPr>
              <w:jc w:val="center"/>
              <w:spacing w:after="0"/>
              <w:rPr>
                <w:sz w:val="20"/>
                <w:szCs w:val="20"/>
                <w:color w:val="auto"/>
              </w:rPr>
            </w:pPr>
            <w:r>
              <w:rPr>
                <w:rFonts w:ascii="Arial" w:cs="Arial" w:eastAsia="Arial" w:hAnsi="Arial"/>
                <w:sz w:val="16"/>
                <w:szCs w:val="16"/>
                <w:color w:val="auto"/>
              </w:rPr>
              <w:t>88.6%</w:t>
            </w:r>
          </w:p>
        </w:tc>
        <w:tc>
          <w:tcPr>
            <w:tcW w:w="1440" w:type="dxa"/>
            <w:vAlign w:val="bottom"/>
          </w:tcPr>
          <w:p>
            <w:pPr>
              <w:jc w:val="center"/>
              <w:ind w:left="40"/>
              <w:spacing w:after="0"/>
              <w:rPr>
                <w:sz w:val="20"/>
                <w:szCs w:val="20"/>
                <w:color w:val="auto"/>
              </w:rPr>
            </w:pPr>
            <w:r>
              <w:rPr>
                <w:rFonts w:ascii="Arial" w:cs="Arial" w:eastAsia="Arial" w:hAnsi="Arial"/>
                <w:sz w:val="16"/>
                <w:szCs w:val="16"/>
                <w:color w:val="auto"/>
                <w:w w:val="97"/>
              </w:rPr>
              <w:t>186%</w:t>
            </w:r>
          </w:p>
        </w:tc>
        <w:tc>
          <w:tcPr>
            <w:tcW w:w="80" w:type="dxa"/>
            <w:vAlign w:val="bottom"/>
          </w:tcPr>
          <w:p>
            <w:pPr>
              <w:spacing w:after="0"/>
              <w:rPr>
                <w:sz w:val="18"/>
                <w:szCs w:val="18"/>
                <w:color w:val="auto"/>
              </w:rPr>
            </w:pPr>
          </w:p>
        </w:tc>
      </w:tr>
      <w:tr>
        <w:trPr>
          <w:trHeight w:val="167"/>
        </w:trPr>
        <w:tc>
          <w:tcPr>
            <w:tcW w:w="100" w:type="dxa"/>
            <w:vAlign w:val="bottom"/>
          </w:tcPr>
          <w:p>
            <w:pPr>
              <w:spacing w:after="0"/>
              <w:rPr>
                <w:sz w:val="14"/>
                <w:szCs w:val="14"/>
                <w:color w:val="auto"/>
              </w:rPr>
            </w:pPr>
          </w:p>
        </w:tc>
        <w:tc>
          <w:tcPr>
            <w:tcW w:w="35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Shareholder Value — 1.87%</w:t>
            </w:r>
          </w:p>
        </w:tc>
        <w:tc>
          <w:tcPr>
            <w:tcW w:w="346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Operating and Maintenance Budget</w:t>
            </w:r>
          </w:p>
        </w:tc>
        <w:tc>
          <w:tcPr>
            <w:tcW w:w="1280" w:type="dxa"/>
            <w:vAlign w:val="bottom"/>
            <w:shd w:val="clear" w:color="auto" w:fill="E3E5EB"/>
          </w:tcPr>
          <w:p>
            <w:pPr>
              <w:ind w:left="340"/>
              <w:spacing w:after="0" w:line="167" w:lineRule="exact"/>
              <w:rPr>
                <w:sz w:val="20"/>
                <w:szCs w:val="20"/>
                <w:color w:val="auto"/>
              </w:rPr>
            </w:pPr>
            <w:r>
              <w:rPr>
                <w:rFonts w:ascii="Arial" w:cs="Arial" w:eastAsia="Arial" w:hAnsi="Arial"/>
                <w:sz w:val="16"/>
                <w:szCs w:val="16"/>
                <w:color w:val="auto"/>
              </w:rPr>
              <w:t>Budget</w:t>
            </w:r>
          </w:p>
        </w:tc>
        <w:tc>
          <w:tcPr>
            <w:tcW w:w="16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9"/>
              </w:rPr>
              <w:t>2.0% Under</w:t>
            </w:r>
          </w:p>
        </w:tc>
        <w:tc>
          <w:tcPr>
            <w:tcW w:w="144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w w:val="97"/>
              </w:rPr>
              <w:t>200%</w:t>
            </w:r>
          </w:p>
        </w:tc>
        <w:tc>
          <w:tcPr>
            <w:tcW w:w="80" w:type="dxa"/>
            <w:vAlign w:val="bottom"/>
            <w:shd w:val="clear" w:color="auto" w:fill="E3E5EB"/>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shd w:val="clear" w:color="auto" w:fill="E3E5EB"/>
          </w:tcPr>
          <w:p>
            <w:pPr>
              <w:spacing w:after="0"/>
              <w:rPr>
                <w:sz w:val="17"/>
                <w:szCs w:val="17"/>
                <w:color w:val="auto"/>
              </w:rPr>
            </w:pP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(1.87%)</w:t>
            </w:r>
          </w:p>
        </w:tc>
        <w:tc>
          <w:tcPr>
            <w:tcW w:w="1280" w:type="dxa"/>
            <w:vAlign w:val="bottom"/>
            <w:shd w:val="clear" w:color="auto" w:fill="E3E5EB"/>
          </w:tcPr>
          <w:p>
            <w:pPr>
              <w:spacing w:after="0"/>
              <w:rPr>
                <w:sz w:val="17"/>
                <w:szCs w:val="17"/>
                <w:color w:val="auto"/>
              </w:rPr>
            </w:pPr>
          </w:p>
        </w:tc>
        <w:tc>
          <w:tcPr>
            <w:tcW w:w="16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Budget</w:t>
            </w:r>
          </w:p>
        </w:tc>
        <w:tc>
          <w:tcPr>
            <w:tcW w:w="1440" w:type="dxa"/>
            <w:vAlign w:val="bottom"/>
            <w:shd w:val="clear" w:color="auto" w:fill="E3E5EB"/>
          </w:tcPr>
          <w:p>
            <w:pPr>
              <w:spacing w:after="0"/>
              <w:rPr>
                <w:sz w:val="17"/>
                <w:szCs w:val="17"/>
                <w:color w:val="auto"/>
              </w:rPr>
            </w:pPr>
          </w:p>
        </w:tc>
        <w:tc>
          <w:tcPr>
            <w:tcW w:w="80" w:type="dxa"/>
            <w:vAlign w:val="bottom"/>
            <w:shd w:val="clear" w:color="auto" w:fill="E3E5EB"/>
          </w:tcPr>
          <w:p>
            <w:pPr>
              <w:spacing w:after="0"/>
              <w:rPr>
                <w:sz w:val="17"/>
                <w:szCs w:val="17"/>
                <w:color w:val="auto"/>
              </w:rPr>
            </w:pPr>
          </w:p>
        </w:tc>
      </w:tr>
      <w:tr>
        <w:trPr>
          <w:trHeight w:val="196"/>
        </w:trPr>
        <w:tc>
          <w:tcPr>
            <w:tcW w:w="100" w:type="dxa"/>
            <w:vAlign w:val="bottom"/>
          </w:tcPr>
          <w:p>
            <w:pPr>
              <w:spacing w:after="0"/>
              <w:rPr>
                <w:sz w:val="17"/>
                <w:szCs w:val="17"/>
                <w:color w:val="auto"/>
              </w:rPr>
            </w:pPr>
          </w:p>
        </w:tc>
        <w:tc>
          <w:tcPr>
            <w:tcW w:w="3560" w:type="dxa"/>
            <w:vAlign w:val="bottom"/>
          </w:tcPr>
          <w:p>
            <w:pPr>
              <w:spacing w:after="0"/>
              <w:rPr>
                <w:sz w:val="17"/>
                <w:szCs w:val="17"/>
                <w:color w:val="auto"/>
              </w:rPr>
            </w:pPr>
          </w:p>
        </w:tc>
        <w:tc>
          <w:tcPr>
            <w:tcW w:w="6340" w:type="dxa"/>
            <w:vAlign w:val="bottom"/>
            <w:gridSpan w:val="3"/>
          </w:tcPr>
          <w:p>
            <w:pPr>
              <w:jc w:val="right"/>
              <w:ind w:right="80"/>
              <w:spacing w:after="0"/>
              <w:rPr>
                <w:sz w:val="20"/>
                <w:szCs w:val="20"/>
                <w:color w:val="auto"/>
              </w:rPr>
            </w:pPr>
            <w:r>
              <w:rPr>
                <w:rFonts w:ascii="Arial" w:cs="Arial" w:eastAsia="Arial" w:hAnsi="Arial"/>
                <w:sz w:val="16"/>
                <w:szCs w:val="16"/>
                <w:b w:val="1"/>
                <w:bCs w:val="1"/>
                <w:color w:val="auto"/>
              </w:rPr>
              <w:t>COO Transmission and Distribution Business Unit Results</w:t>
            </w:r>
          </w:p>
        </w:tc>
        <w:tc>
          <w:tcPr>
            <w:tcW w:w="1440" w:type="dxa"/>
            <w:vAlign w:val="bottom"/>
          </w:tcPr>
          <w:p>
            <w:pPr>
              <w:jc w:val="center"/>
              <w:ind w:left="40"/>
              <w:spacing w:after="0"/>
              <w:rPr>
                <w:sz w:val="20"/>
                <w:szCs w:val="20"/>
                <w:color w:val="auto"/>
              </w:rPr>
            </w:pPr>
            <w:r>
              <w:rPr>
                <w:rFonts w:ascii="Arial" w:cs="Arial" w:eastAsia="Arial" w:hAnsi="Arial"/>
                <w:sz w:val="16"/>
                <w:szCs w:val="16"/>
                <w:b w:val="1"/>
                <w:bCs w:val="1"/>
                <w:color w:val="auto"/>
                <w:w w:val="97"/>
              </w:rPr>
              <w:t>120%</w:t>
            </w:r>
          </w:p>
        </w:tc>
        <w:tc>
          <w:tcPr>
            <w:tcW w:w="80" w:type="dxa"/>
            <w:vAlign w:val="bottom"/>
          </w:tcPr>
          <w:p>
            <w:pPr>
              <w:spacing w:after="0"/>
              <w:rPr>
                <w:sz w:val="17"/>
                <w:szCs w:val="17"/>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spacing w:after="0"/>
              <w:rPr>
                <w:sz w:val="20"/>
                <w:szCs w:val="20"/>
                <w:color w:val="auto"/>
              </w:rPr>
            </w:pPr>
            <w:r>
              <w:rPr>
                <w:rFonts w:ascii="Arial" w:cs="Arial" w:eastAsia="Arial" w:hAnsi="Arial"/>
                <w:sz w:val="16"/>
                <w:szCs w:val="16"/>
                <w:color w:val="auto"/>
              </w:rPr>
              <w:t>Customer Service Business Unit — 12.50%:</w:t>
            </w:r>
          </w:p>
        </w:tc>
        <w:tc>
          <w:tcPr>
            <w:tcW w:w="3460" w:type="dxa"/>
            <w:vAlign w:val="bottom"/>
            <w:shd w:val="clear" w:color="auto" w:fill="E3E5EB"/>
          </w:tcPr>
          <w:p>
            <w:pPr>
              <w:spacing w:after="0"/>
              <w:rPr>
                <w:sz w:val="16"/>
                <w:szCs w:val="16"/>
                <w:color w:val="auto"/>
              </w:rPr>
            </w:pPr>
          </w:p>
        </w:tc>
        <w:tc>
          <w:tcPr>
            <w:tcW w:w="1280" w:type="dxa"/>
            <w:vAlign w:val="bottom"/>
            <w:shd w:val="clear" w:color="auto" w:fill="E3E5EB"/>
          </w:tcPr>
          <w:p>
            <w:pPr>
              <w:spacing w:after="0"/>
              <w:rPr>
                <w:sz w:val="16"/>
                <w:szCs w:val="16"/>
                <w:color w:val="auto"/>
              </w:rPr>
            </w:pPr>
          </w:p>
        </w:tc>
        <w:tc>
          <w:tcPr>
            <w:tcW w:w="160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r>
      <w:tr>
        <w:trPr>
          <w:trHeight w:val="167"/>
        </w:trPr>
        <w:tc>
          <w:tcPr>
            <w:tcW w:w="100" w:type="dxa"/>
            <w:vAlign w:val="bottom"/>
          </w:tcPr>
          <w:p>
            <w:pPr>
              <w:spacing w:after="0"/>
              <w:rPr>
                <w:sz w:val="14"/>
                <w:szCs w:val="14"/>
                <w:color w:val="auto"/>
              </w:rPr>
            </w:pPr>
          </w:p>
        </w:tc>
        <w:tc>
          <w:tcPr>
            <w:tcW w:w="3560" w:type="dxa"/>
            <w:vAlign w:val="bottom"/>
          </w:tcPr>
          <w:p>
            <w:pPr>
              <w:ind w:left="140"/>
              <w:spacing w:after="0" w:line="167" w:lineRule="exact"/>
              <w:rPr>
                <w:sz w:val="20"/>
                <w:szCs w:val="20"/>
                <w:color w:val="auto"/>
              </w:rPr>
            </w:pPr>
            <w:r>
              <w:rPr>
                <w:rFonts w:ascii="Arial" w:cs="Arial" w:eastAsia="Arial" w:hAnsi="Arial"/>
                <w:sz w:val="16"/>
                <w:szCs w:val="16"/>
                <w:color w:val="auto"/>
              </w:rPr>
              <w:t>Employees — 2.50%</w:t>
            </w:r>
          </w:p>
        </w:tc>
        <w:tc>
          <w:tcPr>
            <w:tcW w:w="3460" w:type="dxa"/>
            <w:vAlign w:val="bottom"/>
          </w:tcPr>
          <w:p>
            <w:pPr>
              <w:ind w:left="180"/>
              <w:spacing w:after="0" w:line="167" w:lineRule="exact"/>
              <w:rPr>
                <w:sz w:val="20"/>
                <w:szCs w:val="20"/>
                <w:color w:val="auto"/>
              </w:rPr>
            </w:pPr>
            <w:r>
              <w:rPr>
                <w:rFonts w:ascii="Arial" w:cs="Arial" w:eastAsia="Arial" w:hAnsi="Arial"/>
                <w:sz w:val="16"/>
                <w:szCs w:val="16"/>
                <w:color w:val="auto"/>
              </w:rPr>
              <w:t>Human Performance Event Clock Resets</w:t>
            </w:r>
          </w:p>
        </w:tc>
        <w:tc>
          <w:tcPr>
            <w:tcW w:w="1280" w:type="dxa"/>
            <w:vAlign w:val="bottom"/>
          </w:tcPr>
          <w:p>
            <w:pPr>
              <w:jc w:val="center"/>
              <w:ind w:right="20"/>
              <w:spacing w:after="0" w:line="167" w:lineRule="exact"/>
              <w:rPr>
                <w:sz w:val="20"/>
                <w:szCs w:val="20"/>
                <w:color w:val="auto"/>
              </w:rPr>
            </w:pPr>
            <w:r>
              <w:rPr>
                <w:rFonts w:ascii="Arial" w:cs="Arial" w:eastAsia="Arial" w:hAnsi="Arial"/>
                <w:sz w:val="16"/>
                <w:szCs w:val="16"/>
                <w:color w:val="auto"/>
              </w:rPr>
              <w:t>13</w:t>
            </w:r>
          </w:p>
        </w:tc>
        <w:tc>
          <w:tcPr>
            <w:tcW w:w="1600" w:type="dxa"/>
            <w:vAlign w:val="bottom"/>
          </w:tcPr>
          <w:p>
            <w:pPr>
              <w:jc w:val="center"/>
              <w:spacing w:after="0" w:line="167" w:lineRule="exact"/>
              <w:rPr>
                <w:sz w:val="20"/>
                <w:szCs w:val="20"/>
                <w:color w:val="auto"/>
              </w:rPr>
            </w:pPr>
            <w:r>
              <w:rPr>
                <w:rFonts w:ascii="Arial" w:cs="Arial" w:eastAsia="Arial" w:hAnsi="Arial"/>
                <w:sz w:val="16"/>
                <w:szCs w:val="16"/>
                <w:color w:val="auto"/>
                <w:w w:val="89"/>
              </w:rPr>
              <w:t>9</w:t>
            </w:r>
          </w:p>
        </w:tc>
        <w:tc>
          <w:tcPr>
            <w:tcW w:w="144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7"/>
              </w:rPr>
              <w:t>200%</w:t>
            </w:r>
          </w:p>
        </w:tc>
        <w:tc>
          <w:tcPr>
            <w:tcW w:w="80" w:type="dxa"/>
            <w:vAlign w:val="bottom"/>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tcPr>
          <w:p>
            <w:pPr>
              <w:spacing w:after="0"/>
              <w:rPr>
                <w:sz w:val="17"/>
                <w:szCs w:val="17"/>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(2.50%)</w:t>
            </w:r>
          </w:p>
        </w:tc>
        <w:tc>
          <w:tcPr>
            <w:tcW w:w="128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144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167"/>
        </w:trPr>
        <w:tc>
          <w:tcPr>
            <w:tcW w:w="100" w:type="dxa"/>
            <w:vAlign w:val="bottom"/>
          </w:tcPr>
          <w:p>
            <w:pPr>
              <w:spacing w:after="0"/>
              <w:rPr>
                <w:sz w:val="14"/>
                <w:szCs w:val="14"/>
                <w:color w:val="auto"/>
              </w:rPr>
            </w:pPr>
          </w:p>
        </w:tc>
        <w:tc>
          <w:tcPr>
            <w:tcW w:w="356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Operational Excellence — 2.50%</w:t>
            </w:r>
          </w:p>
        </w:tc>
        <w:tc>
          <w:tcPr>
            <w:tcW w:w="3460" w:type="dxa"/>
            <w:vAlign w:val="bottom"/>
            <w:shd w:val="clear" w:color="auto" w:fill="E3E5EB"/>
          </w:tcPr>
          <w:p>
            <w:pPr>
              <w:ind w:left="180"/>
              <w:spacing w:after="0" w:line="167" w:lineRule="exact"/>
              <w:rPr>
                <w:sz w:val="20"/>
                <w:szCs w:val="20"/>
                <w:color w:val="auto"/>
              </w:rPr>
            </w:pPr>
            <w:r>
              <w:rPr>
                <w:rFonts w:ascii="Arial" w:cs="Arial" w:eastAsia="Arial" w:hAnsi="Arial"/>
                <w:sz w:val="16"/>
                <w:szCs w:val="16"/>
                <w:color w:val="auto"/>
              </w:rPr>
              <w:t>Service Level Without Interactive Voice</w:t>
            </w:r>
          </w:p>
        </w:tc>
        <w:tc>
          <w:tcPr>
            <w:tcW w:w="1280" w:type="dxa"/>
            <w:vAlign w:val="bottom"/>
            <w:shd w:val="clear" w:color="auto" w:fill="E3E5EB"/>
          </w:tcPr>
          <w:p>
            <w:pPr>
              <w:jc w:val="center"/>
              <w:ind w:right="40"/>
              <w:spacing w:after="0" w:line="167" w:lineRule="exact"/>
              <w:rPr>
                <w:sz w:val="20"/>
                <w:szCs w:val="20"/>
                <w:color w:val="auto"/>
              </w:rPr>
            </w:pPr>
            <w:r>
              <w:rPr>
                <w:rFonts w:ascii="Arial" w:cs="Arial" w:eastAsia="Arial" w:hAnsi="Arial"/>
                <w:sz w:val="16"/>
                <w:szCs w:val="16"/>
                <w:color w:val="auto"/>
                <w:w w:val="99"/>
              </w:rPr>
              <w:t>80%</w:t>
            </w:r>
          </w:p>
        </w:tc>
        <w:tc>
          <w:tcPr>
            <w:tcW w:w="160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rPr>
              <w:t>80.8%</w:t>
            </w:r>
          </w:p>
        </w:tc>
        <w:tc>
          <w:tcPr>
            <w:tcW w:w="1440" w:type="dxa"/>
            <w:vAlign w:val="bottom"/>
            <w:shd w:val="clear" w:color="auto" w:fill="E3E5EB"/>
          </w:tcPr>
          <w:p>
            <w:pPr>
              <w:jc w:val="center"/>
              <w:ind w:left="40"/>
              <w:spacing w:after="0" w:line="167" w:lineRule="exact"/>
              <w:rPr>
                <w:sz w:val="20"/>
                <w:szCs w:val="20"/>
                <w:color w:val="auto"/>
              </w:rPr>
            </w:pPr>
            <w:r>
              <w:rPr>
                <w:rFonts w:ascii="Arial" w:cs="Arial" w:eastAsia="Arial" w:hAnsi="Arial"/>
                <w:sz w:val="16"/>
                <w:szCs w:val="16"/>
                <w:color w:val="auto"/>
                <w:w w:val="97"/>
              </w:rPr>
              <w:t>116%</w:t>
            </w:r>
          </w:p>
        </w:tc>
        <w:tc>
          <w:tcPr>
            <w:tcW w:w="80" w:type="dxa"/>
            <w:vAlign w:val="bottom"/>
            <w:shd w:val="clear" w:color="auto" w:fill="E3E5EB"/>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shd w:val="clear" w:color="auto" w:fill="E3E5EB"/>
          </w:tcPr>
          <w:p>
            <w:pPr>
              <w:spacing w:after="0"/>
              <w:rPr>
                <w:sz w:val="17"/>
                <w:szCs w:val="17"/>
                <w:color w:val="auto"/>
              </w:rPr>
            </w:pP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Response (2.50%)</w:t>
            </w:r>
          </w:p>
        </w:tc>
        <w:tc>
          <w:tcPr>
            <w:tcW w:w="1280" w:type="dxa"/>
            <w:vAlign w:val="bottom"/>
            <w:shd w:val="clear" w:color="auto" w:fill="E3E5EB"/>
          </w:tcPr>
          <w:p>
            <w:pPr>
              <w:spacing w:after="0"/>
              <w:rPr>
                <w:sz w:val="17"/>
                <w:szCs w:val="17"/>
                <w:color w:val="auto"/>
              </w:rPr>
            </w:pPr>
          </w:p>
        </w:tc>
        <w:tc>
          <w:tcPr>
            <w:tcW w:w="1600" w:type="dxa"/>
            <w:vAlign w:val="bottom"/>
            <w:shd w:val="clear" w:color="auto" w:fill="E3E5EB"/>
          </w:tcPr>
          <w:p>
            <w:pPr>
              <w:spacing w:after="0"/>
              <w:rPr>
                <w:sz w:val="17"/>
                <w:szCs w:val="17"/>
                <w:color w:val="auto"/>
              </w:rPr>
            </w:pPr>
          </w:p>
        </w:tc>
        <w:tc>
          <w:tcPr>
            <w:tcW w:w="1440" w:type="dxa"/>
            <w:vAlign w:val="bottom"/>
            <w:shd w:val="clear" w:color="auto" w:fill="E3E5EB"/>
          </w:tcPr>
          <w:p>
            <w:pPr>
              <w:spacing w:after="0"/>
              <w:rPr>
                <w:sz w:val="17"/>
                <w:szCs w:val="17"/>
                <w:color w:val="auto"/>
              </w:rPr>
            </w:pPr>
          </w:p>
        </w:tc>
        <w:tc>
          <w:tcPr>
            <w:tcW w:w="80" w:type="dxa"/>
            <w:vAlign w:val="bottom"/>
            <w:shd w:val="clear" w:color="auto" w:fill="E3E5EB"/>
          </w:tcPr>
          <w:p>
            <w:pPr>
              <w:spacing w:after="0"/>
              <w:rPr>
                <w:sz w:val="17"/>
                <w:szCs w:val="17"/>
                <w:color w:val="auto"/>
              </w:rPr>
            </w:pPr>
          </w:p>
        </w:tc>
      </w:tr>
      <w:tr>
        <w:trPr>
          <w:trHeight w:val="167"/>
        </w:trPr>
        <w:tc>
          <w:tcPr>
            <w:tcW w:w="100" w:type="dxa"/>
            <w:vAlign w:val="bottom"/>
          </w:tcPr>
          <w:p>
            <w:pPr>
              <w:spacing w:after="0"/>
              <w:rPr>
                <w:sz w:val="14"/>
                <w:szCs w:val="14"/>
                <w:color w:val="auto"/>
              </w:rPr>
            </w:pPr>
          </w:p>
        </w:tc>
        <w:tc>
          <w:tcPr>
            <w:tcW w:w="3560" w:type="dxa"/>
            <w:vAlign w:val="bottom"/>
          </w:tcPr>
          <w:p>
            <w:pPr>
              <w:ind w:left="140"/>
              <w:spacing w:after="0" w:line="167" w:lineRule="exact"/>
              <w:rPr>
                <w:sz w:val="20"/>
                <w:szCs w:val="20"/>
                <w:color w:val="auto"/>
              </w:rPr>
            </w:pPr>
            <w:r>
              <w:rPr>
                <w:rFonts w:ascii="Arial" w:cs="Arial" w:eastAsia="Arial" w:hAnsi="Arial"/>
                <w:sz w:val="16"/>
                <w:szCs w:val="16"/>
                <w:color w:val="auto"/>
              </w:rPr>
              <w:t>Environmental Stewardship — 1.25%</w:t>
            </w:r>
          </w:p>
        </w:tc>
        <w:tc>
          <w:tcPr>
            <w:tcW w:w="3460" w:type="dxa"/>
            <w:vAlign w:val="bottom"/>
          </w:tcPr>
          <w:p>
            <w:pPr>
              <w:ind w:left="180"/>
              <w:spacing w:after="0" w:line="167" w:lineRule="exact"/>
              <w:rPr>
                <w:sz w:val="20"/>
                <w:szCs w:val="20"/>
                <w:color w:val="auto"/>
              </w:rPr>
            </w:pPr>
            <w:r>
              <w:rPr>
                <w:rFonts w:ascii="Arial" w:cs="Arial" w:eastAsia="Arial" w:hAnsi="Arial"/>
                <w:sz w:val="16"/>
                <w:szCs w:val="16"/>
                <w:color w:val="auto"/>
              </w:rPr>
              <w:t>Number of Customers with Paperless</w:t>
            </w:r>
          </w:p>
        </w:tc>
        <w:tc>
          <w:tcPr>
            <w:tcW w:w="1280" w:type="dxa"/>
            <w:vAlign w:val="bottom"/>
          </w:tcPr>
          <w:p>
            <w:pPr>
              <w:jc w:val="center"/>
              <w:ind w:right="20"/>
              <w:spacing w:after="0" w:line="167" w:lineRule="exact"/>
              <w:rPr>
                <w:sz w:val="20"/>
                <w:szCs w:val="20"/>
                <w:color w:val="auto"/>
              </w:rPr>
            </w:pPr>
            <w:r>
              <w:rPr>
                <w:rFonts w:ascii="Arial" w:cs="Arial" w:eastAsia="Arial" w:hAnsi="Arial"/>
                <w:sz w:val="16"/>
                <w:szCs w:val="16"/>
                <w:color w:val="auto"/>
              </w:rPr>
              <w:t>326,000</w:t>
            </w:r>
          </w:p>
        </w:tc>
        <w:tc>
          <w:tcPr>
            <w:tcW w:w="1600" w:type="dxa"/>
            <w:vAlign w:val="bottom"/>
          </w:tcPr>
          <w:p>
            <w:pPr>
              <w:jc w:val="center"/>
              <w:spacing w:after="0" w:line="167" w:lineRule="exact"/>
              <w:rPr>
                <w:sz w:val="20"/>
                <w:szCs w:val="20"/>
                <w:color w:val="auto"/>
              </w:rPr>
            </w:pPr>
            <w:r>
              <w:rPr>
                <w:rFonts w:ascii="Arial" w:cs="Arial" w:eastAsia="Arial" w:hAnsi="Arial"/>
                <w:sz w:val="16"/>
                <w:szCs w:val="16"/>
                <w:color w:val="auto"/>
              </w:rPr>
              <w:t>330,515</w:t>
            </w:r>
          </w:p>
        </w:tc>
        <w:tc>
          <w:tcPr>
            <w:tcW w:w="144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7"/>
              </w:rPr>
              <w:t>200%</w:t>
            </w:r>
          </w:p>
        </w:tc>
        <w:tc>
          <w:tcPr>
            <w:tcW w:w="80" w:type="dxa"/>
            <w:vAlign w:val="bottom"/>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tcPr>
          <w:p>
            <w:pPr>
              <w:spacing w:after="0"/>
              <w:rPr>
                <w:sz w:val="17"/>
                <w:szCs w:val="17"/>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Billing (1.25%)</w:t>
            </w:r>
          </w:p>
        </w:tc>
        <w:tc>
          <w:tcPr>
            <w:tcW w:w="128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144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ind w:left="140"/>
              <w:spacing w:after="0"/>
              <w:rPr>
                <w:sz w:val="20"/>
                <w:szCs w:val="20"/>
                <w:color w:val="auto"/>
              </w:rPr>
            </w:pPr>
            <w:r>
              <w:rPr>
                <w:rFonts w:ascii="Arial" w:cs="Arial" w:eastAsia="Arial" w:hAnsi="Arial"/>
                <w:sz w:val="16"/>
                <w:szCs w:val="16"/>
                <w:color w:val="auto"/>
              </w:rPr>
              <w:t>Customers and Communities — 3.13%</w:t>
            </w: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Customer Contact Survey (1.25%)</w:t>
            </w:r>
          </w:p>
        </w:tc>
        <w:tc>
          <w:tcPr>
            <w:tcW w:w="1280" w:type="dxa"/>
            <w:vAlign w:val="bottom"/>
            <w:shd w:val="clear" w:color="auto" w:fill="E3E5EB"/>
          </w:tcPr>
          <w:p>
            <w:pPr>
              <w:jc w:val="center"/>
              <w:ind w:right="40"/>
              <w:spacing w:after="0"/>
              <w:rPr>
                <w:sz w:val="20"/>
                <w:szCs w:val="20"/>
                <w:color w:val="auto"/>
              </w:rPr>
            </w:pPr>
            <w:r>
              <w:rPr>
                <w:rFonts w:ascii="Arial" w:cs="Arial" w:eastAsia="Arial" w:hAnsi="Arial"/>
                <w:sz w:val="16"/>
                <w:szCs w:val="16"/>
                <w:color w:val="auto"/>
                <w:w w:val="99"/>
              </w:rPr>
              <w:t>88%</w:t>
            </w:r>
          </w:p>
        </w:tc>
        <w:tc>
          <w:tcPr>
            <w:tcW w:w="16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88.9%</w:t>
            </w:r>
          </w:p>
        </w:tc>
        <w:tc>
          <w:tcPr>
            <w:tcW w:w="144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7"/>
              </w:rPr>
              <w:t>145%</w:t>
            </w:r>
          </w:p>
        </w:tc>
        <w:tc>
          <w:tcPr>
            <w:tcW w:w="80" w:type="dxa"/>
            <w:vAlign w:val="bottom"/>
            <w:shd w:val="clear" w:color="auto" w:fill="E3E5EB"/>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spacing w:after="0"/>
              <w:rPr>
                <w:sz w:val="16"/>
                <w:szCs w:val="16"/>
                <w:color w:val="auto"/>
              </w:rPr>
            </w:pP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Customer Satisfaction Survey (0.63%)</w:t>
            </w:r>
          </w:p>
        </w:tc>
        <w:tc>
          <w:tcPr>
            <w:tcW w:w="1280" w:type="dxa"/>
            <w:vAlign w:val="bottom"/>
            <w:shd w:val="clear" w:color="auto" w:fill="E3E5EB"/>
          </w:tcPr>
          <w:p>
            <w:pPr>
              <w:jc w:val="center"/>
              <w:ind w:right="40"/>
              <w:spacing w:after="0"/>
              <w:rPr>
                <w:sz w:val="20"/>
                <w:szCs w:val="20"/>
                <w:color w:val="auto"/>
              </w:rPr>
            </w:pPr>
            <w:r>
              <w:rPr>
                <w:rFonts w:ascii="Arial" w:cs="Arial" w:eastAsia="Arial" w:hAnsi="Arial"/>
                <w:sz w:val="16"/>
                <w:szCs w:val="16"/>
                <w:color w:val="auto"/>
                <w:w w:val="99"/>
              </w:rPr>
              <w:t>84%</w:t>
            </w:r>
          </w:p>
        </w:tc>
        <w:tc>
          <w:tcPr>
            <w:tcW w:w="16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85%</w:t>
            </w:r>
          </w:p>
        </w:tc>
        <w:tc>
          <w:tcPr>
            <w:tcW w:w="144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7"/>
              </w:rPr>
              <w:t>150%</w:t>
            </w:r>
          </w:p>
        </w:tc>
        <w:tc>
          <w:tcPr>
            <w:tcW w:w="80" w:type="dxa"/>
            <w:vAlign w:val="bottom"/>
            <w:shd w:val="clear" w:color="auto" w:fill="E3E5EB"/>
          </w:tcPr>
          <w:p>
            <w:pPr>
              <w:spacing w:after="0"/>
              <w:rPr>
                <w:sz w:val="16"/>
                <w:szCs w:val="16"/>
                <w:color w:val="auto"/>
              </w:rPr>
            </w:pPr>
          </w:p>
        </w:tc>
      </w:tr>
      <w:tr>
        <w:trPr>
          <w:trHeight w:val="184"/>
        </w:trPr>
        <w:tc>
          <w:tcPr>
            <w:tcW w:w="100" w:type="dxa"/>
            <w:vAlign w:val="bottom"/>
          </w:tcPr>
          <w:p>
            <w:pPr>
              <w:spacing w:after="0"/>
              <w:rPr>
                <w:sz w:val="16"/>
                <w:szCs w:val="16"/>
                <w:color w:val="auto"/>
              </w:rPr>
            </w:pPr>
          </w:p>
        </w:tc>
        <w:tc>
          <w:tcPr>
            <w:tcW w:w="3560" w:type="dxa"/>
            <w:vAlign w:val="bottom"/>
            <w:shd w:val="clear" w:color="auto" w:fill="E3E5EB"/>
          </w:tcPr>
          <w:p>
            <w:pPr>
              <w:spacing w:after="0"/>
              <w:rPr>
                <w:sz w:val="16"/>
                <w:szCs w:val="16"/>
                <w:color w:val="auto"/>
              </w:rPr>
            </w:pPr>
          </w:p>
        </w:tc>
        <w:tc>
          <w:tcPr>
            <w:tcW w:w="3460" w:type="dxa"/>
            <w:vAlign w:val="bottom"/>
            <w:shd w:val="clear" w:color="auto" w:fill="E3E5EB"/>
          </w:tcPr>
          <w:p>
            <w:pPr>
              <w:ind w:left="180"/>
              <w:spacing w:after="0"/>
              <w:rPr>
                <w:sz w:val="20"/>
                <w:szCs w:val="20"/>
                <w:color w:val="auto"/>
              </w:rPr>
            </w:pPr>
            <w:r>
              <w:rPr>
                <w:rFonts w:ascii="Arial" w:cs="Arial" w:eastAsia="Arial" w:hAnsi="Arial"/>
                <w:sz w:val="16"/>
                <w:szCs w:val="16"/>
                <w:color w:val="auto"/>
              </w:rPr>
              <w:t>JD Power Residential IOU Survey (1.25%)</w:t>
            </w:r>
          </w:p>
        </w:tc>
        <w:tc>
          <w:tcPr>
            <w:tcW w:w="1280" w:type="dxa"/>
            <w:vAlign w:val="bottom"/>
            <w:shd w:val="clear" w:color="auto" w:fill="E3E5EB"/>
          </w:tcPr>
          <w:p>
            <w:pPr>
              <w:ind w:left="340"/>
              <w:spacing w:after="0"/>
              <w:rPr>
                <w:sz w:val="20"/>
                <w:szCs w:val="20"/>
                <w:color w:val="auto"/>
              </w:rPr>
            </w:pPr>
            <w:r>
              <w:rPr>
                <w:rFonts w:ascii="Arial" w:cs="Arial" w:eastAsia="Arial" w:hAnsi="Arial"/>
                <w:sz w:val="16"/>
                <w:szCs w:val="16"/>
                <w:color w:val="auto"/>
              </w:rPr>
              <w:t>Rank 9</w:t>
            </w:r>
          </w:p>
        </w:tc>
        <w:tc>
          <w:tcPr>
            <w:tcW w:w="16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Rank 8</w:t>
            </w:r>
          </w:p>
        </w:tc>
        <w:tc>
          <w:tcPr>
            <w:tcW w:w="1440" w:type="dxa"/>
            <w:vAlign w:val="bottom"/>
            <w:shd w:val="clear" w:color="auto" w:fill="E3E5EB"/>
          </w:tcPr>
          <w:p>
            <w:pPr>
              <w:jc w:val="center"/>
              <w:ind w:left="40"/>
              <w:spacing w:after="0"/>
              <w:rPr>
                <w:sz w:val="20"/>
                <w:szCs w:val="20"/>
                <w:color w:val="auto"/>
              </w:rPr>
            </w:pPr>
            <w:r>
              <w:rPr>
                <w:rFonts w:ascii="Arial" w:cs="Arial" w:eastAsia="Arial" w:hAnsi="Arial"/>
                <w:sz w:val="16"/>
                <w:szCs w:val="16"/>
                <w:color w:val="auto"/>
                <w:w w:val="97"/>
              </w:rPr>
              <w:t>125%</w:t>
            </w:r>
          </w:p>
        </w:tc>
        <w:tc>
          <w:tcPr>
            <w:tcW w:w="80" w:type="dxa"/>
            <w:vAlign w:val="bottom"/>
            <w:shd w:val="clear" w:color="auto" w:fill="E3E5EB"/>
          </w:tcPr>
          <w:p>
            <w:pPr>
              <w:spacing w:after="0"/>
              <w:rPr>
                <w:sz w:val="16"/>
                <w:szCs w:val="16"/>
                <w:color w:val="auto"/>
              </w:rPr>
            </w:pPr>
          </w:p>
        </w:tc>
      </w:tr>
      <w:tr>
        <w:trPr>
          <w:trHeight w:val="167"/>
        </w:trPr>
        <w:tc>
          <w:tcPr>
            <w:tcW w:w="100" w:type="dxa"/>
            <w:vAlign w:val="bottom"/>
          </w:tcPr>
          <w:p>
            <w:pPr>
              <w:spacing w:after="0"/>
              <w:rPr>
                <w:sz w:val="14"/>
                <w:szCs w:val="14"/>
                <w:color w:val="auto"/>
              </w:rPr>
            </w:pPr>
          </w:p>
        </w:tc>
        <w:tc>
          <w:tcPr>
            <w:tcW w:w="3560" w:type="dxa"/>
            <w:vAlign w:val="bottom"/>
          </w:tcPr>
          <w:p>
            <w:pPr>
              <w:ind w:left="140"/>
              <w:spacing w:after="0" w:line="167" w:lineRule="exact"/>
              <w:rPr>
                <w:sz w:val="20"/>
                <w:szCs w:val="20"/>
                <w:color w:val="auto"/>
              </w:rPr>
            </w:pPr>
            <w:r>
              <w:rPr>
                <w:rFonts w:ascii="Arial" w:cs="Arial" w:eastAsia="Arial" w:hAnsi="Arial"/>
                <w:sz w:val="16"/>
                <w:szCs w:val="16"/>
                <w:color w:val="auto"/>
              </w:rPr>
              <w:t>Shareholder Value — 3.13%</w:t>
            </w:r>
          </w:p>
        </w:tc>
        <w:tc>
          <w:tcPr>
            <w:tcW w:w="3460" w:type="dxa"/>
            <w:vAlign w:val="bottom"/>
          </w:tcPr>
          <w:p>
            <w:pPr>
              <w:ind w:left="180"/>
              <w:spacing w:after="0" w:line="167" w:lineRule="exact"/>
              <w:rPr>
                <w:sz w:val="20"/>
                <w:szCs w:val="20"/>
                <w:color w:val="auto"/>
              </w:rPr>
            </w:pPr>
            <w:r>
              <w:rPr>
                <w:rFonts w:ascii="Arial" w:cs="Arial" w:eastAsia="Arial" w:hAnsi="Arial"/>
                <w:sz w:val="16"/>
                <w:szCs w:val="16"/>
                <w:color w:val="auto"/>
              </w:rPr>
              <w:t>Customer Service Operating and</w:t>
            </w:r>
          </w:p>
        </w:tc>
        <w:tc>
          <w:tcPr>
            <w:tcW w:w="1280" w:type="dxa"/>
            <w:vAlign w:val="bottom"/>
          </w:tcPr>
          <w:p>
            <w:pPr>
              <w:ind w:left="340"/>
              <w:spacing w:after="0" w:line="167" w:lineRule="exact"/>
              <w:rPr>
                <w:sz w:val="20"/>
                <w:szCs w:val="20"/>
                <w:color w:val="auto"/>
              </w:rPr>
            </w:pPr>
            <w:r>
              <w:rPr>
                <w:rFonts w:ascii="Arial" w:cs="Arial" w:eastAsia="Arial" w:hAnsi="Arial"/>
                <w:sz w:val="16"/>
                <w:szCs w:val="16"/>
                <w:color w:val="auto"/>
              </w:rPr>
              <w:t>Budget</w:t>
            </w:r>
          </w:p>
        </w:tc>
        <w:tc>
          <w:tcPr>
            <w:tcW w:w="1600" w:type="dxa"/>
            <w:vAlign w:val="bottom"/>
          </w:tcPr>
          <w:p>
            <w:pPr>
              <w:jc w:val="center"/>
              <w:spacing w:after="0" w:line="167" w:lineRule="exact"/>
              <w:rPr>
                <w:sz w:val="20"/>
                <w:szCs w:val="20"/>
                <w:color w:val="auto"/>
              </w:rPr>
            </w:pPr>
            <w:r>
              <w:rPr>
                <w:rFonts w:ascii="Arial" w:cs="Arial" w:eastAsia="Arial" w:hAnsi="Arial"/>
                <w:sz w:val="16"/>
                <w:szCs w:val="16"/>
                <w:color w:val="auto"/>
                <w:w w:val="99"/>
              </w:rPr>
              <w:t>2.7% Under</w:t>
            </w:r>
          </w:p>
        </w:tc>
        <w:tc>
          <w:tcPr>
            <w:tcW w:w="1440" w:type="dxa"/>
            <w:vAlign w:val="bottom"/>
          </w:tcPr>
          <w:p>
            <w:pPr>
              <w:jc w:val="center"/>
              <w:ind w:left="40"/>
              <w:spacing w:after="0" w:line="167" w:lineRule="exact"/>
              <w:rPr>
                <w:sz w:val="20"/>
                <w:szCs w:val="20"/>
                <w:color w:val="auto"/>
              </w:rPr>
            </w:pPr>
            <w:r>
              <w:rPr>
                <w:rFonts w:ascii="Arial" w:cs="Arial" w:eastAsia="Arial" w:hAnsi="Arial"/>
                <w:sz w:val="16"/>
                <w:szCs w:val="16"/>
                <w:color w:val="auto"/>
                <w:w w:val="97"/>
              </w:rPr>
              <w:t>200%</w:t>
            </w:r>
          </w:p>
        </w:tc>
        <w:tc>
          <w:tcPr>
            <w:tcW w:w="80" w:type="dxa"/>
            <w:vAlign w:val="bottom"/>
          </w:tcPr>
          <w:p>
            <w:pPr>
              <w:spacing w:after="0"/>
              <w:rPr>
                <w:sz w:val="14"/>
                <w:szCs w:val="14"/>
                <w:color w:val="auto"/>
              </w:rPr>
            </w:pPr>
          </w:p>
        </w:tc>
      </w:tr>
      <w:tr>
        <w:trPr>
          <w:trHeight w:val="201"/>
        </w:trPr>
        <w:tc>
          <w:tcPr>
            <w:tcW w:w="100" w:type="dxa"/>
            <w:vAlign w:val="bottom"/>
          </w:tcPr>
          <w:p>
            <w:pPr>
              <w:spacing w:after="0"/>
              <w:rPr>
                <w:sz w:val="17"/>
                <w:szCs w:val="17"/>
                <w:color w:val="auto"/>
              </w:rPr>
            </w:pPr>
          </w:p>
        </w:tc>
        <w:tc>
          <w:tcPr>
            <w:tcW w:w="3560" w:type="dxa"/>
            <w:vAlign w:val="bottom"/>
          </w:tcPr>
          <w:p>
            <w:pPr>
              <w:spacing w:after="0"/>
              <w:rPr>
                <w:sz w:val="17"/>
                <w:szCs w:val="17"/>
                <w:color w:val="auto"/>
              </w:rPr>
            </w:pPr>
          </w:p>
        </w:tc>
        <w:tc>
          <w:tcPr>
            <w:tcW w:w="3460" w:type="dxa"/>
            <w:vAlign w:val="bottom"/>
          </w:tcPr>
          <w:p>
            <w:pPr>
              <w:ind w:left="180"/>
              <w:spacing w:after="0"/>
              <w:rPr>
                <w:sz w:val="20"/>
                <w:szCs w:val="20"/>
                <w:color w:val="auto"/>
              </w:rPr>
            </w:pPr>
            <w:r>
              <w:rPr>
                <w:rFonts w:ascii="Arial" w:cs="Arial" w:eastAsia="Arial" w:hAnsi="Arial"/>
                <w:sz w:val="16"/>
                <w:szCs w:val="16"/>
                <w:color w:val="auto"/>
              </w:rPr>
              <w:t>Maintenance Budget (3.13%)</w:t>
            </w:r>
          </w:p>
        </w:tc>
        <w:tc>
          <w:tcPr>
            <w:tcW w:w="1280" w:type="dxa"/>
            <w:vAlign w:val="bottom"/>
          </w:tcPr>
          <w:p>
            <w:pPr>
              <w:spacing w:after="0"/>
              <w:rPr>
                <w:sz w:val="17"/>
                <w:szCs w:val="17"/>
                <w:color w:val="auto"/>
              </w:rPr>
            </w:pPr>
          </w:p>
        </w:tc>
        <w:tc>
          <w:tcPr>
            <w:tcW w:w="1600" w:type="dxa"/>
            <w:vAlign w:val="bottom"/>
          </w:tcPr>
          <w:p>
            <w:pPr>
              <w:jc w:val="center"/>
              <w:spacing w:after="0"/>
              <w:rPr>
                <w:sz w:val="20"/>
                <w:szCs w:val="20"/>
                <w:color w:val="auto"/>
              </w:rPr>
            </w:pPr>
            <w:r>
              <w:rPr>
                <w:rFonts w:ascii="Arial" w:cs="Arial" w:eastAsia="Arial" w:hAnsi="Arial"/>
                <w:sz w:val="16"/>
                <w:szCs w:val="16"/>
                <w:color w:val="auto"/>
                <w:w w:val="98"/>
              </w:rPr>
              <w:t>Budget</w:t>
            </w:r>
          </w:p>
        </w:tc>
        <w:tc>
          <w:tcPr>
            <w:tcW w:w="144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184"/>
        </w:trPr>
        <w:tc>
          <w:tcPr>
            <w:tcW w:w="100" w:type="dxa"/>
            <w:vAlign w:val="bottom"/>
          </w:tcPr>
          <w:p>
            <w:pPr>
              <w:spacing w:after="0"/>
              <w:rPr>
                <w:sz w:val="16"/>
                <w:szCs w:val="16"/>
                <w:color w:val="auto"/>
              </w:rPr>
            </w:pPr>
          </w:p>
        </w:tc>
        <w:tc>
          <w:tcPr>
            <w:tcW w:w="3560" w:type="dxa"/>
            <w:vAlign w:val="bottom"/>
            <w:tcBorders>
              <w:bottom w:val="single" w:sz="8" w:color="888992"/>
            </w:tcBorders>
            <w:shd w:val="clear" w:color="auto" w:fill="E3E5EB"/>
          </w:tcPr>
          <w:p>
            <w:pPr>
              <w:spacing w:after="0"/>
              <w:rPr>
                <w:sz w:val="16"/>
                <w:szCs w:val="16"/>
                <w:color w:val="auto"/>
              </w:rPr>
            </w:pPr>
          </w:p>
        </w:tc>
        <w:tc>
          <w:tcPr>
            <w:tcW w:w="6340" w:type="dxa"/>
            <w:vAlign w:val="bottom"/>
            <w:tcBorders>
              <w:bottom w:val="single" w:sz="8" w:color="888992"/>
            </w:tcBorders>
            <w:gridSpan w:val="3"/>
            <w:shd w:val="clear" w:color="auto" w:fill="E3E5EB"/>
          </w:tcPr>
          <w:p>
            <w:pPr>
              <w:jc w:val="right"/>
              <w:ind w:right="80"/>
              <w:spacing w:after="0"/>
              <w:rPr>
                <w:sz w:val="20"/>
                <w:szCs w:val="20"/>
                <w:color w:val="auto"/>
              </w:rPr>
            </w:pPr>
            <w:r>
              <w:rPr>
                <w:rFonts w:ascii="Arial" w:cs="Arial" w:eastAsia="Arial" w:hAnsi="Arial"/>
                <w:sz w:val="16"/>
                <w:szCs w:val="16"/>
                <w:b w:val="1"/>
                <w:bCs w:val="1"/>
                <w:color w:val="auto"/>
              </w:rPr>
              <w:t>COO Customer Service Business Unit Results</w:t>
            </w:r>
          </w:p>
        </w:tc>
        <w:tc>
          <w:tcPr>
            <w:tcW w:w="1440" w:type="dxa"/>
            <w:vAlign w:val="bottom"/>
            <w:tcBorders>
              <w:bottom w:val="single" w:sz="8" w:color="888992"/>
            </w:tcBorders>
            <w:shd w:val="clear" w:color="auto" w:fill="E3E5EB"/>
          </w:tcPr>
          <w:p>
            <w:pPr>
              <w:jc w:val="center"/>
              <w:ind w:left="40"/>
              <w:spacing w:after="0"/>
              <w:rPr>
                <w:sz w:val="20"/>
                <w:szCs w:val="20"/>
                <w:color w:val="auto"/>
              </w:rPr>
            </w:pPr>
            <w:r>
              <w:rPr>
                <w:rFonts w:ascii="Arial" w:cs="Arial" w:eastAsia="Arial" w:hAnsi="Arial"/>
                <w:sz w:val="16"/>
                <w:szCs w:val="16"/>
                <w:b w:val="1"/>
                <w:bCs w:val="1"/>
                <w:color w:val="auto"/>
                <w:w w:val="97"/>
              </w:rPr>
              <w:t>168%</w:t>
            </w:r>
          </w:p>
        </w:tc>
        <w:tc>
          <w:tcPr>
            <w:tcW w:w="80" w:type="dxa"/>
            <w:vAlign w:val="bottom"/>
            <w:tcBorders>
              <w:bottom w:val="single" w:sz="8" w:color="888992"/>
            </w:tcBorders>
            <w:shd w:val="clear" w:color="auto" w:fill="E3E5EB"/>
          </w:tcPr>
          <w:p>
            <w:pPr>
              <w:spacing w:after="0"/>
              <w:rPr>
                <w:sz w:val="16"/>
                <w:szCs w:val="16"/>
                <w:color w:val="auto"/>
              </w:rPr>
            </w:pPr>
          </w:p>
        </w:tc>
      </w:tr>
      <w:tr>
        <w:trPr>
          <w:trHeight w:val="653"/>
        </w:trPr>
        <w:tc>
          <w:tcPr>
            <w:tcW w:w="100" w:type="dxa"/>
            <w:vAlign w:val="bottom"/>
          </w:tcPr>
          <w:p>
            <w:pPr>
              <w:spacing w:after="0"/>
              <w:rPr>
                <w:sz w:val="24"/>
                <w:szCs w:val="24"/>
                <w:color w:val="auto"/>
              </w:rPr>
            </w:pPr>
          </w:p>
        </w:tc>
        <w:tc>
          <w:tcPr>
            <w:tcW w:w="356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880" w:type="dxa"/>
            <w:vAlign w:val="bottom"/>
            <w:gridSpan w:val="2"/>
          </w:tcPr>
          <w:p>
            <w:pPr>
              <w:ind w:left="36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16"/>
                <w:szCs w:val="16"/>
                <w:b w:val="1"/>
                <w:bCs w:val="1"/>
                <w:color w:val="3A5575"/>
              </w:rPr>
              <w:t>|</w:t>
            </w:r>
          </w:p>
        </w:tc>
        <w:tc>
          <w:tcPr>
            <w:tcW w:w="1440" w:type="dxa"/>
            <w:vAlign w:val="bottom"/>
          </w:tcPr>
          <w:p>
            <w:pPr>
              <w:jc w:val="right"/>
              <w:spacing w:after="0"/>
              <w:rPr>
                <w:sz w:val="20"/>
                <w:szCs w:val="20"/>
                <w:color w:val="auto"/>
              </w:rPr>
            </w:pPr>
            <w:r>
              <w:rPr>
                <w:rFonts w:ascii="Arial" w:cs="Arial" w:eastAsia="Arial" w:hAnsi="Arial"/>
                <w:sz w:val="16"/>
                <w:szCs w:val="16"/>
                <w:b w:val="1"/>
                <w:bCs w:val="1"/>
                <w:color w:val="auto"/>
              </w:rPr>
              <w:t>55</w:t>
            </w:r>
          </w:p>
        </w:tc>
        <w:tc>
          <w:tcPr>
            <w:tcW w:w="80" w:type="dxa"/>
            <w:vAlign w:val="bottom"/>
          </w:tcPr>
          <w:p>
            <w:pPr>
              <w:spacing w:after="0"/>
              <w:rPr>
                <w:sz w:val="24"/>
                <w:szCs w:val="24"/>
                <w:color w:val="auto"/>
              </w:rPr>
            </w:pPr>
          </w:p>
        </w:tc>
      </w:tr>
      <w:tr>
        <w:trPr>
          <w:trHeight w:val="169"/>
        </w:trPr>
        <w:tc>
          <w:tcPr>
            <w:tcW w:w="100" w:type="dxa"/>
            <w:vAlign w:val="bottom"/>
            <w:tcBorders>
              <w:bottom w:val="single" w:sz="8" w:color="808080"/>
            </w:tcBorders>
          </w:tcPr>
          <w:p>
            <w:pPr>
              <w:spacing w:after="0"/>
              <w:rPr>
                <w:sz w:val="14"/>
                <w:szCs w:val="14"/>
                <w:color w:val="auto"/>
              </w:rPr>
            </w:pPr>
          </w:p>
        </w:tc>
        <w:tc>
          <w:tcPr>
            <w:tcW w:w="3560" w:type="dxa"/>
            <w:vAlign w:val="bottom"/>
            <w:tcBorders>
              <w:bottom w:val="single" w:sz="8" w:color="808080"/>
            </w:tcBorders>
          </w:tcPr>
          <w:p>
            <w:pPr>
              <w:spacing w:after="0"/>
              <w:rPr>
                <w:sz w:val="14"/>
                <w:szCs w:val="14"/>
                <w:color w:val="auto"/>
              </w:rPr>
            </w:pPr>
          </w:p>
        </w:tc>
        <w:tc>
          <w:tcPr>
            <w:tcW w:w="3460" w:type="dxa"/>
            <w:vAlign w:val="bottom"/>
            <w:tcBorders>
              <w:bottom w:val="single" w:sz="8" w:color="808080"/>
            </w:tcBorders>
          </w:tcPr>
          <w:p>
            <w:pPr>
              <w:spacing w:after="0"/>
              <w:rPr>
                <w:sz w:val="14"/>
                <w:szCs w:val="14"/>
                <w:color w:val="auto"/>
              </w:rPr>
            </w:pPr>
          </w:p>
        </w:tc>
        <w:tc>
          <w:tcPr>
            <w:tcW w:w="1280" w:type="dxa"/>
            <w:vAlign w:val="bottom"/>
            <w:tcBorders>
              <w:bottom w:val="single" w:sz="8" w:color="808080"/>
            </w:tcBorders>
          </w:tcPr>
          <w:p>
            <w:pPr>
              <w:spacing w:after="0"/>
              <w:rPr>
                <w:sz w:val="14"/>
                <w:szCs w:val="14"/>
                <w:color w:val="auto"/>
              </w:rPr>
            </w:pPr>
          </w:p>
        </w:tc>
        <w:tc>
          <w:tcPr>
            <w:tcW w:w="1600" w:type="dxa"/>
            <w:vAlign w:val="bottom"/>
            <w:tcBorders>
              <w:bottom w:val="single" w:sz="8" w:color="808080"/>
            </w:tcBorders>
          </w:tcPr>
          <w:p>
            <w:pPr>
              <w:spacing w:after="0"/>
              <w:rPr>
                <w:sz w:val="14"/>
                <w:szCs w:val="14"/>
                <w:color w:val="auto"/>
              </w:rPr>
            </w:pPr>
          </w:p>
        </w:tc>
        <w:tc>
          <w:tcPr>
            <w:tcW w:w="1440" w:type="dxa"/>
            <w:vAlign w:val="bottom"/>
            <w:tcBorders>
              <w:bottom w:val="single" w:sz="8" w:color="808080"/>
            </w:tcBorders>
          </w:tcPr>
          <w:p>
            <w:pPr>
              <w:spacing w:after="0"/>
              <w:rPr>
                <w:sz w:val="14"/>
                <w:szCs w:val="14"/>
                <w:color w:val="auto"/>
              </w:rPr>
            </w:pPr>
          </w:p>
        </w:tc>
        <w:tc>
          <w:tcPr>
            <w:tcW w:w="80" w:type="dxa"/>
            <w:vAlign w:val="bottom"/>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6128385</wp:posOffset>
            </wp:positionH>
            <wp:positionV relativeFrom="paragraph">
              <wp:posOffset>-290195</wp:posOffset>
            </wp:positionV>
            <wp:extent cx="841375" cy="16383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64" w:name="page65"/>
    <w:bookmarkEnd w:id="64"/>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17" w:lineRule="exact"/>
        <w:rPr>
          <w:sz w:val="20"/>
          <w:szCs w:val="20"/>
          <w:color w:val="auto"/>
        </w:rPr>
      </w:pPr>
    </w:p>
    <w:tbl>
      <w:tblPr>
        <w:tblLayout w:type="fixed"/>
        <w:tblInd w:w="2" w:type="dxa"/>
        <w:tblCellMar>
          <w:top w:w="0" w:type="dxa"/>
          <w:left w:w="0" w:type="dxa"/>
          <w:bottom w:w="0" w:type="dxa"/>
          <w:right w:w="0" w:type="dxa"/>
        </w:tblCellMar>
      </w:tblPr>
      <w:tr>
        <w:trPr>
          <w:trHeight w:val="225"/>
        </w:trPr>
        <w:tc>
          <w:tcPr>
            <w:tcW w:w="100" w:type="dxa"/>
            <w:vAlign w:val="bottom"/>
            <w:tcBorders>
              <w:bottom w:val="single" w:sz="8" w:color="3A5575"/>
            </w:tcBorders>
            <w:shd w:val="clear" w:color="auto" w:fill="3A5575"/>
          </w:tcPr>
          <w:p>
            <w:pPr>
              <w:spacing w:after="0"/>
              <w:rPr>
                <w:sz w:val="19"/>
                <w:szCs w:val="19"/>
                <w:color w:val="auto"/>
              </w:rPr>
            </w:pPr>
          </w:p>
        </w:tc>
        <w:tc>
          <w:tcPr>
            <w:tcW w:w="2240" w:type="dxa"/>
            <w:vAlign w:val="bottom"/>
            <w:tcBorders>
              <w:bottom w:val="single" w:sz="8" w:color="3A5575"/>
            </w:tcBorders>
            <w:shd w:val="clear" w:color="auto" w:fill="3A5575"/>
          </w:tcPr>
          <w:p>
            <w:pPr>
              <w:ind w:left="360"/>
              <w:spacing w:after="0"/>
              <w:rPr>
                <w:sz w:val="20"/>
                <w:szCs w:val="20"/>
                <w:color w:val="auto"/>
              </w:rPr>
            </w:pPr>
            <w:r>
              <w:rPr>
                <w:rFonts w:ascii="Arial" w:cs="Arial" w:eastAsia="Arial" w:hAnsi="Arial"/>
                <w:sz w:val="13"/>
                <w:szCs w:val="13"/>
                <w:b w:val="1"/>
                <w:bCs w:val="1"/>
                <w:color w:val="FFFFFE"/>
              </w:rPr>
              <w:t>EXECUTIVE COMPENSATION</w:t>
            </w:r>
          </w:p>
        </w:tc>
        <w:tc>
          <w:tcPr>
            <w:tcW w:w="140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1640" w:type="dxa"/>
            <w:vAlign w:val="bottom"/>
          </w:tcPr>
          <w:p>
            <w:pPr>
              <w:spacing w:after="0"/>
              <w:rPr>
                <w:sz w:val="19"/>
                <w:szCs w:val="19"/>
                <w:color w:val="auto"/>
              </w:rPr>
            </w:pPr>
          </w:p>
        </w:tc>
        <w:tc>
          <w:tcPr>
            <w:tcW w:w="1740" w:type="dxa"/>
            <w:vAlign w:val="bottom"/>
          </w:tcPr>
          <w:p>
            <w:pPr>
              <w:spacing w:after="0"/>
              <w:rPr>
                <w:sz w:val="19"/>
                <w:szCs w:val="19"/>
                <w:color w:val="auto"/>
              </w:rPr>
            </w:pPr>
          </w:p>
        </w:tc>
        <w:tc>
          <w:tcPr>
            <w:tcW w:w="1560" w:type="dxa"/>
            <w:vAlign w:val="bottom"/>
          </w:tcPr>
          <w:p>
            <w:pPr>
              <w:spacing w:after="0"/>
              <w:rPr>
                <w:sz w:val="19"/>
                <w:szCs w:val="19"/>
                <w:color w:val="auto"/>
              </w:rPr>
            </w:pPr>
          </w:p>
        </w:tc>
      </w:tr>
      <w:tr>
        <w:trPr>
          <w:trHeight w:val="263"/>
        </w:trPr>
        <w:tc>
          <w:tcPr>
            <w:tcW w:w="100" w:type="dxa"/>
            <w:vAlign w:val="bottom"/>
          </w:tcPr>
          <w:p>
            <w:pPr>
              <w:spacing w:after="0"/>
              <w:rPr>
                <w:sz w:val="22"/>
                <w:szCs w:val="22"/>
                <w:color w:val="auto"/>
              </w:rPr>
            </w:pPr>
          </w:p>
        </w:tc>
        <w:tc>
          <w:tcPr>
            <w:tcW w:w="2240" w:type="dxa"/>
            <w:vAlign w:val="bottom"/>
          </w:tcPr>
          <w:p>
            <w:pPr>
              <w:spacing w:after="0"/>
              <w:rPr>
                <w:sz w:val="22"/>
                <w:szCs w:val="22"/>
                <w:color w:val="auto"/>
              </w:rPr>
            </w:pPr>
          </w:p>
        </w:tc>
        <w:tc>
          <w:tcPr>
            <w:tcW w:w="1400" w:type="dxa"/>
            <w:vAlign w:val="bottom"/>
          </w:tcPr>
          <w:p>
            <w:pPr>
              <w:spacing w:after="0"/>
              <w:rPr>
                <w:sz w:val="22"/>
                <w:szCs w:val="22"/>
                <w:color w:val="auto"/>
              </w:rPr>
            </w:pPr>
          </w:p>
        </w:tc>
        <w:tc>
          <w:tcPr>
            <w:tcW w:w="2840" w:type="dxa"/>
            <w:vAlign w:val="bottom"/>
          </w:tcPr>
          <w:p>
            <w:pPr>
              <w:spacing w:after="0"/>
              <w:rPr>
                <w:sz w:val="22"/>
                <w:szCs w:val="22"/>
                <w:color w:val="auto"/>
              </w:rPr>
            </w:pPr>
          </w:p>
        </w:tc>
        <w:tc>
          <w:tcPr>
            <w:tcW w:w="1640" w:type="dxa"/>
            <w:vAlign w:val="bottom"/>
          </w:tcPr>
          <w:p>
            <w:pPr>
              <w:spacing w:after="0"/>
              <w:rPr>
                <w:sz w:val="22"/>
                <w:szCs w:val="22"/>
                <w:color w:val="auto"/>
              </w:rPr>
            </w:pPr>
          </w:p>
        </w:tc>
        <w:tc>
          <w:tcPr>
            <w:tcW w:w="1740" w:type="dxa"/>
            <w:vAlign w:val="bottom"/>
          </w:tcPr>
          <w:p>
            <w:pPr>
              <w:spacing w:after="0"/>
              <w:rPr>
                <w:sz w:val="22"/>
                <w:szCs w:val="22"/>
                <w:color w:val="auto"/>
              </w:rPr>
            </w:pPr>
          </w:p>
        </w:tc>
        <w:tc>
          <w:tcPr>
            <w:tcW w:w="1560" w:type="dxa"/>
            <w:vAlign w:val="bottom"/>
          </w:tcPr>
          <w:p>
            <w:pPr>
              <w:jc w:val="center"/>
              <w:spacing w:after="0"/>
              <w:rPr>
                <w:sz w:val="20"/>
                <w:szCs w:val="20"/>
                <w:color w:val="auto"/>
              </w:rPr>
            </w:pPr>
            <w:r>
              <w:rPr>
                <w:rFonts w:ascii="Arial" w:cs="Arial" w:eastAsia="Arial" w:hAnsi="Arial"/>
                <w:sz w:val="16"/>
                <w:szCs w:val="16"/>
                <w:b w:val="1"/>
                <w:bCs w:val="1"/>
                <w:color w:val="3A5575"/>
                <w:w w:val="98"/>
              </w:rPr>
              <w:t>% OF TARGET</w:t>
            </w:r>
          </w:p>
        </w:tc>
      </w:tr>
      <w:tr>
        <w:trPr>
          <w:trHeight w:val="184"/>
        </w:trPr>
        <w:tc>
          <w:tcPr>
            <w:tcW w:w="10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840" w:type="dxa"/>
            <w:vAlign w:val="bottom"/>
          </w:tcPr>
          <w:p>
            <w:pPr>
              <w:spacing w:after="0"/>
              <w:rPr>
                <w:sz w:val="16"/>
                <w:szCs w:val="16"/>
                <w:color w:val="auto"/>
              </w:rPr>
            </w:pPr>
          </w:p>
        </w:tc>
        <w:tc>
          <w:tcPr>
            <w:tcW w:w="1640" w:type="dxa"/>
            <w:vAlign w:val="bottom"/>
          </w:tcPr>
          <w:p>
            <w:pPr>
              <w:spacing w:after="0"/>
              <w:rPr>
                <w:sz w:val="16"/>
                <w:szCs w:val="16"/>
                <w:color w:val="auto"/>
              </w:rPr>
            </w:pPr>
          </w:p>
        </w:tc>
        <w:tc>
          <w:tcPr>
            <w:tcW w:w="1740" w:type="dxa"/>
            <w:vAlign w:val="bottom"/>
          </w:tcPr>
          <w:p>
            <w:pPr>
              <w:jc w:val="center"/>
              <w:spacing w:after="0"/>
              <w:rPr>
                <w:sz w:val="20"/>
                <w:szCs w:val="20"/>
                <w:color w:val="auto"/>
              </w:rPr>
            </w:pPr>
            <w:r>
              <w:rPr>
                <w:rFonts w:ascii="Arial" w:cs="Arial" w:eastAsia="Arial" w:hAnsi="Arial"/>
                <w:sz w:val="16"/>
                <w:szCs w:val="16"/>
                <w:b w:val="1"/>
                <w:bCs w:val="1"/>
                <w:color w:val="3A5575"/>
                <w:w w:val="97"/>
              </w:rPr>
              <w:t>ACTUAL</w:t>
            </w:r>
          </w:p>
        </w:tc>
        <w:tc>
          <w:tcPr>
            <w:tcW w:w="1560" w:type="dxa"/>
            <w:vAlign w:val="bottom"/>
          </w:tcPr>
          <w:p>
            <w:pPr>
              <w:jc w:val="center"/>
              <w:spacing w:after="0"/>
              <w:rPr>
                <w:sz w:val="20"/>
                <w:szCs w:val="20"/>
                <w:color w:val="auto"/>
              </w:rPr>
            </w:pPr>
            <w:r>
              <w:rPr>
                <w:rFonts w:ascii="Arial" w:cs="Arial" w:eastAsia="Arial" w:hAnsi="Arial"/>
                <w:sz w:val="16"/>
                <w:szCs w:val="16"/>
                <w:b w:val="1"/>
                <w:bCs w:val="1"/>
                <w:color w:val="3A5575"/>
                <w:w w:val="98"/>
              </w:rPr>
              <w:t>PERFORMANCE</w:t>
            </w:r>
          </w:p>
        </w:tc>
      </w:tr>
      <w:tr>
        <w:trPr>
          <w:trHeight w:val="203"/>
        </w:trPr>
        <w:tc>
          <w:tcPr>
            <w:tcW w:w="100" w:type="dxa"/>
            <w:vAlign w:val="bottom"/>
          </w:tcPr>
          <w:p>
            <w:pPr>
              <w:spacing w:after="0"/>
              <w:rPr>
                <w:sz w:val="17"/>
                <w:szCs w:val="17"/>
                <w:color w:val="auto"/>
              </w:rPr>
            </w:pPr>
          </w:p>
        </w:tc>
        <w:tc>
          <w:tcPr>
            <w:tcW w:w="3640" w:type="dxa"/>
            <w:vAlign w:val="bottom"/>
            <w:tcBorders>
              <w:bottom w:val="single" w:sz="8" w:color="888992"/>
            </w:tcBorders>
            <w:gridSpan w:val="2"/>
          </w:tcPr>
          <w:p>
            <w:pPr>
              <w:spacing w:after="0"/>
              <w:rPr>
                <w:sz w:val="20"/>
                <w:szCs w:val="20"/>
                <w:color w:val="auto"/>
              </w:rPr>
            </w:pPr>
            <w:r>
              <w:rPr>
                <w:rFonts w:ascii="Arial" w:cs="Arial" w:eastAsia="Arial" w:hAnsi="Arial"/>
                <w:sz w:val="16"/>
                <w:szCs w:val="16"/>
                <w:b w:val="1"/>
                <w:bCs w:val="1"/>
                <w:color w:val="3A5575"/>
              </w:rPr>
              <w:t>PERFORMANCE MEASURES AND WEIGHTING</w:t>
            </w:r>
          </w:p>
        </w:tc>
        <w:tc>
          <w:tcPr>
            <w:tcW w:w="2840" w:type="dxa"/>
            <w:vAlign w:val="bottom"/>
            <w:tcBorders>
              <w:bottom w:val="single" w:sz="8" w:color="888992"/>
            </w:tcBorders>
          </w:tcPr>
          <w:p>
            <w:pPr>
              <w:ind w:left="1080"/>
              <w:spacing w:after="0"/>
              <w:rPr>
                <w:sz w:val="20"/>
                <w:szCs w:val="20"/>
                <w:color w:val="auto"/>
              </w:rPr>
            </w:pPr>
            <w:r>
              <w:rPr>
                <w:rFonts w:ascii="Arial" w:cs="Arial" w:eastAsia="Arial" w:hAnsi="Arial"/>
                <w:sz w:val="16"/>
                <w:szCs w:val="16"/>
                <w:b w:val="1"/>
                <w:bCs w:val="1"/>
                <w:color w:val="3A5575"/>
              </w:rPr>
              <w:t>MEASURE</w:t>
            </w:r>
          </w:p>
        </w:tc>
        <w:tc>
          <w:tcPr>
            <w:tcW w:w="1640" w:type="dxa"/>
            <w:vAlign w:val="bottom"/>
            <w:tcBorders>
              <w:bottom w:val="single" w:sz="8" w:color="888992"/>
            </w:tcBorders>
          </w:tcPr>
          <w:p>
            <w:pPr>
              <w:jc w:val="center"/>
              <w:ind w:left="80"/>
              <w:spacing w:after="0"/>
              <w:rPr>
                <w:sz w:val="20"/>
                <w:szCs w:val="20"/>
                <w:color w:val="auto"/>
              </w:rPr>
            </w:pPr>
            <w:r>
              <w:rPr>
                <w:rFonts w:ascii="Arial" w:cs="Arial" w:eastAsia="Arial" w:hAnsi="Arial"/>
                <w:sz w:val="16"/>
                <w:szCs w:val="16"/>
                <w:b w:val="1"/>
                <w:bCs w:val="1"/>
                <w:color w:val="3A5575"/>
                <w:w w:val="97"/>
              </w:rPr>
              <w:t>TARGET</w:t>
            </w:r>
          </w:p>
        </w:tc>
        <w:tc>
          <w:tcPr>
            <w:tcW w:w="17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6"/>
              </w:rPr>
              <w:t>RESULTS</w:t>
            </w:r>
          </w:p>
        </w:tc>
        <w:tc>
          <w:tcPr>
            <w:tcW w:w="156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w w:val="99"/>
              </w:rPr>
              <w:t>ACHIEVED</w:t>
            </w:r>
          </w:p>
        </w:tc>
      </w:tr>
      <w:tr>
        <w:trPr>
          <w:trHeight w:val="176"/>
        </w:trPr>
        <w:tc>
          <w:tcPr>
            <w:tcW w:w="100" w:type="dxa"/>
            <w:vAlign w:val="bottom"/>
          </w:tcPr>
          <w:p>
            <w:pPr>
              <w:spacing w:after="0"/>
              <w:rPr>
                <w:sz w:val="15"/>
                <w:szCs w:val="15"/>
                <w:color w:val="auto"/>
              </w:rPr>
            </w:pPr>
          </w:p>
        </w:tc>
        <w:tc>
          <w:tcPr>
            <w:tcW w:w="3640" w:type="dxa"/>
            <w:vAlign w:val="bottom"/>
            <w:gridSpan w:val="2"/>
          </w:tcPr>
          <w:p>
            <w:pPr>
              <w:spacing w:after="0" w:line="176" w:lineRule="exact"/>
              <w:rPr>
                <w:sz w:val="20"/>
                <w:szCs w:val="20"/>
                <w:color w:val="auto"/>
              </w:rPr>
            </w:pPr>
            <w:r>
              <w:rPr>
                <w:rFonts w:ascii="Arial" w:cs="Arial" w:eastAsia="Arial" w:hAnsi="Arial"/>
                <w:sz w:val="16"/>
                <w:szCs w:val="16"/>
                <w:b w:val="1"/>
                <w:bCs w:val="1"/>
                <w:color w:val="auto"/>
              </w:rPr>
              <w:t>Fossil Generation Business Unit — 12.50%:</w:t>
            </w:r>
          </w:p>
        </w:tc>
        <w:tc>
          <w:tcPr>
            <w:tcW w:w="2840" w:type="dxa"/>
            <w:vAlign w:val="bottom"/>
          </w:tcPr>
          <w:p>
            <w:pPr>
              <w:spacing w:after="0"/>
              <w:rPr>
                <w:sz w:val="15"/>
                <w:szCs w:val="15"/>
                <w:color w:val="auto"/>
              </w:rPr>
            </w:pPr>
          </w:p>
        </w:tc>
        <w:tc>
          <w:tcPr>
            <w:tcW w:w="1640" w:type="dxa"/>
            <w:vAlign w:val="bottom"/>
          </w:tcPr>
          <w:p>
            <w:pPr>
              <w:spacing w:after="0"/>
              <w:rPr>
                <w:sz w:val="15"/>
                <w:szCs w:val="15"/>
                <w:color w:val="auto"/>
              </w:rPr>
            </w:pPr>
          </w:p>
        </w:tc>
        <w:tc>
          <w:tcPr>
            <w:tcW w:w="1740" w:type="dxa"/>
            <w:vAlign w:val="bottom"/>
          </w:tcPr>
          <w:p>
            <w:pPr>
              <w:spacing w:after="0"/>
              <w:rPr>
                <w:sz w:val="15"/>
                <w:szCs w:val="15"/>
                <w:color w:val="auto"/>
              </w:rPr>
            </w:pPr>
          </w:p>
        </w:tc>
        <w:tc>
          <w:tcPr>
            <w:tcW w:w="1560" w:type="dxa"/>
            <w:vAlign w:val="bottom"/>
          </w:tcPr>
          <w:p>
            <w:pPr>
              <w:spacing w:after="0"/>
              <w:rPr>
                <w:sz w:val="15"/>
                <w:szCs w:val="15"/>
                <w:color w:val="auto"/>
              </w:rPr>
            </w:pPr>
          </w:p>
        </w:tc>
      </w:tr>
      <w:tr>
        <w:trPr>
          <w:trHeight w:val="184"/>
        </w:trPr>
        <w:tc>
          <w:tcPr>
            <w:tcW w:w="100" w:type="dxa"/>
            <w:vAlign w:val="bottom"/>
          </w:tcPr>
          <w:p>
            <w:pPr>
              <w:spacing w:after="0"/>
              <w:rPr>
                <w:sz w:val="16"/>
                <w:szCs w:val="16"/>
                <w:color w:val="auto"/>
              </w:rPr>
            </w:pPr>
          </w:p>
        </w:tc>
        <w:tc>
          <w:tcPr>
            <w:tcW w:w="3640" w:type="dxa"/>
            <w:vAlign w:val="bottom"/>
            <w:gridSpan w:val="2"/>
            <w:shd w:val="clear" w:color="auto" w:fill="E3E5EB"/>
          </w:tcPr>
          <w:p>
            <w:pPr>
              <w:ind w:left="140"/>
              <w:spacing w:after="0"/>
              <w:rPr>
                <w:sz w:val="20"/>
                <w:szCs w:val="20"/>
                <w:color w:val="auto"/>
              </w:rPr>
            </w:pPr>
            <w:r>
              <w:rPr>
                <w:rFonts w:ascii="Arial" w:cs="Arial" w:eastAsia="Arial" w:hAnsi="Arial"/>
                <w:sz w:val="16"/>
                <w:szCs w:val="16"/>
                <w:color w:val="auto"/>
              </w:rPr>
              <w:t>Employees — 2.50%</w:t>
            </w:r>
          </w:p>
        </w:tc>
        <w:tc>
          <w:tcPr>
            <w:tcW w:w="2840" w:type="dxa"/>
            <w:vAlign w:val="bottom"/>
            <w:shd w:val="clear" w:color="auto" w:fill="E3E5EB"/>
          </w:tcPr>
          <w:p>
            <w:pPr>
              <w:ind w:left="100"/>
              <w:spacing w:after="0"/>
              <w:rPr>
                <w:sz w:val="20"/>
                <w:szCs w:val="20"/>
                <w:color w:val="auto"/>
              </w:rPr>
            </w:pPr>
            <w:r>
              <w:rPr>
                <w:rFonts w:ascii="Arial" w:cs="Arial" w:eastAsia="Arial" w:hAnsi="Arial"/>
                <w:sz w:val="16"/>
                <w:szCs w:val="16"/>
                <w:color w:val="auto"/>
              </w:rPr>
              <w:t>OHSA Recordable Incidents (2.50%)</w:t>
            </w:r>
          </w:p>
        </w:tc>
        <w:tc>
          <w:tcPr>
            <w:tcW w:w="1640" w:type="dxa"/>
            <w:vAlign w:val="bottom"/>
            <w:shd w:val="clear" w:color="auto" w:fill="E3E5EB"/>
          </w:tcPr>
          <w:p>
            <w:pPr>
              <w:jc w:val="center"/>
              <w:ind w:left="100"/>
              <w:spacing w:after="0"/>
              <w:rPr>
                <w:sz w:val="20"/>
                <w:szCs w:val="20"/>
                <w:color w:val="auto"/>
              </w:rPr>
            </w:pPr>
            <w:r>
              <w:rPr>
                <w:rFonts w:ascii="Arial" w:cs="Arial" w:eastAsia="Arial" w:hAnsi="Arial"/>
                <w:sz w:val="16"/>
                <w:szCs w:val="16"/>
                <w:color w:val="auto"/>
              </w:rPr>
              <w:t>7</w:t>
            </w:r>
          </w:p>
        </w:tc>
        <w:tc>
          <w:tcPr>
            <w:tcW w:w="17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7</w:t>
            </w:r>
          </w:p>
        </w:tc>
        <w:tc>
          <w:tcPr>
            <w:tcW w:w="1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7"/>
              </w:rPr>
              <w:t>100%</w:t>
            </w:r>
          </w:p>
        </w:tc>
      </w:tr>
      <w:tr>
        <w:trPr>
          <w:trHeight w:val="221"/>
        </w:trPr>
        <w:tc>
          <w:tcPr>
            <w:tcW w:w="100" w:type="dxa"/>
            <w:vAlign w:val="bottom"/>
          </w:tcPr>
          <w:p>
            <w:pPr>
              <w:spacing w:after="0"/>
              <w:rPr>
                <w:sz w:val="19"/>
                <w:szCs w:val="19"/>
                <w:color w:val="auto"/>
              </w:rPr>
            </w:pPr>
          </w:p>
        </w:tc>
        <w:tc>
          <w:tcPr>
            <w:tcW w:w="3640" w:type="dxa"/>
            <w:vAlign w:val="bottom"/>
            <w:gridSpan w:val="2"/>
          </w:tcPr>
          <w:p>
            <w:pPr>
              <w:ind w:left="140"/>
              <w:spacing w:after="0" w:line="221" w:lineRule="exact"/>
              <w:rPr>
                <w:sz w:val="20"/>
                <w:szCs w:val="20"/>
                <w:color w:val="auto"/>
              </w:rPr>
            </w:pPr>
            <w:r>
              <w:rPr>
                <w:rFonts w:ascii="Arial" w:cs="Arial" w:eastAsia="Arial" w:hAnsi="Arial"/>
                <w:sz w:val="15"/>
                <w:szCs w:val="15"/>
                <w:color w:val="auto"/>
              </w:rPr>
              <w:t>Operational Excellence</w:t>
            </w:r>
            <w:r>
              <w:rPr>
                <w:rFonts w:ascii="Arial" w:cs="Arial" w:eastAsia="Arial" w:hAnsi="Arial"/>
                <w:sz w:val="25"/>
                <w:szCs w:val="25"/>
                <w:color w:val="auto"/>
                <w:vertAlign w:val="superscript"/>
              </w:rPr>
              <w:t>(2)</w:t>
            </w:r>
            <w:r>
              <w:rPr>
                <w:rFonts w:ascii="Arial" w:cs="Arial" w:eastAsia="Arial" w:hAnsi="Arial"/>
                <w:sz w:val="15"/>
                <w:szCs w:val="15"/>
                <w:color w:val="auto"/>
              </w:rPr>
              <w:t xml:space="preserve"> — 6.25%</w:t>
            </w:r>
          </w:p>
        </w:tc>
        <w:tc>
          <w:tcPr>
            <w:tcW w:w="2840" w:type="dxa"/>
            <w:vAlign w:val="bottom"/>
          </w:tcPr>
          <w:p>
            <w:pPr>
              <w:ind w:left="100"/>
              <w:spacing w:after="0"/>
              <w:rPr>
                <w:sz w:val="20"/>
                <w:szCs w:val="20"/>
                <w:color w:val="auto"/>
              </w:rPr>
            </w:pPr>
            <w:r>
              <w:rPr>
                <w:rFonts w:ascii="Arial" w:cs="Arial" w:eastAsia="Arial" w:hAnsi="Arial"/>
                <w:sz w:val="16"/>
                <w:szCs w:val="16"/>
                <w:color w:val="auto"/>
              </w:rPr>
              <w:t>Varies by Plant/Engineering (6.25%)</w:t>
            </w:r>
          </w:p>
        </w:tc>
        <w:tc>
          <w:tcPr>
            <w:tcW w:w="1640" w:type="dxa"/>
            <w:vAlign w:val="bottom"/>
          </w:tcPr>
          <w:p>
            <w:pPr>
              <w:jc w:val="center"/>
              <w:ind w:left="100"/>
              <w:spacing w:after="0"/>
              <w:rPr>
                <w:sz w:val="20"/>
                <w:szCs w:val="20"/>
                <w:color w:val="auto"/>
              </w:rPr>
            </w:pPr>
            <w:r>
              <w:rPr>
                <w:rFonts w:ascii="Arial" w:cs="Arial" w:eastAsia="Arial" w:hAnsi="Arial"/>
                <w:sz w:val="16"/>
                <w:szCs w:val="16"/>
                <w:color w:val="auto"/>
              </w:rPr>
              <w:t>100%</w:t>
            </w:r>
          </w:p>
        </w:tc>
        <w:tc>
          <w:tcPr>
            <w:tcW w:w="1740" w:type="dxa"/>
            <w:vAlign w:val="bottom"/>
          </w:tcPr>
          <w:p>
            <w:pPr>
              <w:jc w:val="center"/>
              <w:spacing w:after="0"/>
              <w:rPr>
                <w:sz w:val="20"/>
                <w:szCs w:val="20"/>
                <w:color w:val="auto"/>
              </w:rPr>
            </w:pPr>
            <w:r>
              <w:rPr>
                <w:rFonts w:ascii="Arial" w:cs="Arial" w:eastAsia="Arial" w:hAnsi="Arial"/>
                <w:sz w:val="16"/>
                <w:szCs w:val="16"/>
                <w:color w:val="auto"/>
                <w:w w:val="97"/>
              </w:rPr>
              <w:t>142%</w:t>
            </w:r>
          </w:p>
        </w:tc>
        <w:tc>
          <w:tcPr>
            <w:tcW w:w="1560" w:type="dxa"/>
            <w:vAlign w:val="bottom"/>
          </w:tcPr>
          <w:p>
            <w:pPr>
              <w:jc w:val="center"/>
              <w:spacing w:after="0"/>
              <w:rPr>
                <w:sz w:val="20"/>
                <w:szCs w:val="20"/>
                <w:color w:val="auto"/>
              </w:rPr>
            </w:pPr>
            <w:r>
              <w:rPr>
                <w:rFonts w:ascii="Arial" w:cs="Arial" w:eastAsia="Arial" w:hAnsi="Arial"/>
                <w:sz w:val="16"/>
                <w:szCs w:val="16"/>
                <w:color w:val="auto"/>
                <w:w w:val="97"/>
              </w:rPr>
              <w:t>142%</w:t>
            </w:r>
          </w:p>
        </w:tc>
      </w:tr>
      <w:tr>
        <w:trPr>
          <w:trHeight w:val="167"/>
        </w:trPr>
        <w:tc>
          <w:tcPr>
            <w:tcW w:w="100" w:type="dxa"/>
            <w:vAlign w:val="bottom"/>
          </w:tcPr>
          <w:p>
            <w:pPr>
              <w:spacing w:after="0"/>
              <w:rPr>
                <w:sz w:val="14"/>
                <w:szCs w:val="14"/>
                <w:color w:val="auto"/>
              </w:rPr>
            </w:pPr>
          </w:p>
        </w:tc>
        <w:tc>
          <w:tcPr>
            <w:tcW w:w="3640" w:type="dxa"/>
            <w:vAlign w:val="bottom"/>
            <w:gridSpan w:val="2"/>
            <w:shd w:val="clear" w:color="auto" w:fill="E3E5EB"/>
          </w:tcPr>
          <w:p>
            <w:pPr>
              <w:ind w:left="140"/>
              <w:spacing w:after="0" w:line="167" w:lineRule="exact"/>
              <w:rPr>
                <w:sz w:val="20"/>
                <w:szCs w:val="20"/>
                <w:color w:val="auto"/>
              </w:rPr>
            </w:pPr>
            <w:r>
              <w:rPr>
                <w:rFonts w:ascii="Arial" w:cs="Arial" w:eastAsia="Arial" w:hAnsi="Arial"/>
                <w:sz w:val="16"/>
                <w:szCs w:val="16"/>
                <w:color w:val="auto"/>
              </w:rPr>
              <w:t>Shareholder Value — 2.50%</w:t>
            </w:r>
          </w:p>
        </w:tc>
        <w:tc>
          <w:tcPr>
            <w:tcW w:w="2840" w:type="dxa"/>
            <w:vAlign w:val="bottom"/>
            <w:shd w:val="clear" w:color="auto" w:fill="E3E5EB"/>
          </w:tcPr>
          <w:p>
            <w:pPr>
              <w:ind w:left="100"/>
              <w:spacing w:after="0" w:line="167" w:lineRule="exact"/>
              <w:rPr>
                <w:sz w:val="20"/>
                <w:szCs w:val="20"/>
                <w:color w:val="auto"/>
              </w:rPr>
            </w:pPr>
            <w:r>
              <w:rPr>
                <w:rFonts w:ascii="Arial" w:cs="Arial" w:eastAsia="Arial" w:hAnsi="Arial"/>
                <w:sz w:val="16"/>
                <w:szCs w:val="16"/>
                <w:color w:val="auto"/>
              </w:rPr>
              <w:t>Net Operating Expense</w:t>
            </w:r>
          </w:p>
        </w:tc>
        <w:tc>
          <w:tcPr>
            <w:tcW w:w="1640" w:type="dxa"/>
            <w:vAlign w:val="bottom"/>
            <w:shd w:val="clear" w:color="auto" w:fill="E3E5EB"/>
          </w:tcPr>
          <w:p>
            <w:pPr>
              <w:jc w:val="center"/>
              <w:ind w:left="100"/>
              <w:spacing w:after="0" w:line="167" w:lineRule="exact"/>
              <w:rPr>
                <w:sz w:val="20"/>
                <w:szCs w:val="20"/>
                <w:color w:val="auto"/>
              </w:rPr>
            </w:pPr>
            <w:r>
              <w:rPr>
                <w:rFonts w:ascii="Arial" w:cs="Arial" w:eastAsia="Arial" w:hAnsi="Arial"/>
                <w:sz w:val="16"/>
                <w:szCs w:val="16"/>
                <w:color w:val="auto"/>
                <w:w w:val="98"/>
              </w:rPr>
              <w:t>Budget</w:t>
            </w:r>
          </w:p>
        </w:tc>
        <w:tc>
          <w:tcPr>
            <w:tcW w:w="174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8"/>
              </w:rPr>
              <w:t>12.8% Under</w:t>
            </w:r>
          </w:p>
        </w:tc>
        <w:tc>
          <w:tcPr>
            <w:tcW w:w="1560" w:type="dxa"/>
            <w:vAlign w:val="bottom"/>
            <w:shd w:val="clear" w:color="auto" w:fill="E3E5EB"/>
          </w:tcPr>
          <w:p>
            <w:pPr>
              <w:jc w:val="center"/>
              <w:spacing w:after="0" w:line="167" w:lineRule="exact"/>
              <w:rPr>
                <w:sz w:val="20"/>
                <w:szCs w:val="20"/>
                <w:color w:val="auto"/>
              </w:rPr>
            </w:pPr>
            <w:r>
              <w:rPr>
                <w:rFonts w:ascii="Arial" w:cs="Arial" w:eastAsia="Arial" w:hAnsi="Arial"/>
                <w:sz w:val="16"/>
                <w:szCs w:val="16"/>
                <w:color w:val="auto"/>
                <w:w w:val="97"/>
              </w:rPr>
              <w:t>200%</w:t>
            </w:r>
          </w:p>
        </w:tc>
      </w:tr>
      <w:tr>
        <w:trPr>
          <w:trHeight w:val="201"/>
        </w:trPr>
        <w:tc>
          <w:tcPr>
            <w:tcW w:w="100" w:type="dxa"/>
            <w:vAlign w:val="bottom"/>
          </w:tcPr>
          <w:p>
            <w:pPr>
              <w:spacing w:after="0"/>
              <w:rPr>
                <w:sz w:val="17"/>
                <w:szCs w:val="17"/>
                <w:color w:val="auto"/>
              </w:rPr>
            </w:pPr>
          </w:p>
        </w:tc>
        <w:tc>
          <w:tcPr>
            <w:tcW w:w="2240" w:type="dxa"/>
            <w:vAlign w:val="bottom"/>
            <w:shd w:val="clear" w:color="auto" w:fill="E3E5EB"/>
          </w:tcPr>
          <w:p>
            <w:pPr>
              <w:spacing w:after="0"/>
              <w:rPr>
                <w:sz w:val="17"/>
                <w:szCs w:val="17"/>
                <w:color w:val="auto"/>
              </w:rPr>
            </w:pPr>
          </w:p>
        </w:tc>
        <w:tc>
          <w:tcPr>
            <w:tcW w:w="1400" w:type="dxa"/>
            <w:vAlign w:val="bottom"/>
            <w:shd w:val="clear" w:color="auto" w:fill="E3E5EB"/>
          </w:tcPr>
          <w:p>
            <w:pPr>
              <w:spacing w:after="0"/>
              <w:rPr>
                <w:sz w:val="17"/>
                <w:szCs w:val="17"/>
                <w:color w:val="auto"/>
              </w:rPr>
            </w:pPr>
          </w:p>
        </w:tc>
        <w:tc>
          <w:tcPr>
            <w:tcW w:w="2840" w:type="dxa"/>
            <w:vAlign w:val="bottom"/>
            <w:shd w:val="clear" w:color="auto" w:fill="E3E5EB"/>
          </w:tcPr>
          <w:p>
            <w:pPr>
              <w:ind w:left="100"/>
              <w:spacing w:after="0"/>
              <w:rPr>
                <w:sz w:val="20"/>
                <w:szCs w:val="20"/>
                <w:color w:val="auto"/>
              </w:rPr>
            </w:pPr>
            <w:r>
              <w:rPr>
                <w:rFonts w:ascii="Arial" w:cs="Arial" w:eastAsia="Arial" w:hAnsi="Arial"/>
                <w:sz w:val="16"/>
                <w:szCs w:val="16"/>
                <w:color w:val="auto"/>
              </w:rPr>
              <w:t>(2.50%)</w:t>
            </w:r>
          </w:p>
        </w:tc>
        <w:tc>
          <w:tcPr>
            <w:tcW w:w="1640" w:type="dxa"/>
            <w:vAlign w:val="bottom"/>
            <w:shd w:val="clear" w:color="auto" w:fill="E3E5EB"/>
          </w:tcPr>
          <w:p>
            <w:pPr>
              <w:spacing w:after="0"/>
              <w:rPr>
                <w:sz w:val="17"/>
                <w:szCs w:val="17"/>
                <w:color w:val="auto"/>
              </w:rPr>
            </w:pPr>
          </w:p>
        </w:tc>
        <w:tc>
          <w:tcPr>
            <w:tcW w:w="17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Budget</w:t>
            </w:r>
          </w:p>
        </w:tc>
        <w:tc>
          <w:tcPr>
            <w:tcW w:w="1560" w:type="dxa"/>
            <w:vAlign w:val="bottom"/>
            <w:shd w:val="clear" w:color="auto" w:fill="E3E5EB"/>
          </w:tcPr>
          <w:p>
            <w:pPr>
              <w:spacing w:after="0"/>
              <w:rPr>
                <w:sz w:val="17"/>
                <w:szCs w:val="17"/>
                <w:color w:val="auto"/>
              </w:rPr>
            </w:pPr>
          </w:p>
        </w:tc>
      </w:tr>
      <w:tr>
        <w:trPr>
          <w:trHeight w:val="167"/>
        </w:trPr>
        <w:tc>
          <w:tcPr>
            <w:tcW w:w="100" w:type="dxa"/>
            <w:vAlign w:val="bottom"/>
          </w:tcPr>
          <w:p>
            <w:pPr>
              <w:spacing w:after="0"/>
              <w:rPr>
                <w:sz w:val="14"/>
                <w:szCs w:val="14"/>
                <w:color w:val="auto"/>
              </w:rPr>
            </w:pPr>
          </w:p>
        </w:tc>
        <w:tc>
          <w:tcPr>
            <w:tcW w:w="3640" w:type="dxa"/>
            <w:vAlign w:val="bottom"/>
            <w:gridSpan w:val="2"/>
          </w:tcPr>
          <w:p>
            <w:pPr>
              <w:ind w:left="140"/>
              <w:spacing w:after="0" w:line="167" w:lineRule="exact"/>
              <w:rPr>
                <w:sz w:val="20"/>
                <w:szCs w:val="20"/>
                <w:color w:val="auto"/>
              </w:rPr>
            </w:pPr>
            <w:r>
              <w:rPr>
                <w:rFonts w:ascii="Arial" w:cs="Arial" w:eastAsia="Arial" w:hAnsi="Arial"/>
                <w:sz w:val="16"/>
                <w:szCs w:val="16"/>
                <w:color w:val="auto"/>
              </w:rPr>
              <w:t>Environmental Stewardship — 1.25%</w:t>
            </w:r>
          </w:p>
        </w:tc>
        <w:tc>
          <w:tcPr>
            <w:tcW w:w="2840" w:type="dxa"/>
            <w:vAlign w:val="bottom"/>
          </w:tcPr>
          <w:p>
            <w:pPr>
              <w:ind w:left="100"/>
              <w:spacing w:after="0" w:line="167" w:lineRule="exact"/>
              <w:rPr>
                <w:sz w:val="20"/>
                <w:szCs w:val="20"/>
                <w:color w:val="auto"/>
              </w:rPr>
            </w:pPr>
            <w:r>
              <w:rPr>
                <w:rFonts w:ascii="Arial" w:cs="Arial" w:eastAsia="Arial" w:hAnsi="Arial"/>
                <w:sz w:val="16"/>
                <w:szCs w:val="16"/>
                <w:color w:val="auto"/>
              </w:rPr>
              <w:t>Reportable Environmental</w:t>
            </w:r>
          </w:p>
        </w:tc>
        <w:tc>
          <w:tcPr>
            <w:tcW w:w="1640" w:type="dxa"/>
            <w:vAlign w:val="bottom"/>
          </w:tcPr>
          <w:p>
            <w:pPr>
              <w:jc w:val="center"/>
              <w:ind w:left="100"/>
              <w:spacing w:after="0" w:line="167" w:lineRule="exact"/>
              <w:rPr>
                <w:sz w:val="20"/>
                <w:szCs w:val="20"/>
                <w:color w:val="auto"/>
              </w:rPr>
            </w:pPr>
            <w:r>
              <w:rPr>
                <w:rFonts w:ascii="Arial" w:cs="Arial" w:eastAsia="Arial" w:hAnsi="Arial"/>
                <w:sz w:val="16"/>
                <w:szCs w:val="16"/>
                <w:color w:val="auto"/>
              </w:rPr>
              <w:t>4</w:t>
            </w:r>
          </w:p>
        </w:tc>
        <w:tc>
          <w:tcPr>
            <w:tcW w:w="1740" w:type="dxa"/>
            <w:vAlign w:val="bottom"/>
          </w:tcPr>
          <w:p>
            <w:pPr>
              <w:jc w:val="center"/>
              <w:spacing w:after="0" w:line="167" w:lineRule="exact"/>
              <w:rPr>
                <w:sz w:val="20"/>
                <w:szCs w:val="20"/>
                <w:color w:val="auto"/>
              </w:rPr>
            </w:pPr>
            <w:r>
              <w:rPr>
                <w:rFonts w:ascii="Arial" w:cs="Arial" w:eastAsia="Arial" w:hAnsi="Arial"/>
                <w:sz w:val="16"/>
                <w:szCs w:val="16"/>
                <w:color w:val="auto"/>
                <w:w w:val="89"/>
              </w:rPr>
              <w:t>3</w:t>
            </w:r>
          </w:p>
        </w:tc>
        <w:tc>
          <w:tcPr>
            <w:tcW w:w="1560" w:type="dxa"/>
            <w:vAlign w:val="bottom"/>
          </w:tcPr>
          <w:p>
            <w:pPr>
              <w:jc w:val="center"/>
              <w:spacing w:after="0" w:line="167" w:lineRule="exact"/>
              <w:rPr>
                <w:sz w:val="20"/>
                <w:szCs w:val="20"/>
                <w:color w:val="auto"/>
              </w:rPr>
            </w:pPr>
            <w:r>
              <w:rPr>
                <w:rFonts w:ascii="Arial" w:cs="Arial" w:eastAsia="Arial" w:hAnsi="Arial"/>
                <w:sz w:val="16"/>
                <w:szCs w:val="16"/>
                <w:color w:val="auto"/>
                <w:w w:val="97"/>
              </w:rPr>
              <w:t>150%</w:t>
            </w:r>
          </w:p>
        </w:tc>
      </w:tr>
      <w:tr>
        <w:trPr>
          <w:trHeight w:val="201"/>
        </w:trPr>
        <w:tc>
          <w:tcPr>
            <w:tcW w:w="100" w:type="dxa"/>
            <w:vAlign w:val="bottom"/>
          </w:tcPr>
          <w:p>
            <w:pPr>
              <w:spacing w:after="0"/>
              <w:rPr>
                <w:sz w:val="17"/>
                <w:szCs w:val="17"/>
                <w:color w:val="auto"/>
              </w:rPr>
            </w:pPr>
          </w:p>
        </w:tc>
        <w:tc>
          <w:tcPr>
            <w:tcW w:w="22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840" w:type="dxa"/>
            <w:vAlign w:val="bottom"/>
          </w:tcPr>
          <w:p>
            <w:pPr>
              <w:ind w:left="100"/>
              <w:spacing w:after="0"/>
              <w:rPr>
                <w:sz w:val="20"/>
                <w:szCs w:val="20"/>
                <w:color w:val="auto"/>
              </w:rPr>
            </w:pPr>
            <w:r>
              <w:rPr>
                <w:rFonts w:ascii="Arial" w:cs="Arial" w:eastAsia="Arial" w:hAnsi="Arial"/>
                <w:sz w:val="16"/>
                <w:szCs w:val="16"/>
                <w:color w:val="auto"/>
              </w:rPr>
              <w:t>Incidents — Plants only (1.25%)</w:t>
            </w:r>
          </w:p>
        </w:tc>
        <w:tc>
          <w:tcPr>
            <w:tcW w:w="1640" w:type="dxa"/>
            <w:vAlign w:val="bottom"/>
          </w:tcPr>
          <w:p>
            <w:pPr>
              <w:spacing w:after="0"/>
              <w:rPr>
                <w:sz w:val="17"/>
                <w:szCs w:val="17"/>
                <w:color w:val="auto"/>
              </w:rPr>
            </w:pPr>
          </w:p>
        </w:tc>
        <w:tc>
          <w:tcPr>
            <w:tcW w:w="1740" w:type="dxa"/>
            <w:vAlign w:val="bottom"/>
          </w:tcPr>
          <w:p>
            <w:pPr>
              <w:spacing w:after="0"/>
              <w:rPr>
                <w:sz w:val="17"/>
                <w:szCs w:val="17"/>
                <w:color w:val="auto"/>
              </w:rPr>
            </w:pPr>
          </w:p>
        </w:tc>
        <w:tc>
          <w:tcPr>
            <w:tcW w:w="1560" w:type="dxa"/>
            <w:vAlign w:val="bottom"/>
          </w:tcPr>
          <w:p>
            <w:pPr>
              <w:spacing w:after="0"/>
              <w:rPr>
                <w:sz w:val="17"/>
                <w:szCs w:val="17"/>
                <w:color w:val="auto"/>
              </w:rPr>
            </w:pPr>
          </w:p>
        </w:tc>
      </w:tr>
      <w:tr>
        <w:trPr>
          <w:trHeight w:val="184"/>
        </w:trPr>
        <w:tc>
          <w:tcPr>
            <w:tcW w:w="100" w:type="dxa"/>
            <w:vAlign w:val="bottom"/>
          </w:tcPr>
          <w:p>
            <w:pPr>
              <w:spacing w:after="0"/>
              <w:rPr>
                <w:sz w:val="16"/>
                <w:szCs w:val="16"/>
                <w:color w:val="auto"/>
              </w:rPr>
            </w:pPr>
          </w:p>
        </w:tc>
        <w:tc>
          <w:tcPr>
            <w:tcW w:w="2240" w:type="dxa"/>
            <w:vAlign w:val="bottom"/>
            <w:shd w:val="clear" w:color="auto" w:fill="E3E5EB"/>
          </w:tcPr>
          <w:p>
            <w:pPr>
              <w:spacing w:after="0"/>
              <w:rPr>
                <w:sz w:val="16"/>
                <w:szCs w:val="16"/>
                <w:color w:val="auto"/>
              </w:rPr>
            </w:pPr>
          </w:p>
        </w:tc>
        <w:tc>
          <w:tcPr>
            <w:tcW w:w="1400" w:type="dxa"/>
            <w:vAlign w:val="bottom"/>
            <w:shd w:val="clear" w:color="auto" w:fill="E3E5EB"/>
          </w:tcPr>
          <w:p>
            <w:pPr>
              <w:spacing w:after="0"/>
              <w:rPr>
                <w:sz w:val="16"/>
                <w:szCs w:val="16"/>
                <w:color w:val="auto"/>
              </w:rPr>
            </w:pPr>
          </w:p>
        </w:tc>
        <w:tc>
          <w:tcPr>
            <w:tcW w:w="2840" w:type="dxa"/>
            <w:vAlign w:val="bottom"/>
            <w:shd w:val="clear" w:color="auto" w:fill="E3E5EB"/>
          </w:tcPr>
          <w:p>
            <w:pPr>
              <w:spacing w:after="0"/>
              <w:rPr>
                <w:sz w:val="16"/>
                <w:szCs w:val="16"/>
                <w:color w:val="auto"/>
              </w:rPr>
            </w:pPr>
          </w:p>
        </w:tc>
        <w:tc>
          <w:tcPr>
            <w:tcW w:w="3380" w:type="dxa"/>
            <w:vAlign w:val="bottom"/>
            <w:gridSpan w:val="2"/>
            <w:shd w:val="clear" w:color="auto" w:fill="E3E5EB"/>
          </w:tcPr>
          <w:p>
            <w:pPr>
              <w:jc w:val="right"/>
              <w:ind w:right="100"/>
              <w:spacing w:after="0"/>
              <w:rPr>
                <w:sz w:val="20"/>
                <w:szCs w:val="20"/>
                <w:color w:val="auto"/>
              </w:rPr>
            </w:pPr>
            <w:r>
              <w:rPr>
                <w:rFonts w:ascii="Arial" w:cs="Arial" w:eastAsia="Arial" w:hAnsi="Arial"/>
                <w:sz w:val="16"/>
                <w:szCs w:val="16"/>
                <w:b w:val="1"/>
                <w:bCs w:val="1"/>
                <w:color w:val="auto"/>
              </w:rPr>
              <w:t>Fossil Generation Business Unit Results</w:t>
            </w:r>
          </w:p>
        </w:tc>
        <w:tc>
          <w:tcPr>
            <w:tcW w:w="1560" w:type="dxa"/>
            <w:vAlign w:val="bottom"/>
            <w:shd w:val="clear" w:color="auto" w:fill="E3E5EB"/>
          </w:tcPr>
          <w:p>
            <w:pPr>
              <w:jc w:val="center"/>
              <w:spacing w:after="0"/>
              <w:rPr>
                <w:sz w:val="20"/>
                <w:szCs w:val="20"/>
                <w:color w:val="auto"/>
              </w:rPr>
            </w:pPr>
            <w:r>
              <w:rPr>
                <w:rFonts w:ascii="Arial" w:cs="Arial" w:eastAsia="Arial" w:hAnsi="Arial"/>
                <w:sz w:val="16"/>
                <w:szCs w:val="16"/>
                <w:b w:val="1"/>
                <w:bCs w:val="1"/>
                <w:color w:val="auto"/>
                <w:w w:val="97"/>
              </w:rPr>
              <w:t>146%</w:t>
            </w:r>
          </w:p>
        </w:tc>
      </w:tr>
      <w:tr>
        <w:trPr>
          <w:trHeight w:val="184"/>
        </w:trPr>
        <w:tc>
          <w:tcPr>
            <w:tcW w:w="100" w:type="dxa"/>
            <w:vAlign w:val="bottom"/>
          </w:tcPr>
          <w:p>
            <w:pPr>
              <w:spacing w:after="0"/>
              <w:rPr>
                <w:sz w:val="16"/>
                <w:szCs w:val="16"/>
                <w:color w:val="auto"/>
              </w:rPr>
            </w:pPr>
          </w:p>
        </w:tc>
        <w:tc>
          <w:tcPr>
            <w:tcW w:w="2240" w:type="dxa"/>
            <w:vAlign w:val="bottom"/>
            <w:tcBorders>
              <w:bottom w:val="single" w:sz="8" w:color="888992"/>
            </w:tcBorders>
          </w:tcPr>
          <w:p>
            <w:pPr>
              <w:spacing w:after="0"/>
              <w:rPr>
                <w:sz w:val="16"/>
                <w:szCs w:val="16"/>
                <w:color w:val="auto"/>
              </w:rPr>
            </w:pPr>
          </w:p>
        </w:tc>
        <w:tc>
          <w:tcPr>
            <w:tcW w:w="1400" w:type="dxa"/>
            <w:vAlign w:val="bottom"/>
            <w:tcBorders>
              <w:bottom w:val="single" w:sz="8" w:color="888992"/>
            </w:tcBorders>
          </w:tcPr>
          <w:p>
            <w:pPr>
              <w:spacing w:after="0"/>
              <w:rPr>
                <w:sz w:val="16"/>
                <w:szCs w:val="16"/>
                <w:color w:val="auto"/>
              </w:rPr>
            </w:pPr>
          </w:p>
        </w:tc>
        <w:tc>
          <w:tcPr>
            <w:tcW w:w="2840" w:type="dxa"/>
            <w:vAlign w:val="bottom"/>
            <w:tcBorders>
              <w:bottom w:val="single" w:sz="8" w:color="888992"/>
            </w:tcBorders>
          </w:tcPr>
          <w:p>
            <w:pPr>
              <w:spacing w:after="0"/>
              <w:rPr>
                <w:sz w:val="16"/>
                <w:szCs w:val="16"/>
                <w:color w:val="auto"/>
              </w:rPr>
            </w:pPr>
          </w:p>
        </w:tc>
        <w:tc>
          <w:tcPr>
            <w:tcW w:w="3380" w:type="dxa"/>
            <w:vAlign w:val="bottom"/>
            <w:tcBorders>
              <w:bottom w:val="single" w:sz="8" w:color="888992"/>
            </w:tcBorders>
            <w:gridSpan w:val="2"/>
          </w:tcPr>
          <w:p>
            <w:pPr>
              <w:jc w:val="right"/>
              <w:ind w:right="100"/>
              <w:spacing w:after="0"/>
              <w:rPr>
                <w:sz w:val="20"/>
                <w:szCs w:val="20"/>
                <w:color w:val="auto"/>
              </w:rPr>
            </w:pPr>
            <w:r>
              <w:rPr>
                <w:rFonts w:ascii="Arial" w:cs="Arial" w:eastAsia="Arial" w:hAnsi="Arial"/>
                <w:sz w:val="16"/>
                <w:szCs w:val="16"/>
                <w:b w:val="1"/>
                <w:bCs w:val="1"/>
                <w:color w:val="auto"/>
              </w:rPr>
              <w:t>Overall Schiavoni Incentive Result</w:t>
            </w:r>
          </w:p>
        </w:tc>
        <w:tc>
          <w:tcPr>
            <w:tcW w:w="156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auto"/>
                <w:w w:val="97"/>
              </w:rPr>
              <w:t>153%</w:t>
            </w:r>
          </w:p>
        </w:tc>
      </w:tr>
    </w:tbl>
    <w:p>
      <w:pPr>
        <w:spacing w:after="0" w:line="302" w:lineRule="exact"/>
        <w:rPr>
          <w:sz w:val="20"/>
          <w:szCs w:val="20"/>
          <w:color w:val="auto"/>
        </w:rPr>
      </w:pPr>
    </w:p>
    <w:p>
      <w:pPr>
        <w:ind w:left="482" w:right="120" w:hanging="482"/>
        <w:spacing w:after="0" w:line="259" w:lineRule="auto"/>
        <w:tabs>
          <w:tab w:leader="none" w:pos="482" w:val="left"/>
        </w:tabs>
        <w:numPr>
          <w:ilvl w:val="0"/>
          <w:numId w:val="72"/>
        </w:numPr>
        <w:rPr>
          <w:rFonts w:ascii="Arial" w:cs="Arial" w:eastAsia="Arial" w:hAnsi="Arial"/>
          <w:sz w:val="16"/>
          <w:szCs w:val="16"/>
          <w:color w:val="auto"/>
        </w:rPr>
      </w:pPr>
      <w:r>
        <w:rPr>
          <w:rFonts w:ascii="Arial" w:cs="Arial" w:eastAsia="Arial" w:hAnsi="Arial"/>
          <w:sz w:val="16"/>
          <w:szCs w:val="16"/>
          <w:color w:val="auto"/>
        </w:rPr>
        <w:t>This performance measure consists of 23 measures across seven plants and an engineering group, none of which were responsible for more than 1% of Mr. Schiavoni's total opportunity. The primary purpose of these measures is to determine incentive compensation for the employees at the plants and in the engineering group.</w:t>
      </w:r>
    </w:p>
    <w:p>
      <w:pPr>
        <w:spacing w:after="0" w:line="140" w:lineRule="exact"/>
        <w:rPr>
          <w:sz w:val="20"/>
          <w:szCs w:val="20"/>
          <w:color w:val="auto"/>
        </w:rPr>
      </w:pPr>
    </w:p>
    <w:p>
      <w:pPr>
        <w:ind w:left="2" w:right="280"/>
        <w:spacing w:after="0" w:line="265" w:lineRule="auto"/>
        <w:rPr>
          <w:sz w:val="20"/>
          <w:szCs w:val="20"/>
          <w:color w:val="auto"/>
        </w:rPr>
      </w:pPr>
      <w:r>
        <w:rPr>
          <w:rFonts w:ascii="Arial" w:cs="Arial" w:eastAsia="Arial" w:hAnsi="Arial"/>
          <w:sz w:val="20"/>
          <w:szCs w:val="20"/>
          <w:color w:val="auto"/>
        </w:rPr>
        <w:t>The following chart summarizes the target and maximum award opportunities and the actual amount awarded to Messrs. Hatfield, Edington, Falck and Schiavoni under the APS Incentive Plans:</w:t>
      </w:r>
    </w:p>
    <w:p>
      <w:pPr>
        <w:spacing w:after="0" w:line="200" w:lineRule="exact"/>
        <w:rPr>
          <w:sz w:val="20"/>
          <w:szCs w:val="20"/>
          <w:color w:val="auto"/>
        </w:rPr>
      </w:pPr>
    </w:p>
    <w:p>
      <w:pPr>
        <w:spacing w:after="0" w:line="284" w:lineRule="exact"/>
        <w:rPr>
          <w:sz w:val="20"/>
          <w:szCs w:val="20"/>
          <w:color w:val="auto"/>
        </w:rPr>
      </w:pPr>
    </w:p>
    <w:tbl>
      <w:tblPr>
        <w:tblLayout w:type="fixed"/>
        <w:tblInd w:w="1462" w:type="dxa"/>
        <w:tblCellMar>
          <w:top w:w="0" w:type="dxa"/>
          <w:left w:w="0" w:type="dxa"/>
          <w:bottom w:w="0" w:type="dxa"/>
          <w:right w:w="0" w:type="dxa"/>
        </w:tblCellMar>
      </w:tblPr>
      <w:tr>
        <w:trPr>
          <w:trHeight w:val="184"/>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2540" w:type="dxa"/>
            <w:vAlign w:val="bottom"/>
          </w:tcPr>
          <w:p>
            <w:pPr>
              <w:jc w:val="center"/>
              <w:ind w:left="1140"/>
              <w:spacing w:after="0"/>
              <w:rPr>
                <w:sz w:val="20"/>
                <w:szCs w:val="20"/>
                <w:color w:val="auto"/>
              </w:rPr>
            </w:pPr>
            <w:r>
              <w:rPr>
                <w:rFonts w:ascii="Arial" w:cs="Arial" w:eastAsia="Arial" w:hAnsi="Arial"/>
                <w:sz w:val="16"/>
                <w:szCs w:val="16"/>
                <w:b w:val="1"/>
                <w:bCs w:val="1"/>
                <w:color w:val="3A5575"/>
                <w:w w:val="97"/>
              </w:rPr>
              <w:t>TARGET</w:t>
            </w:r>
          </w:p>
        </w:tc>
        <w:tc>
          <w:tcPr>
            <w:tcW w:w="1360" w:type="dxa"/>
            <w:vAlign w:val="bottom"/>
          </w:tcPr>
          <w:p>
            <w:pPr>
              <w:jc w:val="center"/>
              <w:spacing w:after="0"/>
              <w:rPr>
                <w:sz w:val="20"/>
                <w:szCs w:val="20"/>
                <w:color w:val="auto"/>
              </w:rPr>
            </w:pPr>
            <w:r>
              <w:rPr>
                <w:rFonts w:ascii="Arial" w:cs="Arial" w:eastAsia="Arial" w:hAnsi="Arial"/>
                <w:sz w:val="16"/>
                <w:szCs w:val="16"/>
                <w:b w:val="1"/>
                <w:bCs w:val="1"/>
                <w:color w:val="3A5575"/>
                <w:w w:val="99"/>
              </w:rPr>
              <w:t>MAXIMUM</w:t>
            </w:r>
          </w:p>
        </w:tc>
        <w:tc>
          <w:tcPr>
            <w:tcW w:w="900" w:type="dxa"/>
            <w:vAlign w:val="bottom"/>
          </w:tcPr>
          <w:p>
            <w:pPr>
              <w:jc w:val="right"/>
              <w:ind w:right="40"/>
              <w:spacing w:after="0"/>
              <w:rPr>
                <w:sz w:val="20"/>
                <w:szCs w:val="20"/>
                <w:color w:val="auto"/>
              </w:rPr>
            </w:pPr>
            <w:r>
              <w:rPr>
                <w:rFonts w:ascii="Arial" w:cs="Arial" w:eastAsia="Arial" w:hAnsi="Arial"/>
                <w:sz w:val="16"/>
                <w:szCs w:val="16"/>
                <w:b w:val="1"/>
                <w:bCs w:val="1"/>
                <w:color w:val="3A5575"/>
              </w:rPr>
              <w:t>ACTUAL</w:t>
            </w:r>
          </w:p>
        </w:tc>
        <w:tc>
          <w:tcPr>
            <w:tcW w:w="1500" w:type="dxa"/>
            <w:vAlign w:val="bottom"/>
          </w:tcPr>
          <w:p>
            <w:pPr>
              <w:jc w:val="center"/>
              <w:ind w:left="20"/>
              <w:spacing w:after="0"/>
              <w:rPr>
                <w:sz w:val="20"/>
                <w:szCs w:val="20"/>
                <w:color w:val="auto"/>
              </w:rPr>
            </w:pPr>
            <w:r>
              <w:rPr>
                <w:rFonts w:ascii="Arial" w:cs="Arial" w:eastAsia="Arial" w:hAnsi="Arial"/>
                <w:sz w:val="16"/>
                <w:szCs w:val="16"/>
                <w:b w:val="1"/>
                <w:bCs w:val="1"/>
                <w:color w:val="3A5575"/>
                <w:w w:val="99"/>
              </w:rPr>
              <w:t>ACTUAL AMOUNT</w:t>
            </w:r>
          </w:p>
        </w:tc>
      </w:tr>
      <w:tr>
        <w:trPr>
          <w:trHeight w:val="184"/>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2540" w:type="dxa"/>
            <w:vAlign w:val="bottom"/>
          </w:tcPr>
          <w:p>
            <w:pPr>
              <w:jc w:val="center"/>
              <w:ind w:left="1140"/>
              <w:spacing w:after="0"/>
              <w:rPr>
                <w:sz w:val="20"/>
                <w:szCs w:val="20"/>
                <w:color w:val="auto"/>
              </w:rPr>
            </w:pPr>
            <w:r>
              <w:rPr>
                <w:rFonts w:ascii="Arial" w:cs="Arial" w:eastAsia="Arial" w:hAnsi="Arial"/>
                <w:sz w:val="16"/>
                <w:szCs w:val="16"/>
                <w:b w:val="1"/>
                <w:bCs w:val="1"/>
                <w:color w:val="3A5575"/>
                <w:w w:val="97"/>
              </w:rPr>
              <w:t>AWARD</w:t>
            </w:r>
          </w:p>
        </w:tc>
        <w:tc>
          <w:tcPr>
            <w:tcW w:w="1360" w:type="dxa"/>
            <w:vAlign w:val="bottom"/>
          </w:tcPr>
          <w:p>
            <w:pPr>
              <w:jc w:val="center"/>
              <w:spacing w:after="0"/>
              <w:rPr>
                <w:sz w:val="20"/>
                <w:szCs w:val="20"/>
                <w:color w:val="auto"/>
              </w:rPr>
            </w:pPr>
            <w:r>
              <w:rPr>
                <w:rFonts w:ascii="Arial" w:cs="Arial" w:eastAsia="Arial" w:hAnsi="Arial"/>
                <w:sz w:val="16"/>
                <w:szCs w:val="16"/>
                <w:b w:val="1"/>
                <w:bCs w:val="1"/>
                <w:color w:val="3A5575"/>
                <w:w w:val="97"/>
              </w:rPr>
              <w:t>AWARD</w:t>
            </w:r>
          </w:p>
        </w:tc>
        <w:tc>
          <w:tcPr>
            <w:tcW w:w="900" w:type="dxa"/>
            <w:vAlign w:val="bottom"/>
          </w:tcPr>
          <w:p>
            <w:pPr>
              <w:jc w:val="right"/>
              <w:ind w:right="80"/>
              <w:spacing w:after="0"/>
              <w:rPr>
                <w:sz w:val="20"/>
                <w:szCs w:val="20"/>
                <w:color w:val="auto"/>
              </w:rPr>
            </w:pPr>
            <w:r>
              <w:rPr>
                <w:rFonts w:ascii="Arial" w:cs="Arial" w:eastAsia="Arial" w:hAnsi="Arial"/>
                <w:sz w:val="16"/>
                <w:szCs w:val="16"/>
                <w:b w:val="1"/>
                <w:bCs w:val="1"/>
                <w:color w:val="3A5575"/>
              </w:rPr>
              <w:t>AWARD</w:t>
            </w:r>
          </w:p>
        </w:tc>
        <w:tc>
          <w:tcPr>
            <w:tcW w:w="1500" w:type="dxa"/>
            <w:vAlign w:val="bottom"/>
          </w:tcPr>
          <w:p>
            <w:pPr>
              <w:jc w:val="center"/>
              <w:ind w:left="20"/>
              <w:spacing w:after="0"/>
              <w:rPr>
                <w:sz w:val="20"/>
                <w:szCs w:val="20"/>
                <w:color w:val="auto"/>
              </w:rPr>
            </w:pPr>
            <w:r>
              <w:rPr>
                <w:rFonts w:ascii="Arial" w:cs="Arial" w:eastAsia="Arial" w:hAnsi="Arial"/>
                <w:sz w:val="16"/>
                <w:szCs w:val="16"/>
                <w:b w:val="1"/>
                <w:bCs w:val="1"/>
                <w:color w:val="3A5575"/>
              </w:rPr>
              <w:t>AS A PERCENT</w:t>
            </w:r>
          </w:p>
        </w:tc>
      </w:tr>
      <w:tr>
        <w:trPr>
          <w:trHeight w:val="184"/>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2540" w:type="dxa"/>
            <w:vAlign w:val="bottom"/>
          </w:tcPr>
          <w:p>
            <w:pPr>
              <w:jc w:val="center"/>
              <w:ind w:left="1120"/>
              <w:spacing w:after="0"/>
              <w:rPr>
                <w:sz w:val="20"/>
                <w:szCs w:val="20"/>
                <w:color w:val="auto"/>
              </w:rPr>
            </w:pPr>
            <w:r>
              <w:rPr>
                <w:rFonts w:ascii="Arial" w:cs="Arial" w:eastAsia="Arial" w:hAnsi="Arial"/>
                <w:sz w:val="16"/>
                <w:szCs w:val="16"/>
                <w:b w:val="1"/>
                <w:bCs w:val="1"/>
                <w:color w:val="3A5575"/>
                <w:w w:val="98"/>
              </w:rPr>
              <w:t>OPPORTUNITY</w:t>
            </w:r>
          </w:p>
        </w:tc>
        <w:tc>
          <w:tcPr>
            <w:tcW w:w="1360" w:type="dxa"/>
            <w:vAlign w:val="bottom"/>
          </w:tcPr>
          <w:p>
            <w:pPr>
              <w:jc w:val="center"/>
              <w:spacing w:after="0"/>
              <w:rPr>
                <w:sz w:val="20"/>
                <w:szCs w:val="20"/>
                <w:color w:val="auto"/>
              </w:rPr>
            </w:pPr>
            <w:r>
              <w:rPr>
                <w:rFonts w:ascii="Arial" w:cs="Arial" w:eastAsia="Arial" w:hAnsi="Arial"/>
                <w:sz w:val="16"/>
                <w:szCs w:val="16"/>
                <w:b w:val="1"/>
                <w:bCs w:val="1"/>
                <w:color w:val="3A5575"/>
              </w:rPr>
              <w:t>OPPORTUNITY</w:t>
            </w:r>
          </w:p>
        </w:tc>
        <w:tc>
          <w:tcPr>
            <w:tcW w:w="900" w:type="dxa"/>
            <w:vAlign w:val="bottom"/>
          </w:tcPr>
          <w:p>
            <w:pPr>
              <w:jc w:val="right"/>
              <w:ind w:right="20"/>
              <w:spacing w:after="0"/>
              <w:rPr>
                <w:sz w:val="20"/>
                <w:szCs w:val="20"/>
                <w:color w:val="auto"/>
              </w:rPr>
            </w:pPr>
            <w:r>
              <w:rPr>
                <w:rFonts w:ascii="Arial" w:cs="Arial" w:eastAsia="Arial" w:hAnsi="Arial"/>
                <w:sz w:val="16"/>
                <w:szCs w:val="16"/>
                <w:b w:val="1"/>
                <w:bCs w:val="1"/>
                <w:color w:val="3A5575"/>
              </w:rPr>
              <w:t>AMOUNT</w:t>
            </w:r>
          </w:p>
        </w:tc>
        <w:tc>
          <w:tcPr>
            <w:tcW w:w="1500" w:type="dxa"/>
            <w:vAlign w:val="bottom"/>
          </w:tcPr>
          <w:p>
            <w:pPr>
              <w:jc w:val="center"/>
              <w:ind w:left="20"/>
              <w:spacing w:after="0"/>
              <w:rPr>
                <w:sz w:val="20"/>
                <w:szCs w:val="20"/>
                <w:color w:val="auto"/>
              </w:rPr>
            </w:pPr>
            <w:r>
              <w:rPr>
                <w:rFonts w:ascii="Arial" w:cs="Arial" w:eastAsia="Arial" w:hAnsi="Arial"/>
                <w:sz w:val="16"/>
                <w:szCs w:val="16"/>
                <w:b w:val="1"/>
                <w:bCs w:val="1"/>
                <w:color w:val="3A5575"/>
                <w:w w:val="99"/>
              </w:rPr>
              <w:t>OF TARGET</w:t>
            </w:r>
          </w:p>
        </w:tc>
      </w:tr>
      <w:tr>
        <w:trPr>
          <w:trHeight w:val="203"/>
        </w:trPr>
        <w:tc>
          <w:tcPr>
            <w:tcW w:w="2280" w:type="dxa"/>
            <w:vAlign w:val="bottom"/>
            <w:tcBorders>
              <w:bottom w:val="single" w:sz="8" w:color="888992"/>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2540" w:type="dxa"/>
            <w:vAlign w:val="bottom"/>
            <w:tcBorders>
              <w:bottom w:val="single" w:sz="8" w:color="888992"/>
            </w:tcBorders>
          </w:tcPr>
          <w:p>
            <w:pPr>
              <w:jc w:val="center"/>
              <w:ind w:left="1140"/>
              <w:spacing w:after="0"/>
              <w:rPr>
                <w:sz w:val="20"/>
                <w:szCs w:val="20"/>
                <w:color w:val="auto"/>
              </w:rPr>
            </w:pPr>
            <w:r>
              <w:rPr>
                <w:rFonts w:ascii="Arial" w:cs="Arial" w:eastAsia="Arial" w:hAnsi="Arial"/>
                <w:sz w:val="16"/>
                <w:szCs w:val="16"/>
                <w:b w:val="1"/>
                <w:bCs w:val="1"/>
                <w:color w:val="3A5575"/>
              </w:rPr>
              <w:t>($)</w:t>
            </w:r>
          </w:p>
        </w:tc>
        <w:tc>
          <w:tcPr>
            <w:tcW w:w="1360" w:type="dxa"/>
            <w:vAlign w:val="bottom"/>
            <w:tcBorders>
              <w:bottom w:val="single" w:sz="8" w:color="888992"/>
            </w:tcBorders>
          </w:tcPr>
          <w:p>
            <w:pPr>
              <w:jc w:val="right"/>
              <w:ind w:right="500"/>
              <w:spacing w:after="0"/>
              <w:rPr>
                <w:sz w:val="20"/>
                <w:szCs w:val="20"/>
                <w:color w:val="auto"/>
              </w:rPr>
            </w:pPr>
            <w:r>
              <w:rPr>
                <w:rFonts w:ascii="Arial" w:cs="Arial" w:eastAsia="Arial" w:hAnsi="Arial"/>
                <w:sz w:val="16"/>
                <w:szCs w:val="16"/>
                <w:b w:val="1"/>
                <w:bCs w:val="1"/>
                <w:color w:val="3A5575"/>
              </w:rPr>
              <w:t>($)</w:t>
            </w:r>
          </w:p>
        </w:tc>
        <w:tc>
          <w:tcPr>
            <w:tcW w:w="900" w:type="dxa"/>
            <w:vAlign w:val="bottom"/>
            <w:tcBorders>
              <w:bottom w:val="single" w:sz="8" w:color="888992"/>
            </w:tcBorders>
          </w:tcPr>
          <w:p>
            <w:pPr>
              <w:jc w:val="right"/>
              <w:ind w:right="280"/>
              <w:spacing w:after="0"/>
              <w:rPr>
                <w:sz w:val="20"/>
                <w:szCs w:val="20"/>
                <w:color w:val="auto"/>
              </w:rPr>
            </w:pPr>
            <w:r>
              <w:rPr>
                <w:rFonts w:ascii="Arial" w:cs="Arial" w:eastAsia="Arial" w:hAnsi="Arial"/>
                <w:sz w:val="16"/>
                <w:szCs w:val="16"/>
                <w:b w:val="1"/>
                <w:bCs w:val="1"/>
                <w:color w:val="3A5575"/>
              </w:rPr>
              <w:t>($)</w:t>
            </w:r>
          </w:p>
        </w:tc>
        <w:tc>
          <w:tcPr>
            <w:tcW w:w="1500" w:type="dxa"/>
            <w:vAlign w:val="bottom"/>
            <w:tcBorders>
              <w:bottom w:val="single" w:sz="8" w:color="888992"/>
            </w:tcBorders>
          </w:tcPr>
          <w:p>
            <w:pPr>
              <w:jc w:val="center"/>
              <w:ind w:left="20"/>
              <w:spacing w:after="0"/>
              <w:rPr>
                <w:sz w:val="20"/>
                <w:szCs w:val="20"/>
                <w:color w:val="auto"/>
              </w:rPr>
            </w:pPr>
            <w:r>
              <w:rPr>
                <w:rFonts w:ascii="Arial" w:cs="Arial" w:eastAsia="Arial" w:hAnsi="Arial"/>
                <w:sz w:val="16"/>
                <w:szCs w:val="16"/>
                <w:b w:val="1"/>
                <w:bCs w:val="1"/>
                <w:color w:val="3A5575"/>
                <w:w w:val="96"/>
              </w:rPr>
              <w:t>(%)</w:t>
            </w:r>
          </w:p>
        </w:tc>
      </w:tr>
      <w:tr>
        <w:trPr>
          <w:trHeight w:val="176"/>
        </w:trPr>
        <w:tc>
          <w:tcPr>
            <w:tcW w:w="20" w:type="dxa"/>
            <w:vAlign w:val="bottom"/>
          </w:tcPr>
          <w:p>
            <w:pPr>
              <w:spacing w:after="0"/>
              <w:rPr>
                <w:sz w:val="15"/>
                <w:szCs w:val="15"/>
                <w:color w:val="auto"/>
              </w:rPr>
            </w:pPr>
          </w:p>
        </w:tc>
        <w:tc>
          <w:tcPr>
            <w:tcW w:w="226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Mr. Hatfield</w:t>
            </w:r>
          </w:p>
        </w:tc>
        <w:tc>
          <w:tcPr>
            <w:tcW w:w="2540" w:type="dxa"/>
            <w:vAlign w:val="bottom"/>
            <w:shd w:val="clear" w:color="auto" w:fill="E3E5EB"/>
          </w:tcPr>
          <w:p>
            <w:pPr>
              <w:jc w:val="center"/>
              <w:ind w:left="1120"/>
              <w:spacing w:after="0" w:line="176" w:lineRule="exact"/>
              <w:rPr>
                <w:sz w:val="20"/>
                <w:szCs w:val="20"/>
                <w:color w:val="auto"/>
              </w:rPr>
            </w:pPr>
            <w:r>
              <w:rPr>
                <w:rFonts w:ascii="Arial" w:cs="Arial" w:eastAsia="Arial" w:hAnsi="Arial"/>
                <w:sz w:val="16"/>
                <w:szCs w:val="16"/>
                <w:color w:val="auto"/>
              </w:rPr>
              <w:t>355,800</w:t>
            </w:r>
          </w:p>
        </w:tc>
        <w:tc>
          <w:tcPr>
            <w:tcW w:w="1360" w:type="dxa"/>
            <w:vAlign w:val="bottom"/>
            <w:shd w:val="clear" w:color="auto" w:fill="E3E5EB"/>
          </w:tcPr>
          <w:p>
            <w:pPr>
              <w:jc w:val="right"/>
              <w:ind w:right="280"/>
              <w:spacing w:after="0" w:line="176" w:lineRule="exact"/>
              <w:rPr>
                <w:sz w:val="20"/>
                <w:szCs w:val="20"/>
                <w:color w:val="auto"/>
              </w:rPr>
            </w:pPr>
            <w:r>
              <w:rPr>
                <w:rFonts w:ascii="Arial" w:cs="Arial" w:eastAsia="Arial" w:hAnsi="Arial"/>
                <w:sz w:val="16"/>
                <w:szCs w:val="16"/>
                <w:color w:val="auto"/>
              </w:rPr>
              <w:t>711,600</w:t>
            </w:r>
          </w:p>
        </w:tc>
        <w:tc>
          <w:tcPr>
            <w:tcW w:w="900" w:type="dxa"/>
            <w:vAlign w:val="bottom"/>
            <w:shd w:val="clear" w:color="auto" w:fill="E3E5EB"/>
          </w:tcPr>
          <w:p>
            <w:pPr>
              <w:jc w:val="right"/>
              <w:ind w:right="40"/>
              <w:spacing w:after="0" w:line="176" w:lineRule="exact"/>
              <w:rPr>
                <w:sz w:val="20"/>
                <w:szCs w:val="20"/>
                <w:color w:val="auto"/>
              </w:rPr>
            </w:pPr>
            <w:r>
              <w:rPr>
                <w:rFonts w:ascii="Arial" w:cs="Arial" w:eastAsia="Arial" w:hAnsi="Arial"/>
                <w:sz w:val="16"/>
                <w:szCs w:val="16"/>
                <w:color w:val="auto"/>
              </w:rPr>
              <w:t>548,572</w:t>
            </w:r>
          </w:p>
        </w:tc>
        <w:tc>
          <w:tcPr>
            <w:tcW w:w="1500" w:type="dxa"/>
            <w:vAlign w:val="bottom"/>
            <w:shd w:val="clear" w:color="auto" w:fill="E3E5EB"/>
          </w:tcPr>
          <w:p>
            <w:pPr>
              <w:jc w:val="center"/>
              <w:ind w:left="20"/>
              <w:spacing w:after="0" w:line="176" w:lineRule="exact"/>
              <w:rPr>
                <w:sz w:val="20"/>
                <w:szCs w:val="20"/>
                <w:color w:val="auto"/>
              </w:rPr>
            </w:pPr>
            <w:r>
              <w:rPr>
                <w:rFonts w:ascii="Arial" w:cs="Arial" w:eastAsia="Arial" w:hAnsi="Arial"/>
                <w:sz w:val="16"/>
                <w:szCs w:val="16"/>
                <w:color w:val="auto"/>
                <w:w w:val="97"/>
              </w:rPr>
              <w:t>154%</w:t>
            </w:r>
          </w:p>
        </w:tc>
      </w:tr>
      <w:tr>
        <w:trPr>
          <w:trHeight w:val="184"/>
        </w:trPr>
        <w:tc>
          <w:tcPr>
            <w:tcW w:w="20" w:type="dxa"/>
            <w:vAlign w:val="bottom"/>
          </w:tcPr>
          <w:p>
            <w:pPr>
              <w:spacing w:after="0"/>
              <w:rPr>
                <w:sz w:val="16"/>
                <w:szCs w:val="16"/>
                <w:color w:val="auto"/>
              </w:rPr>
            </w:pPr>
          </w:p>
        </w:tc>
        <w:tc>
          <w:tcPr>
            <w:tcW w:w="2260" w:type="dxa"/>
            <w:vAlign w:val="bottom"/>
          </w:tcPr>
          <w:p>
            <w:pPr>
              <w:spacing w:after="0"/>
              <w:rPr>
                <w:sz w:val="20"/>
                <w:szCs w:val="20"/>
                <w:color w:val="auto"/>
              </w:rPr>
            </w:pPr>
            <w:r>
              <w:rPr>
                <w:rFonts w:ascii="Arial" w:cs="Arial" w:eastAsia="Arial" w:hAnsi="Arial"/>
                <w:sz w:val="16"/>
                <w:szCs w:val="16"/>
                <w:color w:val="auto"/>
              </w:rPr>
              <w:t>Mr. Edington</w:t>
            </w:r>
          </w:p>
        </w:tc>
        <w:tc>
          <w:tcPr>
            <w:tcW w:w="2540" w:type="dxa"/>
            <w:vAlign w:val="bottom"/>
          </w:tcPr>
          <w:p>
            <w:pPr>
              <w:jc w:val="center"/>
              <w:ind w:left="1120"/>
              <w:spacing w:after="0"/>
              <w:rPr>
                <w:sz w:val="20"/>
                <w:szCs w:val="20"/>
                <w:color w:val="auto"/>
              </w:rPr>
            </w:pPr>
            <w:r>
              <w:rPr>
                <w:rFonts w:ascii="Arial" w:cs="Arial" w:eastAsia="Arial" w:hAnsi="Arial"/>
                <w:sz w:val="16"/>
                <w:szCs w:val="16"/>
                <w:color w:val="auto"/>
              </w:rPr>
              <w:t>682,500</w:t>
            </w:r>
          </w:p>
        </w:tc>
        <w:tc>
          <w:tcPr>
            <w:tcW w:w="1360" w:type="dxa"/>
            <w:vAlign w:val="bottom"/>
          </w:tcPr>
          <w:p>
            <w:pPr>
              <w:jc w:val="right"/>
              <w:ind w:right="240"/>
              <w:spacing w:after="0"/>
              <w:rPr>
                <w:sz w:val="20"/>
                <w:szCs w:val="20"/>
                <w:color w:val="auto"/>
              </w:rPr>
            </w:pPr>
            <w:r>
              <w:rPr>
                <w:rFonts w:ascii="Arial" w:cs="Arial" w:eastAsia="Arial" w:hAnsi="Arial"/>
                <w:sz w:val="16"/>
                <w:szCs w:val="16"/>
                <w:color w:val="auto"/>
              </w:rPr>
              <w:t>1,365,000</w:t>
            </w:r>
          </w:p>
        </w:tc>
        <w:tc>
          <w:tcPr>
            <w:tcW w:w="900" w:type="dxa"/>
            <w:vAlign w:val="bottom"/>
          </w:tcPr>
          <w:p>
            <w:pPr>
              <w:jc w:val="right"/>
              <w:ind w:right="20"/>
              <w:spacing w:after="0"/>
              <w:rPr>
                <w:sz w:val="20"/>
                <w:szCs w:val="20"/>
                <w:color w:val="auto"/>
              </w:rPr>
            </w:pPr>
            <w:r>
              <w:rPr>
                <w:rFonts w:ascii="Arial" w:cs="Arial" w:eastAsia="Arial" w:hAnsi="Arial"/>
                <w:sz w:val="16"/>
                <w:szCs w:val="16"/>
                <w:color w:val="auto"/>
              </w:rPr>
              <w:t>1,102,238</w:t>
            </w:r>
          </w:p>
        </w:tc>
        <w:tc>
          <w:tcPr>
            <w:tcW w:w="1500" w:type="dxa"/>
            <w:vAlign w:val="bottom"/>
          </w:tcPr>
          <w:p>
            <w:pPr>
              <w:jc w:val="center"/>
              <w:ind w:left="20"/>
              <w:spacing w:after="0"/>
              <w:rPr>
                <w:sz w:val="20"/>
                <w:szCs w:val="20"/>
                <w:color w:val="auto"/>
              </w:rPr>
            </w:pPr>
            <w:r>
              <w:rPr>
                <w:rFonts w:ascii="Arial" w:cs="Arial" w:eastAsia="Arial" w:hAnsi="Arial"/>
                <w:sz w:val="16"/>
                <w:szCs w:val="16"/>
                <w:color w:val="auto"/>
                <w:w w:val="97"/>
              </w:rPr>
              <w:t>162%</w:t>
            </w:r>
          </w:p>
        </w:tc>
      </w:tr>
      <w:tr>
        <w:trPr>
          <w:trHeight w:val="184"/>
        </w:trPr>
        <w:tc>
          <w:tcPr>
            <w:tcW w:w="20" w:type="dxa"/>
            <w:vAlign w:val="bottom"/>
          </w:tcPr>
          <w:p>
            <w:pPr>
              <w:spacing w:after="0"/>
              <w:rPr>
                <w:sz w:val="16"/>
                <w:szCs w:val="16"/>
                <w:color w:val="auto"/>
              </w:rPr>
            </w:pPr>
          </w:p>
        </w:tc>
        <w:tc>
          <w:tcPr>
            <w:tcW w:w="2260" w:type="dxa"/>
            <w:vAlign w:val="bottom"/>
            <w:shd w:val="clear" w:color="auto" w:fill="E3E5EB"/>
          </w:tcPr>
          <w:p>
            <w:pPr>
              <w:spacing w:after="0"/>
              <w:rPr>
                <w:sz w:val="20"/>
                <w:szCs w:val="20"/>
                <w:color w:val="auto"/>
              </w:rPr>
            </w:pPr>
            <w:r>
              <w:rPr>
                <w:rFonts w:ascii="Arial" w:cs="Arial" w:eastAsia="Arial" w:hAnsi="Arial"/>
                <w:sz w:val="16"/>
                <w:szCs w:val="16"/>
                <w:color w:val="auto"/>
              </w:rPr>
              <w:t>Mr. Falck</w:t>
            </w:r>
          </w:p>
        </w:tc>
        <w:tc>
          <w:tcPr>
            <w:tcW w:w="2540" w:type="dxa"/>
            <w:vAlign w:val="bottom"/>
            <w:shd w:val="clear" w:color="auto" w:fill="E3E5EB"/>
          </w:tcPr>
          <w:p>
            <w:pPr>
              <w:jc w:val="center"/>
              <w:ind w:left="1120"/>
              <w:spacing w:after="0"/>
              <w:rPr>
                <w:sz w:val="20"/>
                <w:szCs w:val="20"/>
                <w:color w:val="auto"/>
              </w:rPr>
            </w:pPr>
            <w:r>
              <w:rPr>
                <w:rFonts w:ascii="Arial" w:cs="Arial" w:eastAsia="Arial" w:hAnsi="Arial"/>
                <w:sz w:val="16"/>
                <w:szCs w:val="16"/>
                <w:color w:val="auto"/>
              </w:rPr>
              <w:t>326,400</w:t>
            </w:r>
          </w:p>
        </w:tc>
        <w:tc>
          <w:tcPr>
            <w:tcW w:w="136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652,800</w:t>
            </w:r>
          </w:p>
        </w:tc>
        <w:tc>
          <w:tcPr>
            <w:tcW w:w="900" w:type="dxa"/>
            <w:vAlign w:val="bottom"/>
            <w:shd w:val="clear" w:color="auto" w:fill="E3E5EB"/>
          </w:tcPr>
          <w:p>
            <w:pPr>
              <w:jc w:val="right"/>
              <w:ind w:right="40"/>
              <w:spacing w:after="0"/>
              <w:rPr>
                <w:sz w:val="20"/>
                <w:szCs w:val="20"/>
                <w:color w:val="auto"/>
              </w:rPr>
            </w:pPr>
            <w:r>
              <w:rPr>
                <w:rFonts w:ascii="Arial" w:cs="Arial" w:eastAsia="Arial" w:hAnsi="Arial"/>
                <w:sz w:val="16"/>
                <w:szCs w:val="16"/>
                <w:color w:val="auto"/>
              </w:rPr>
              <w:t>478,437</w:t>
            </w:r>
          </w:p>
        </w:tc>
        <w:tc>
          <w:tcPr>
            <w:tcW w:w="1500" w:type="dxa"/>
            <w:vAlign w:val="bottom"/>
            <w:shd w:val="clear" w:color="auto" w:fill="E3E5EB"/>
          </w:tcPr>
          <w:p>
            <w:pPr>
              <w:jc w:val="center"/>
              <w:ind w:left="20"/>
              <w:spacing w:after="0"/>
              <w:rPr>
                <w:sz w:val="20"/>
                <w:szCs w:val="20"/>
                <w:color w:val="auto"/>
              </w:rPr>
            </w:pPr>
            <w:r>
              <w:rPr>
                <w:rFonts w:ascii="Arial" w:cs="Arial" w:eastAsia="Arial" w:hAnsi="Arial"/>
                <w:sz w:val="16"/>
                <w:szCs w:val="16"/>
                <w:color w:val="auto"/>
                <w:w w:val="97"/>
              </w:rPr>
              <w:t>147%</w:t>
            </w:r>
          </w:p>
        </w:tc>
      </w:tr>
      <w:tr>
        <w:trPr>
          <w:trHeight w:val="184"/>
        </w:trPr>
        <w:tc>
          <w:tcPr>
            <w:tcW w:w="20" w:type="dxa"/>
            <w:vAlign w:val="bottom"/>
            <w:tcBorders>
              <w:bottom w:val="single" w:sz="8" w:color="888992"/>
            </w:tcBorders>
          </w:tcPr>
          <w:p>
            <w:pPr>
              <w:spacing w:after="0"/>
              <w:rPr>
                <w:sz w:val="16"/>
                <w:szCs w:val="16"/>
                <w:color w:val="auto"/>
              </w:rPr>
            </w:pPr>
          </w:p>
        </w:tc>
        <w:tc>
          <w:tcPr>
            <w:tcW w:w="2260" w:type="dxa"/>
            <w:vAlign w:val="bottom"/>
            <w:tcBorders>
              <w:bottom w:val="single" w:sz="8" w:color="888992"/>
            </w:tcBorders>
          </w:tcPr>
          <w:p>
            <w:pPr>
              <w:spacing w:after="0"/>
              <w:rPr>
                <w:sz w:val="20"/>
                <w:szCs w:val="20"/>
                <w:color w:val="auto"/>
              </w:rPr>
            </w:pPr>
            <w:r>
              <w:rPr>
                <w:rFonts w:ascii="Arial" w:cs="Arial" w:eastAsia="Arial" w:hAnsi="Arial"/>
                <w:sz w:val="16"/>
                <w:szCs w:val="16"/>
                <w:color w:val="auto"/>
              </w:rPr>
              <w:t>Mr. Schiavoni</w:t>
            </w:r>
          </w:p>
        </w:tc>
        <w:tc>
          <w:tcPr>
            <w:tcW w:w="2540" w:type="dxa"/>
            <w:vAlign w:val="bottom"/>
            <w:tcBorders>
              <w:bottom w:val="single" w:sz="8" w:color="888992"/>
            </w:tcBorders>
          </w:tcPr>
          <w:p>
            <w:pPr>
              <w:jc w:val="center"/>
              <w:ind w:left="1120"/>
              <w:spacing w:after="0"/>
              <w:rPr>
                <w:sz w:val="20"/>
                <w:szCs w:val="20"/>
                <w:color w:val="auto"/>
              </w:rPr>
            </w:pPr>
            <w:r>
              <w:rPr>
                <w:rFonts w:ascii="Arial" w:cs="Arial" w:eastAsia="Arial" w:hAnsi="Arial"/>
                <w:sz w:val="16"/>
                <w:szCs w:val="16"/>
                <w:color w:val="auto"/>
              </w:rPr>
              <w:t>448,000</w:t>
            </w:r>
          </w:p>
        </w:tc>
        <w:tc>
          <w:tcPr>
            <w:tcW w:w="1360" w:type="dxa"/>
            <w:vAlign w:val="bottom"/>
            <w:tcBorders>
              <w:bottom w:val="single" w:sz="8" w:color="888992"/>
            </w:tcBorders>
          </w:tcPr>
          <w:p>
            <w:pPr>
              <w:jc w:val="right"/>
              <w:ind w:right="260"/>
              <w:spacing w:after="0"/>
              <w:rPr>
                <w:sz w:val="20"/>
                <w:szCs w:val="20"/>
                <w:color w:val="auto"/>
              </w:rPr>
            </w:pPr>
            <w:r>
              <w:rPr>
                <w:rFonts w:ascii="Arial" w:cs="Arial" w:eastAsia="Arial" w:hAnsi="Arial"/>
                <w:sz w:val="16"/>
                <w:szCs w:val="16"/>
                <w:color w:val="auto"/>
              </w:rPr>
              <w:t>896,000</w:t>
            </w:r>
          </w:p>
        </w:tc>
        <w:tc>
          <w:tcPr>
            <w:tcW w:w="900" w:type="dxa"/>
            <w:vAlign w:val="bottom"/>
            <w:tcBorders>
              <w:bottom w:val="single" w:sz="8" w:color="888992"/>
            </w:tcBorders>
          </w:tcPr>
          <w:p>
            <w:pPr>
              <w:jc w:val="right"/>
              <w:ind w:right="40"/>
              <w:spacing w:after="0"/>
              <w:rPr>
                <w:sz w:val="20"/>
                <w:szCs w:val="20"/>
                <w:color w:val="auto"/>
              </w:rPr>
            </w:pPr>
            <w:r>
              <w:rPr>
                <w:rFonts w:ascii="Arial" w:cs="Arial" w:eastAsia="Arial" w:hAnsi="Arial"/>
                <w:sz w:val="16"/>
                <w:szCs w:val="16"/>
                <w:color w:val="auto"/>
              </w:rPr>
              <w:t>668,416</w:t>
            </w:r>
          </w:p>
        </w:tc>
        <w:tc>
          <w:tcPr>
            <w:tcW w:w="1500" w:type="dxa"/>
            <w:vAlign w:val="bottom"/>
            <w:tcBorders>
              <w:bottom w:val="single" w:sz="8" w:color="888992"/>
            </w:tcBorders>
          </w:tcPr>
          <w:p>
            <w:pPr>
              <w:jc w:val="center"/>
              <w:ind w:left="20"/>
              <w:spacing w:after="0"/>
              <w:rPr>
                <w:sz w:val="20"/>
                <w:szCs w:val="20"/>
                <w:color w:val="auto"/>
              </w:rPr>
            </w:pPr>
            <w:r>
              <w:rPr>
                <w:rFonts w:ascii="Arial" w:cs="Arial" w:eastAsia="Arial" w:hAnsi="Arial"/>
                <w:sz w:val="16"/>
                <w:szCs w:val="16"/>
                <w:color w:val="auto"/>
                <w:w w:val="97"/>
              </w:rPr>
              <w:t>149%</w:t>
            </w:r>
          </w:p>
        </w:tc>
      </w:tr>
    </w:tbl>
    <w:p>
      <w:pPr>
        <w:spacing w:after="0" w:line="277" w:lineRule="exact"/>
        <w:rPr>
          <w:sz w:val="20"/>
          <w:szCs w:val="20"/>
          <w:color w:val="auto"/>
        </w:rPr>
      </w:pPr>
    </w:p>
    <w:p>
      <w:pPr>
        <w:ind w:left="2" w:right="160"/>
        <w:spacing w:after="0" w:line="247" w:lineRule="auto"/>
        <w:rPr>
          <w:sz w:val="20"/>
          <w:szCs w:val="20"/>
          <w:color w:val="auto"/>
        </w:rPr>
      </w:pPr>
      <w:r>
        <w:rPr>
          <w:rFonts w:ascii="Arial" w:cs="Arial" w:eastAsia="Arial" w:hAnsi="Arial"/>
          <w:sz w:val="20"/>
          <w:szCs w:val="20"/>
          <w:color w:val="auto"/>
        </w:rPr>
        <w:t>Under the APS Incentive Plans, the earnings achievement combined with the applicable business unit performance results resulted in the indicated incentive awards, without further adjustment for individual performance, for Messrs. Hatfield, Edington, Falck, Hatfield and Schiavoni.</w:t>
      </w:r>
    </w:p>
    <w:p>
      <w:pPr>
        <w:spacing w:after="0" w:line="149" w:lineRule="exact"/>
        <w:rPr>
          <w:sz w:val="20"/>
          <w:szCs w:val="20"/>
          <w:color w:val="auto"/>
        </w:rPr>
      </w:pPr>
    </w:p>
    <w:p>
      <w:pPr>
        <w:ind w:left="2" w:right="160"/>
        <w:spacing w:after="0" w:line="239" w:lineRule="auto"/>
        <w:rPr>
          <w:sz w:val="20"/>
          <w:szCs w:val="20"/>
          <w:color w:val="auto"/>
        </w:rPr>
      </w:pPr>
      <w:r>
        <w:rPr>
          <w:rFonts w:ascii="Arial" w:cs="Arial" w:eastAsia="Arial" w:hAnsi="Arial"/>
          <w:sz w:val="20"/>
          <w:szCs w:val="20"/>
          <w:color w:val="auto"/>
        </w:rPr>
        <w:t>APS adopted the 2015 Palo Verde Specific Compensation Opportunity, which provided Mr. Edington the opportunity to receive an amount of up to $125,000 upon the achievement of the following Palo Verde operational and performance targets: the achievement of a site capacity factor greater than 92%; no substantive cross-cutting issues existing by the end of 2015; and no "greater-than-green" NRC colored findings by the end of 2015. All of the metrics were achieved and, as such, Mr. Edington received the full award of $125,000.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172085</wp:posOffset>
            </wp:positionV>
            <wp:extent cx="841375" cy="16383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56</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65" w:name="page66"/>
    <w:bookmarkEnd w:id="65"/>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jc w:val="center"/>
        <w:ind w:left="660"/>
        <w:spacing w:after="0"/>
        <w:rPr>
          <w:sz w:val="20"/>
          <w:szCs w:val="20"/>
          <w:color w:val="auto"/>
        </w:rPr>
      </w:pPr>
      <w:r>
        <w:rPr>
          <w:rFonts w:ascii="Arial" w:cs="Arial" w:eastAsia="Arial" w:hAnsi="Arial"/>
          <w:sz w:val="19"/>
          <w:szCs w:val="19"/>
          <w:b w:val="1"/>
          <w:bCs w:val="1"/>
          <w:i w:val="1"/>
          <w:iCs w:val="1"/>
          <w:color w:val="auto"/>
        </w:rPr>
        <w:t>Long-Term Incentives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-116840</wp:posOffset>
            </wp:positionV>
            <wp:extent cx="1487805" cy="1555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02" w:lineRule="exact"/>
        <w:rPr>
          <w:sz w:val="20"/>
          <w:szCs w:val="20"/>
          <w:color w:val="auto"/>
        </w:rPr>
      </w:pPr>
    </w:p>
    <w:p>
      <w:pPr>
        <w:sectPr>
          <w:pgSz w:w="11900" w:h="16838" w:orient="portrait"/>
          <w:cols w:equalWidth="0" w:num="2">
            <w:col w:w="8420" w:space="720"/>
            <w:col w:w="2300"/>
          </w:cols>
          <w:pgMar w:left="240" w:top="110" w:right="219" w:bottom="1440" w:gutter="0" w:footer="0" w:header="0"/>
        </w:sectPr>
      </w:pPr>
    </w:p>
    <w:p>
      <w:pPr>
        <w:ind w:right="220"/>
        <w:spacing w:after="0" w:line="247" w:lineRule="auto"/>
        <w:rPr>
          <w:sz w:val="20"/>
          <w:szCs w:val="20"/>
          <w:color w:val="auto"/>
        </w:rPr>
      </w:pPr>
      <w:r>
        <w:rPr>
          <w:rFonts w:ascii="Arial" w:cs="Arial" w:eastAsia="Arial" w:hAnsi="Arial"/>
          <w:sz w:val="20"/>
          <w:szCs w:val="20"/>
          <w:color w:val="auto"/>
        </w:rPr>
        <w:t>The Company currently uses two types of equity grants: performance shares and RSUs. In 2015, awards consisted of 55% performance shares and 45% RSUs to focus the equity awards on the achievement of specific multi-year performance goals. The 2015 grants to the Named Executive Officers were as follows:</w:t>
      </w:r>
    </w:p>
    <w:p>
      <w:pPr>
        <w:spacing w:after="0" w:line="200" w:lineRule="exact"/>
        <w:rPr>
          <w:sz w:val="20"/>
          <w:szCs w:val="20"/>
          <w:color w:val="auto"/>
        </w:rPr>
      </w:pPr>
    </w:p>
    <w:p>
      <w:pPr>
        <w:spacing w:after="0" w:line="288" w:lineRule="exact"/>
        <w:rPr>
          <w:sz w:val="20"/>
          <w:szCs w:val="20"/>
          <w:color w:val="auto"/>
        </w:rPr>
      </w:pPr>
    </w:p>
    <w:tbl>
      <w:tblPr>
        <w:tblLayout w:type="fixed"/>
        <w:tblInd w:w="1460" w:type="dxa"/>
        <w:tblCellMar>
          <w:top w:w="0" w:type="dxa"/>
          <w:left w:w="0" w:type="dxa"/>
          <w:bottom w:w="0" w:type="dxa"/>
          <w:right w:w="0" w:type="dxa"/>
        </w:tblCellMar>
      </w:tblPr>
      <w:tr>
        <w:trPr>
          <w:trHeight w:val="255"/>
        </w:trPr>
        <w:tc>
          <w:tcPr>
            <w:tcW w:w="20" w:type="dxa"/>
            <w:vAlign w:val="bottom"/>
          </w:tcPr>
          <w:p>
            <w:pPr>
              <w:spacing w:after="0"/>
              <w:rPr>
                <w:sz w:val="22"/>
                <w:szCs w:val="22"/>
                <w:color w:val="auto"/>
              </w:rPr>
            </w:pPr>
          </w:p>
        </w:tc>
        <w:tc>
          <w:tcPr>
            <w:tcW w:w="2460" w:type="dxa"/>
            <w:vAlign w:val="bottom"/>
          </w:tcPr>
          <w:p>
            <w:pPr>
              <w:spacing w:after="0"/>
              <w:rPr>
                <w:sz w:val="22"/>
                <w:szCs w:val="22"/>
                <w:color w:val="auto"/>
              </w:rPr>
            </w:pPr>
          </w:p>
        </w:tc>
        <w:tc>
          <w:tcPr>
            <w:tcW w:w="2960" w:type="dxa"/>
            <w:vAlign w:val="bottom"/>
          </w:tcPr>
          <w:p>
            <w:pPr>
              <w:jc w:val="center"/>
              <w:ind w:left="1082"/>
              <w:spacing w:after="0"/>
              <w:rPr>
                <w:sz w:val="20"/>
                <w:szCs w:val="20"/>
                <w:color w:val="auto"/>
              </w:rPr>
            </w:pPr>
            <w:r>
              <w:rPr>
                <w:rFonts w:ascii="Arial" w:cs="Arial" w:eastAsia="Arial" w:hAnsi="Arial"/>
                <w:sz w:val="20"/>
                <w:szCs w:val="20"/>
                <w:b w:val="1"/>
                <w:bCs w:val="1"/>
                <w:color w:val="3A5575"/>
                <w:w w:val="98"/>
              </w:rPr>
              <w:t>PERFORMANCE</w:t>
            </w:r>
          </w:p>
        </w:tc>
        <w:tc>
          <w:tcPr>
            <w:tcW w:w="880" w:type="dxa"/>
            <w:vAlign w:val="bottom"/>
            <w:vMerge w:val="restart"/>
          </w:tcPr>
          <w:p>
            <w:pPr>
              <w:jc w:val="right"/>
              <w:ind w:right="122"/>
              <w:spacing w:after="0"/>
              <w:rPr>
                <w:sz w:val="20"/>
                <w:szCs w:val="20"/>
                <w:color w:val="auto"/>
              </w:rPr>
            </w:pPr>
            <w:r>
              <w:rPr>
                <w:rFonts w:ascii="Arial" w:cs="Arial" w:eastAsia="Arial" w:hAnsi="Arial"/>
                <w:sz w:val="20"/>
                <w:szCs w:val="20"/>
                <w:b w:val="1"/>
                <w:bCs w:val="1"/>
                <w:color w:val="3A5575"/>
              </w:rPr>
              <w:t>RSUs</w:t>
            </w:r>
          </w:p>
        </w:tc>
        <w:tc>
          <w:tcPr>
            <w:tcW w:w="1200" w:type="dxa"/>
            <w:vAlign w:val="bottom"/>
          </w:tcPr>
          <w:p>
            <w:pPr>
              <w:jc w:val="center"/>
              <w:spacing w:after="0"/>
              <w:rPr>
                <w:sz w:val="20"/>
                <w:szCs w:val="20"/>
                <w:color w:val="auto"/>
              </w:rPr>
            </w:pPr>
            <w:r>
              <w:rPr>
                <w:rFonts w:ascii="Arial" w:cs="Arial" w:eastAsia="Arial" w:hAnsi="Arial"/>
                <w:sz w:val="20"/>
                <w:szCs w:val="20"/>
                <w:b w:val="1"/>
                <w:bCs w:val="1"/>
                <w:color w:val="3A5575"/>
                <w:w w:val="95"/>
              </w:rPr>
              <w:t>TOTAL</w:t>
            </w:r>
          </w:p>
        </w:tc>
        <w:tc>
          <w:tcPr>
            <w:tcW w:w="1060" w:type="dxa"/>
            <w:vAlign w:val="bottom"/>
          </w:tcPr>
          <w:p>
            <w:pPr>
              <w:jc w:val="center"/>
              <w:ind w:left="83"/>
              <w:spacing w:after="0"/>
              <w:rPr>
                <w:sz w:val="20"/>
                <w:szCs w:val="20"/>
                <w:color w:val="auto"/>
              </w:rPr>
            </w:pPr>
            <w:r>
              <w:rPr>
                <w:rFonts w:ascii="Arial" w:cs="Arial" w:eastAsia="Arial" w:hAnsi="Arial"/>
                <w:sz w:val="20"/>
                <w:szCs w:val="20"/>
                <w:b w:val="1"/>
                <w:bCs w:val="1"/>
                <w:color w:val="3A5575"/>
                <w:w w:val="95"/>
              </w:rPr>
              <w:t>TOTAL</w:t>
            </w:r>
          </w:p>
        </w:tc>
        <w:tc>
          <w:tcPr>
            <w:tcW w:w="0" w:type="dxa"/>
            <w:vAlign w:val="bottom"/>
          </w:tcPr>
          <w:p>
            <w:pPr>
              <w:spacing w:after="0"/>
              <w:rPr>
                <w:sz w:val="1"/>
                <w:szCs w:val="1"/>
                <w:color w:val="auto"/>
              </w:rPr>
            </w:pPr>
          </w:p>
        </w:tc>
      </w:tr>
      <w:tr>
        <w:trPr>
          <w:trHeight w:val="236"/>
        </w:trPr>
        <w:tc>
          <w:tcPr>
            <w:tcW w:w="248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NAME</w:t>
            </w:r>
          </w:p>
        </w:tc>
        <w:tc>
          <w:tcPr>
            <w:tcW w:w="2960" w:type="dxa"/>
            <w:vAlign w:val="bottom"/>
          </w:tcPr>
          <w:p>
            <w:pPr>
              <w:jc w:val="center"/>
              <w:ind w:left="1082"/>
              <w:spacing w:after="0"/>
              <w:rPr>
                <w:sz w:val="20"/>
                <w:szCs w:val="20"/>
                <w:color w:val="auto"/>
              </w:rPr>
            </w:pPr>
            <w:r>
              <w:rPr>
                <w:rFonts w:ascii="Arial" w:cs="Arial" w:eastAsia="Arial" w:hAnsi="Arial"/>
                <w:sz w:val="20"/>
                <w:szCs w:val="20"/>
                <w:b w:val="1"/>
                <w:bCs w:val="1"/>
                <w:color w:val="3A5575"/>
                <w:w w:val="98"/>
              </w:rPr>
              <w:t>SHARES</w:t>
            </w:r>
          </w:p>
        </w:tc>
        <w:tc>
          <w:tcPr>
            <w:tcW w:w="880" w:type="dxa"/>
            <w:vAlign w:val="bottom"/>
            <w:vMerge w:val="continue"/>
          </w:tcPr>
          <w:p>
            <w:pPr>
              <w:spacing w:after="0"/>
              <w:rPr>
                <w:sz w:val="20"/>
                <w:szCs w:val="20"/>
                <w:color w:val="auto"/>
              </w:rPr>
            </w:pPr>
          </w:p>
        </w:tc>
        <w:tc>
          <w:tcPr>
            <w:tcW w:w="1200" w:type="dxa"/>
            <w:vAlign w:val="bottom"/>
          </w:tcPr>
          <w:p>
            <w:pPr>
              <w:jc w:val="center"/>
              <w:spacing w:after="0"/>
              <w:rPr>
                <w:sz w:val="20"/>
                <w:szCs w:val="20"/>
                <w:color w:val="auto"/>
              </w:rPr>
            </w:pPr>
            <w:r>
              <w:rPr>
                <w:rFonts w:ascii="Arial" w:cs="Arial" w:eastAsia="Arial" w:hAnsi="Arial"/>
                <w:sz w:val="20"/>
                <w:szCs w:val="20"/>
                <w:b w:val="1"/>
                <w:bCs w:val="1"/>
                <w:color w:val="3A5575"/>
                <w:w w:val="98"/>
              </w:rPr>
              <w:t>SHARES</w:t>
            </w:r>
          </w:p>
        </w:tc>
        <w:tc>
          <w:tcPr>
            <w:tcW w:w="1060" w:type="dxa"/>
            <w:vAlign w:val="bottom"/>
          </w:tcPr>
          <w:p>
            <w:pPr>
              <w:jc w:val="center"/>
              <w:ind w:left="63"/>
              <w:spacing w:after="0" w:line="236" w:lineRule="exact"/>
              <w:rPr>
                <w:sz w:val="20"/>
                <w:szCs w:val="20"/>
                <w:color w:val="auto"/>
              </w:rPr>
            </w:pPr>
            <w:r>
              <w:rPr>
                <w:rFonts w:ascii="Arial" w:cs="Arial" w:eastAsia="Arial" w:hAnsi="Arial"/>
                <w:sz w:val="17"/>
                <w:szCs w:val="17"/>
                <w:b w:val="1"/>
                <w:bCs w:val="1"/>
                <w:color w:val="3A5575"/>
              </w:rPr>
              <w:t>VALUE</w:t>
            </w:r>
            <w:r>
              <w:rPr>
                <w:rFonts w:ascii="Arial" w:cs="Arial" w:eastAsia="Arial" w:hAnsi="Arial"/>
                <w:sz w:val="27"/>
                <w:szCs w:val="27"/>
                <w:b w:val="1"/>
                <w:bCs w:val="1"/>
                <w:color w:val="3A5575"/>
                <w:vertAlign w:val="superscript"/>
              </w:rPr>
              <w:t>(1)</w:t>
            </w:r>
          </w:p>
        </w:tc>
        <w:tc>
          <w:tcPr>
            <w:tcW w:w="0" w:type="dxa"/>
            <w:vAlign w:val="bottom"/>
          </w:tcPr>
          <w:p>
            <w:pPr>
              <w:spacing w:after="0"/>
              <w:rPr>
                <w:sz w:val="1"/>
                <w:szCs w:val="1"/>
                <w:color w:val="auto"/>
              </w:rPr>
            </w:pPr>
          </w:p>
        </w:tc>
      </w:tr>
      <w:tr>
        <w:trPr>
          <w:trHeight w:val="255"/>
        </w:trPr>
        <w:tc>
          <w:tcPr>
            <w:tcW w:w="2480" w:type="dxa"/>
            <w:vAlign w:val="bottom"/>
            <w:tcBorders>
              <w:bottom w:val="single" w:sz="8" w:color="888992"/>
            </w:tcBorders>
            <w:gridSpan w:val="2"/>
            <w:vMerge w:val="continue"/>
          </w:tcPr>
          <w:p>
            <w:pPr>
              <w:spacing w:after="0"/>
              <w:rPr>
                <w:sz w:val="22"/>
                <w:szCs w:val="22"/>
                <w:color w:val="auto"/>
              </w:rPr>
            </w:pPr>
          </w:p>
        </w:tc>
        <w:tc>
          <w:tcPr>
            <w:tcW w:w="2960" w:type="dxa"/>
            <w:vAlign w:val="bottom"/>
            <w:tcBorders>
              <w:bottom w:val="single" w:sz="8" w:color="888992"/>
            </w:tcBorders>
          </w:tcPr>
          <w:p>
            <w:pPr>
              <w:jc w:val="center"/>
              <w:ind w:left="1102"/>
              <w:spacing w:after="0"/>
              <w:rPr>
                <w:sz w:val="20"/>
                <w:szCs w:val="20"/>
                <w:color w:val="auto"/>
              </w:rPr>
            </w:pPr>
            <w:r>
              <w:rPr>
                <w:rFonts w:ascii="Arial" w:cs="Arial" w:eastAsia="Arial" w:hAnsi="Arial"/>
                <w:sz w:val="20"/>
                <w:szCs w:val="20"/>
                <w:b w:val="1"/>
                <w:bCs w:val="1"/>
                <w:color w:val="3A5575"/>
                <w:w w:val="97"/>
              </w:rPr>
              <w:t>(#)</w:t>
            </w:r>
          </w:p>
        </w:tc>
        <w:tc>
          <w:tcPr>
            <w:tcW w:w="880" w:type="dxa"/>
            <w:vAlign w:val="bottom"/>
            <w:tcBorders>
              <w:bottom w:val="single" w:sz="8" w:color="888992"/>
            </w:tcBorders>
          </w:tcPr>
          <w:p>
            <w:pPr>
              <w:jc w:val="right"/>
              <w:ind w:right="262"/>
              <w:spacing w:after="0"/>
              <w:rPr>
                <w:sz w:val="20"/>
                <w:szCs w:val="20"/>
                <w:color w:val="auto"/>
              </w:rPr>
            </w:pPr>
            <w:r>
              <w:rPr>
                <w:rFonts w:ascii="Arial" w:cs="Arial" w:eastAsia="Arial" w:hAnsi="Arial"/>
                <w:sz w:val="20"/>
                <w:szCs w:val="20"/>
                <w:b w:val="1"/>
                <w:bCs w:val="1"/>
                <w:color w:val="3A5575"/>
              </w:rPr>
              <w:t>(#)</w:t>
            </w:r>
          </w:p>
        </w:tc>
        <w:tc>
          <w:tcPr>
            <w:tcW w:w="1200" w:type="dxa"/>
            <w:vAlign w:val="bottom"/>
            <w:tcBorders>
              <w:bottom w:val="single" w:sz="8" w:color="888992"/>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1060" w:type="dxa"/>
            <w:vAlign w:val="bottom"/>
            <w:tcBorders>
              <w:bottom w:val="single" w:sz="8" w:color="888992"/>
            </w:tcBorders>
          </w:tcPr>
          <w:p>
            <w:pPr>
              <w:jc w:val="center"/>
              <w:ind w:left="83"/>
              <w:spacing w:after="0"/>
              <w:rPr>
                <w:sz w:val="20"/>
                <w:szCs w:val="20"/>
                <w:color w:val="auto"/>
              </w:rPr>
            </w:pPr>
            <w:r>
              <w:rPr>
                <w:rFonts w:ascii="Arial" w:cs="Arial" w:eastAsia="Arial" w:hAnsi="Arial"/>
                <w:sz w:val="20"/>
                <w:szCs w:val="20"/>
                <w:b w:val="1"/>
                <w:bCs w:val="1"/>
                <w:color w:val="3A5575"/>
                <w:w w:val="97"/>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246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Mr. Brandt</w:t>
            </w:r>
          </w:p>
        </w:tc>
        <w:tc>
          <w:tcPr>
            <w:tcW w:w="2960" w:type="dxa"/>
            <w:vAlign w:val="bottom"/>
            <w:shd w:val="clear" w:color="auto" w:fill="E3E5EB"/>
          </w:tcPr>
          <w:p>
            <w:pPr>
              <w:jc w:val="right"/>
              <w:ind w:right="482"/>
              <w:spacing w:after="0" w:line="213" w:lineRule="exact"/>
              <w:rPr>
                <w:sz w:val="20"/>
                <w:szCs w:val="20"/>
                <w:color w:val="auto"/>
              </w:rPr>
            </w:pPr>
            <w:r>
              <w:rPr>
                <w:rFonts w:ascii="Arial" w:cs="Arial" w:eastAsia="Arial" w:hAnsi="Arial"/>
                <w:sz w:val="20"/>
                <w:szCs w:val="20"/>
                <w:color w:val="auto"/>
              </w:rPr>
              <w:t>37,248</w:t>
            </w:r>
          </w:p>
        </w:tc>
        <w:tc>
          <w:tcPr>
            <w:tcW w:w="880" w:type="dxa"/>
            <w:vAlign w:val="bottom"/>
            <w:shd w:val="clear" w:color="auto" w:fill="E3E5EB"/>
          </w:tcPr>
          <w:p>
            <w:pPr>
              <w:jc w:val="right"/>
              <w:ind w:right="82"/>
              <w:spacing w:after="0" w:line="213" w:lineRule="exact"/>
              <w:rPr>
                <w:sz w:val="20"/>
                <w:szCs w:val="20"/>
                <w:color w:val="auto"/>
              </w:rPr>
            </w:pPr>
            <w:r>
              <w:rPr>
                <w:rFonts w:ascii="Arial" w:cs="Arial" w:eastAsia="Arial" w:hAnsi="Arial"/>
                <w:sz w:val="20"/>
                <w:szCs w:val="20"/>
                <w:color w:val="auto"/>
              </w:rPr>
              <w:t>30,476</w:t>
            </w:r>
          </w:p>
        </w:tc>
        <w:tc>
          <w:tcPr>
            <w:tcW w:w="1200" w:type="dxa"/>
            <w:vAlign w:val="bottom"/>
            <w:shd w:val="clear" w:color="auto" w:fill="E3E5EB"/>
          </w:tcPr>
          <w:p>
            <w:pPr>
              <w:jc w:val="right"/>
              <w:ind w:right="202"/>
              <w:spacing w:after="0" w:line="213" w:lineRule="exact"/>
              <w:rPr>
                <w:sz w:val="20"/>
                <w:szCs w:val="20"/>
                <w:color w:val="auto"/>
              </w:rPr>
            </w:pPr>
            <w:r>
              <w:rPr>
                <w:rFonts w:ascii="Arial" w:cs="Arial" w:eastAsia="Arial" w:hAnsi="Arial"/>
                <w:sz w:val="20"/>
                <w:szCs w:val="20"/>
                <w:color w:val="auto"/>
              </w:rPr>
              <w:t>67,724</w:t>
            </w:r>
          </w:p>
        </w:tc>
        <w:tc>
          <w:tcPr>
            <w:tcW w:w="1060" w:type="dxa"/>
            <w:vAlign w:val="bottom"/>
            <w:shd w:val="clear" w:color="auto" w:fill="E3E5EB"/>
          </w:tcPr>
          <w:p>
            <w:pPr>
              <w:jc w:val="right"/>
              <w:spacing w:after="0" w:line="213" w:lineRule="exact"/>
              <w:rPr>
                <w:sz w:val="20"/>
                <w:szCs w:val="20"/>
                <w:color w:val="auto"/>
              </w:rPr>
            </w:pPr>
            <w:r>
              <w:rPr>
                <w:rFonts w:ascii="Arial" w:cs="Arial" w:eastAsia="Arial" w:hAnsi="Arial"/>
                <w:sz w:val="20"/>
                <w:szCs w:val="20"/>
                <w:color w:val="auto"/>
              </w:rPr>
              <w:t>4,400,029</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60" w:type="dxa"/>
            <w:vAlign w:val="bottom"/>
          </w:tcPr>
          <w:p>
            <w:pPr>
              <w:spacing w:after="0" w:line="221" w:lineRule="exact"/>
              <w:rPr>
                <w:sz w:val="20"/>
                <w:szCs w:val="20"/>
                <w:color w:val="auto"/>
              </w:rPr>
            </w:pPr>
            <w:r>
              <w:rPr>
                <w:rFonts w:ascii="Arial" w:cs="Arial" w:eastAsia="Arial" w:hAnsi="Arial"/>
                <w:sz w:val="20"/>
                <w:szCs w:val="20"/>
                <w:color w:val="auto"/>
              </w:rPr>
              <w:t>Mr. Hatfield</w:t>
            </w:r>
          </w:p>
        </w:tc>
        <w:tc>
          <w:tcPr>
            <w:tcW w:w="2960" w:type="dxa"/>
            <w:vAlign w:val="bottom"/>
          </w:tcPr>
          <w:p>
            <w:pPr>
              <w:jc w:val="right"/>
              <w:ind w:right="482"/>
              <w:spacing w:after="0" w:line="221" w:lineRule="exact"/>
              <w:rPr>
                <w:sz w:val="20"/>
                <w:szCs w:val="20"/>
                <w:color w:val="auto"/>
              </w:rPr>
            </w:pPr>
            <w:r>
              <w:rPr>
                <w:rFonts w:ascii="Arial" w:cs="Arial" w:eastAsia="Arial" w:hAnsi="Arial"/>
                <w:sz w:val="20"/>
                <w:szCs w:val="20"/>
                <w:color w:val="auto"/>
              </w:rPr>
              <w:t>6,350</w:t>
            </w:r>
          </w:p>
        </w:tc>
        <w:tc>
          <w:tcPr>
            <w:tcW w:w="880" w:type="dxa"/>
            <w:vAlign w:val="bottom"/>
          </w:tcPr>
          <w:p>
            <w:pPr>
              <w:jc w:val="right"/>
              <w:ind w:right="82"/>
              <w:spacing w:after="0" w:line="221" w:lineRule="exact"/>
              <w:rPr>
                <w:sz w:val="20"/>
                <w:szCs w:val="20"/>
                <w:color w:val="auto"/>
              </w:rPr>
            </w:pPr>
            <w:r>
              <w:rPr>
                <w:rFonts w:ascii="Arial" w:cs="Arial" w:eastAsia="Arial" w:hAnsi="Arial"/>
                <w:sz w:val="20"/>
                <w:szCs w:val="20"/>
                <w:color w:val="auto"/>
              </w:rPr>
              <w:t>5,196</w:t>
            </w:r>
          </w:p>
        </w:tc>
        <w:tc>
          <w:tcPr>
            <w:tcW w:w="1200" w:type="dxa"/>
            <w:vAlign w:val="bottom"/>
          </w:tcPr>
          <w:p>
            <w:pPr>
              <w:jc w:val="right"/>
              <w:ind w:right="202"/>
              <w:spacing w:after="0" w:line="221" w:lineRule="exact"/>
              <w:rPr>
                <w:sz w:val="20"/>
                <w:szCs w:val="20"/>
                <w:color w:val="auto"/>
              </w:rPr>
            </w:pPr>
            <w:r>
              <w:rPr>
                <w:rFonts w:ascii="Arial" w:cs="Arial" w:eastAsia="Arial" w:hAnsi="Arial"/>
                <w:sz w:val="20"/>
                <w:szCs w:val="20"/>
                <w:color w:val="auto"/>
              </w:rPr>
              <w:t>11,546</w:t>
            </w:r>
          </w:p>
        </w:tc>
        <w:tc>
          <w:tcPr>
            <w:tcW w:w="1060" w:type="dxa"/>
            <w:vAlign w:val="bottom"/>
          </w:tcPr>
          <w:p>
            <w:pPr>
              <w:jc w:val="right"/>
              <w:spacing w:after="0" w:line="221" w:lineRule="exact"/>
              <w:rPr>
                <w:sz w:val="20"/>
                <w:szCs w:val="20"/>
                <w:color w:val="auto"/>
              </w:rPr>
            </w:pPr>
            <w:r>
              <w:rPr>
                <w:rFonts w:ascii="Arial" w:cs="Arial" w:eastAsia="Arial" w:hAnsi="Arial"/>
                <w:sz w:val="20"/>
                <w:szCs w:val="20"/>
                <w:color w:val="auto"/>
              </w:rPr>
              <w:t>750,144</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6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Mr. Edington</w:t>
            </w:r>
          </w:p>
        </w:tc>
        <w:tc>
          <w:tcPr>
            <w:tcW w:w="2960" w:type="dxa"/>
            <w:vAlign w:val="bottom"/>
            <w:shd w:val="clear" w:color="auto" w:fill="E3E5EB"/>
          </w:tcPr>
          <w:p>
            <w:pPr>
              <w:jc w:val="right"/>
              <w:ind w:right="482"/>
              <w:spacing w:after="0" w:line="221" w:lineRule="exact"/>
              <w:rPr>
                <w:sz w:val="20"/>
                <w:szCs w:val="20"/>
                <w:color w:val="auto"/>
              </w:rPr>
            </w:pPr>
            <w:r>
              <w:rPr>
                <w:rFonts w:ascii="Arial" w:cs="Arial" w:eastAsia="Arial" w:hAnsi="Arial"/>
                <w:sz w:val="20"/>
                <w:szCs w:val="20"/>
                <w:color w:val="auto"/>
              </w:rPr>
              <w:t>5,080</w:t>
            </w:r>
          </w:p>
        </w:tc>
        <w:tc>
          <w:tcPr>
            <w:tcW w:w="880" w:type="dxa"/>
            <w:vAlign w:val="bottom"/>
            <w:shd w:val="clear" w:color="auto" w:fill="E3E5EB"/>
          </w:tcPr>
          <w:p>
            <w:pPr>
              <w:jc w:val="right"/>
              <w:ind w:right="82"/>
              <w:spacing w:after="0" w:line="221" w:lineRule="exact"/>
              <w:rPr>
                <w:sz w:val="20"/>
                <w:szCs w:val="20"/>
                <w:color w:val="auto"/>
              </w:rPr>
            </w:pPr>
            <w:r>
              <w:rPr>
                <w:rFonts w:ascii="Arial" w:cs="Arial" w:eastAsia="Arial" w:hAnsi="Arial"/>
                <w:sz w:val="20"/>
                <w:szCs w:val="20"/>
                <w:color w:val="auto"/>
              </w:rPr>
              <w:t>4,156</w:t>
            </w:r>
          </w:p>
        </w:tc>
        <w:tc>
          <w:tcPr>
            <w:tcW w:w="1200" w:type="dxa"/>
            <w:vAlign w:val="bottom"/>
            <w:shd w:val="clear" w:color="auto" w:fill="E3E5EB"/>
          </w:tcPr>
          <w:p>
            <w:pPr>
              <w:jc w:val="right"/>
              <w:ind w:right="202"/>
              <w:spacing w:after="0" w:line="221" w:lineRule="exact"/>
              <w:rPr>
                <w:sz w:val="20"/>
                <w:szCs w:val="20"/>
                <w:color w:val="auto"/>
              </w:rPr>
            </w:pPr>
            <w:r>
              <w:rPr>
                <w:rFonts w:ascii="Arial" w:cs="Arial" w:eastAsia="Arial" w:hAnsi="Arial"/>
                <w:sz w:val="20"/>
                <w:szCs w:val="20"/>
                <w:color w:val="auto"/>
              </w:rPr>
              <w:t>9,236</w:t>
            </w:r>
          </w:p>
        </w:tc>
        <w:tc>
          <w:tcPr>
            <w:tcW w:w="1060" w:type="dxa"/>
            <w:vAlign w:val="bottom"/>
            <w:shd w:val="clear" w:color="auto" w:fill="E3E5EB"/>
          </w:tcPr>
          <w:p>
            <w:pPr>
              <w:jc w:val="right"/>
              <w:spacing w:after="0" w:line="221" w:lineRule="exact"/>
              <w:rPr>
                <w:sz w:val="20"/>
                <w:szCs w:val="20"/>
                <w:color w:val="auto"/>
              </w:rPr>
            </w:pPr>
            <w:r>
              <w:rPr>
                <w:rFonts w:ascii="Arial" w:cs="Arial" w:eastAsia="Arial" w:hAnsi="Arial"/>
                <w:sz w:val="20"/>
                <w:szCs w:val="20"/>
                <w:color w:val="auto"/>
              </w:rPr>
              <w:t>600,063</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60" w:type="dxa"/>
            <w:vAlign w:val="bottom"/>
          </w:tcPr>
          <w:p>
            <w:pPr>
              <w:spacing w:after="0" w:line="221" w:lineRule="exact"/>
              <w:rPr>
                <w:sz w:val="20"/>
                <w:szCs w:val="20"/>
                <w:color w:val="auto"/>
              </w:rPr>
            </w:pPr>
            <w:r>
              <w:rPr>
                <w:rFonts w:ascii="Arial" w:cs="Arial" w:eastAsia="Arial" w:hAnsi="Arial"/>
                <w:sz w:val="20"/>
                <w:szCs w:val="20"/>
                <w:color w:val="auto"/>
              </w:rPr>
              <w:t>Mr. Falck</w:t>
            </w:r>
          </w:p>
        </w:tc>
        <w:tc>
          <w:tcPr>
            <w:tcW w:w="2960" w:type="dxa"/>
            <w:vAlign w:val="bottom"/>
          </w:tcPr>
          <w:p>
            <w:pPr>
              <w:jc w:val="right"/>
              <w:ind w:right="482"/>
              <w:spacing w:after="0" w:line="221" w:lineRule="exact"/>
              <w:rPr>
                <w:sz w:val="20"/>
                <w:szCs w:val="20"/>
                <w:color w:val="auto"/>
              </w:rPr>
            </w:pPr>
            <w:r>
              <w:rPr>
                <w:rFonts w:ascii="Arial" w:cs="Arial" w:eastAsia="Arial" w:hAnsi="Arial"/>
                <w:sz w:val="20"/>
                <w:szCs w:val="20"/>
                <w:color w:val="auto"/>
              </w:rPr>
              <w:t>6,350</w:t>
            </w:r>
          </w:p>
        </w:tc>
        <w:tc>
          <w:tcPr>
            <w:tcW w:w="880" w:type="dxa"/>
            <w:vAlign w:val="bottom"/>
          </w:tcPr>
          <w:p>
            <w:pPr>
              <w:jc w:val="right"/>
              <w:ind w:right="82"/>
              <w:spacing w:after="0" w:line="221" w:lineRule="exact"/>
              <w:rPr>
                <w:sz w:val="20"/>
                <w:szCs w:val="20"/>
                <w:color w:val="auto"/>
              </w:rPr>
            </w:pPr>
            <w:r>
              <w:rPr>
                <w:rFonts w:ascii="Arial" w:cs="Arial" w:eastAsia="Arial" w:hAnsi="Arial"/>
                <w:sz w:val="20"/>
                <w:szCs w:val="20"/>
                <w:color w:val="auto"/>
              </w:rPr>
              <w:t>5,196</w:t>
            </w:r>
          </w:p>
        </w:tc>
        <w:tc>
          <w:tcPr>
            <w:tcW w:w="1200" w:type="dxa"/>
            <w:vAlign w:val="bottom"/>
          </w:tcPr>
          <w:p>
            <w:pPr>
              <w:jc w:val="right"/>
              <w:ind w:right="202"/>
              <w:spacing w:after="0" w:line="221" w:lineRule="exact"/>
              <w:rPr>
                <w:sz w:val="20"/>
                <w:szCs w:val="20"/>
                <w:color w:val="auto"/>
              </w:rPr>
            </w:pPr>
            <w:r>
              <w:rPr>
                <w:rFonts w:ascii="Arial" w:cs="Arial" w:eastAsia="Arial" w:hAnsi="Arial"/>
                <w:sz w:val="20"/>
                <w:szCs w:val="20"/>
                <w:color w:val="auto"/>
              </w:rPr>
              <w:t>11,546</w:t>
            </w:r>
          </w:p>
        </w:tc>
        <w:tc>
          <w:tcPr>
            <w:tcW w:w="1060" w:type="dxa"/>
            <w:vAlign w:val="bottom"/>
          </w:tcPr>
          <w:p>
            <w:pPr>
              <w:jc w:val="right"/>
              <w:spacing w:after="0" w:line="221" w:lineRule="exact"/>
              <w:rPr>
                <w:sz w:val="20"/>
                <w:szCs w:val="20"/>
                <w:color w:val="auto"/>
              </w:rPr>
            </w:pPr>
            <w:r>
              <w:rPr>
                <w:rFonts w:ascii="Arial" w:cs="Arial" w:eastAsia="Arial" w:hAnsi="Arial"/>
                <w:sz w:val="20"/>
                <w:szCs w:val="20"/>
                <w:color w:val="auto"/>
              </w:rPr>
              <w:t>750,144</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60" w:type="dxa"/>
            <w:vAlign w:val="bottom"/>
            <w:tcBorders>
              <w:bottom w:val="single" w:sz="8" w:color="888992"/>
            </w:tcBorders>
            <w:shd w:val="clear" w:color="auto" w:fill="E3E5EB"/>
          </w:tcPr>
          <w:p>
            <w:pPr>
              <w:spacing w:after="0" w:line="221" w:lineRule="exact"/>
              <w:rPr>
                <w:sz w:val="20"/>
                <w:szCs w:val="20"/>
                <w:color w:val="auto"/>
              </w:rPr>
            </w:pPr>
            <w:r>
              <w:rPr>
                <w:rFonts w:ascii="Arial" w:cs="Arial" w:eastAsia="Arial" w:hAnsi="Arial"/>
                <w:sz w:val="20"/>
                <w:szCs w:val="20"/>
                <w:color w:val="auto"/>
              </w:rPr>
              <w:t>Mr. Schiavoni</w:t>
            </w:r>
          </w:p>
        </w:tc>
        <w:tc>
          <w:tcPr>
            <w:tcW w:w="2960" w:type="dxa"/>
            <w:vAlign w:val="bottom"/>
            <w:tcBorders>
              <w:bottom w:val="single" w:sz="8" w:color="888992"/>
            </w:tcBorders>
            <w:shd w:val="clear" w:color="auto" w:fill="E3E5EB"/>
          </w:tcPr>
          <w:p>
            <w:pPr>
              <w:jc w:val="right"/>
              <w:ind w:right="482"/>
              <w:spacing w:after="0" w:line="221" w:lineRule="exact"/>
              <w:rPr>
                <w:sz w:val="20"/>
                <w:szCs w:val="20"/>
                <w:color w:val="auto"/>
              </w:rPr>
            </w:pPr>
            <w:r>
              <w:rPr>
                <w:rFonts w:ascii="Arial" w:cs="Arial" w:eastAsia="Arial" w:hAnsi="Arial"/>
                <w:sz w:val="20"/>
                <w:szCs w:val="20"/>
                <w:color w:val="auto"/>
              </w:rPr>
              <w:t>8,466</w:t>
            </w:r>
          </w:p>
        </w:tc>
        <w:tc>
          <w:tcPr>
            <w:tcW w:w="880" w:type="dxa"/>
            <w:vAlign w:val="bottom"/>
            <w:tcBorders>
              <w:bottom w:val="single" w:sz="8" w:color="888992"/>
            </w:tcBorders>
            <w:shd w:val="clear" w:color="auto" w:fill="E3E5EB"/>
          </w:tcPr>
          <w:p>
            <w:pPr>
              <w:jc w:val="right"/>
              <w:ind w:right="82"/>
              <w:spacing w:after="0" w:line="221" w:lineRule="exact"/>
              <w:rPr>
                <w:sz w:val="20"/>
                <w:szCs w:val="20"/>
                <w:color w:val="auto"/>
              </w:rPr>
            </w:pPr>
            <w:r>
              <w:rPr>
                <w:rFonts w:ascii="Arial" w:cs="Arial" w:eastAsia="Arial" w:hAnsi="Arial"/>
                <w:sz w:val="20"/>
                <w:szCs w:val="20"/>
                <w:color w:val="auto"/>
              </w:rPr>
              <w:t>6,928</w:t>
            </w:r>
          </w:p>
        </w:tc>
        <w:tc>
          <w:tcPr>
            <w:tcW w:w="1200" w:type="dxa"/>
            <w:vAlign w:val="bottom"/>
            <w:tcBorders>
              <w:bottom w:val="single" w:sz="8" w:color="888992"/>
            </w:tcBorders>
            <w:shd w:val="clear" w:color="auto" w:fill="E3E5EB"/>
          </w:tcPr>
          <w:p>
            <w:pPr>
              <w:jc w:val="right"/>
              <w:ind w:right="202"/>
              <w:spacing w:after="0" w:line="221" w:lineRule="exact"/>
              <w:rPr>
                <w:sz w:val="20"/>
                <w:szCs w:val="20"/>
                <w:color w:val="auto"/>
              </w:rPr>
            </w:pPr>
            <w:r>
              <w:rPr>
                <w:rFonts w:ascii="Arial" w:cs="Arial" w:eastAsia="Arial" w:hAnsi="Arial"/>
                <w:sz w:val="20"/>
                <w:szCs w:val="20"/>
                <w:color w:val="auto"/>
              </w:rPr>
              <w:t>15,394</w:t>
            </w:r>
          </w:p>
        </w:tc>
        <w:tc>
          <w:tcPr>
            <w:tcW w:w="1060" w:type="dxa"/>
            <w:vAlign w:val="bottom"/>
            <w:tcBorders>
              <w:bottom w:val="single" w:sz="8" w:color="888992"/>
            </w:tcBorders>
            <w:shd w:val="clear" w:color="auto" w:fill="E3E5EB"/>
          </w:tcPr>
          <w:p>
            <w:pPr>
              <w:jc w:val="right"/>
              <w:spacing w:after="0" w:line="221" w:lineRule="exact"/>
              <w:rPr>
                <w:sz w:val="20"/>
                <w:szCs w:val="20"/>
                <w:color w:val="auto"/>
              </w:rPr>
            </w:pPr>
            <w:r>
              <w:rPr>
                <w:rFonts w:ascii="Arial" w:cs="Arial" w:eastAsia="Arial" w:hAnsi="Arial"/>
                <w:sz w:val="20"/>
                <w:szCs w:val="20"/>
                <w:color w:val="auto"/>
              </w:rPr>
              <w:t>1,000,148</w:t>
            </w:r>
          </w:p>
        </w:tc>
        <w:tc>
          <w:tcPr>
            <w:tcW w:w="0" w:type="dxa"/>
            <w:vAlign w:val="bottom"/>
          </w:tcPr>
          <w:p>
            <w:pPr>
              <w:spacing w:after="0"/>
              <w:rPr>
                <w:sz w:val="1"/>
                <w:szCs w:val="1"/>
                <w:color w:val="auto"/>
              </w:rPr>
            </w:pPr>
          </w:p>
        </w:tc>
      </w:tr>
    </w:tbl>
    <w:p>
      <w:pPr>
        <w:spacing w:after="0" w:line="302" w:lineRule="exact"/>
        <w:rPr>
          <w:sz w:val="20"/>
          <w:szCs w:val="20"/>
          <w:color w:val="auto"/>
        </w:rPr>
      </w:pPr>
    </w:p>
    <w:p>
      <w:pPr>
        <w:ind w:left="1860" w:right="60" w:hanging="490"/>
        <w:spacing w:after="0" w:line="279" w:lineRule="auto"/>
        <w:tabs>
          <w:tab w:leader="none" w:pos="1860" w:val="left"/>
        </w:tabs>
        <w:numPr>
          <w:ilvl w:val="0"/>
          <w:numId w:val="73"/>
        </w:numPr>
        <w:rPr>
          <w:rFonts w:ascii="Arial" w:cs="Arial" w:eastAsia="Arial" w:hAnsi="Arial"/>
          <w:sz w:val="16"/>
          <w:szCs w:val="16"/>
          <w:color w:val="auto"/>
        </w:rPr>
      </w:pPr>
      <w:r>
        <w:rPr>
          <w:rFonts w:ascii="Arial" w:cs="Arial" w:eastAsia="Arial" w:hAnsi="Arial"/>
          <w:sz w:val="16"/>
          <w:szCs w:val="16"/>
          <w:color w:val="auto"/>
        </w:rPr>
        <w:t>Based on the closing price of Pinnacle West common stock on the date of grant of $64.97 per share and the 2015 Performance Shares valued at 100% of the Base Grant, as defined below.</w:t>
      </w:r>
    </w:p>
    <w:p>
      <w:pPr>
        <w:spacing w:after="0" w:line="124" w:lineRule="exact"/>
        <w:rPr>
          <w:sz w:val="20"/>
          <w:szCs w:val="20"/>
          <w:color w:val="auto"/>
        </w:rPr>
      </w:pPr>
    </w:p>
    <w:p>
      <w:pPr>
        <w:ind w:right="220"/>
        <w:spacing w:after="0" w:line="236" w:lineRule="auto"/>
        <w:rPr>
          <w:sz w:val="20"/>
          <w:szCs w:val="20"/>
          <w:color w:val="auto"/>
        </w:rPr>
      </w:pPr>
      <w:r>
        <w:rPr>
          <w:rFonts w:ascii="Arial" w:cs="Arial" w:eastAsia="Arial" w:hAnsi="Arial"/>
          <w:sz w:val="20"/>
          <w:szCs w:val="20"/>
          <w:color w:val="auto"/>
        </w:rPr>
        <w:t>To determine the amount of performance share and RSU awards, the Committee first establishes a target compensation value for each officer that it wants to deliver through long-term equity award opportunities. The Committee considers various factors, including the retention value of the total compensation package, the long-term equity component in light of the competitive environment, and individual performance. The Committee also considers target value in light of the Company's achievement of earnings targets and overall performance. Once the target value is established, the Committee determines the number of shares subject to the awards by reference to the then-current market value of the Company's common stock and for 2015, then allocated 55% of the awards to performance shares and 45% of the awards to RSUs.</w:t>
      </w:r>
    </w:p>
    <w:p>
      <w:pPr>
        <w:spacing w:after="0" w:line="159" w:lineRule="exact"/>
        <w:rPr>
          <w:sz w:val="20"/>
          <w:szCs w:val="20"/>
          <w:color w:val="auto"/>
        </w:rPr>
      </w:pPr>
    </w:p>
    <w:p>
      <w:pPr>
        <w:ind w:right="640"/>
        <w:spacing w:after="0" w:line="265" w:lineRule="auto"/>
        <w:rPr>
          <w:sz w:val="20"/>
          <w:szCs w:val="20"/>
          <w:color w:val="auto"/>
        </w:rPr>
      </w:pPr>
      <w:r>
        <w:rPr>
          <w:rFonts w:ascii="Arial" w:cs="Arial" w:eastAsia="Arial" w:hAnsi="Arial"/>
          <w:sz w:val="20"/>
          <w:szCs w:val="20"/>
          <w:b w:val="1"/>
          <w:bCs w:val="1"/>
          <w:i w:val="1"/>
          <w:iCs w:val="1"/>
          <w:color w:val="auto"/>
        </w:rPr>
        <w:t xml:space="preserve">Performance Shares. </w:t>
      </w:r>
      <w:r>
        <w:rPr>
          <w:rFonts w:ascii="Arial" w:cs="Arial" w:eastAsia="Arial" w:hAnsi="Arial"/>
          <w:sz w:val="20"/>
          <w:szCs w:val="20"/>
          <w:color w:val="auto"/>
        </w:rPr>
        <w:t>We granted performance shares to our Named Executive Officers in February 2015 for a three-year</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performance period (the "2015 Performance Shares").</w:t>
      </w:r>
    </w:p>
    <w:p>
      <w:pPr>
        <w:spacing w:after="0" w:line="130" w:lineRule="exact"/>
        <w:rPr>
          <w:sz w:val="20"/>
          <w:szCs w:val="20"/>
          <w:color w:val="auto"/>
        </w:rPr>
      </w:pPr>
    </w:p>
    <w:p>
      <w:pPr>
        <w:spacing w:after="0"/>
        <w:rPr>
          <w:sz w:val="20"/>
          <w:szCs w:val="20"/>
          <w:color w:val="auto"/>
        </w:rPr>
      </w:pPr>
      <w:r>
        <w:rPr>
          <w:rFonts w:ascii="Arial" w:cs="Arial" w:eastAsia="Arial" w:hAnsi="Arial"/>
          <w:sz w:val="20"/>
          <w:szCs w:val="20"/>
          <w:color w:val="auto"/>
        </w:rPr>
        <w:t>The following graph illustrates how the 2015 Performance Shares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964565</wp:posOffset>
            </wp:positionH>
            <wp:positionV relativeFrom="paragraph">
              <wp:posOffset>137795</wp:posOffset>
            </wp:positionV>
            <wp:extent cx="5335270" cy="9188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5335270" cy="918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right="80"/>
        <w:spacing w:after="0" w:line="239" w:lineRule="auto"/>
        <w:rPr>
          <w:sz w:val="20"/>
          <w:szCs w:val="20"/>
          <w:color w:val="auto"/>
        </w:rPr>
      </w:pPr>
      <w:r>
        <w:rPr>
          <w:rFonts w:ascii="Arial" w:cs="Arial" w:eastAsia="Arial" w:hAnsi="Arial"/>
          <w:sz w:val="20"/>
          <w:szCs w:val="20"/>
          <w:color w:val="auto"/>
        </w:rPr>
        <w:t>The Committee grants each award recipient a specified number of performance shares, which is considered the "Base Grant." The maximum award opportunity is 200% of the Base Grant. The 2015 Performance Shares have two distinct elements — TSR and six operational performance metrics. The TSR metric provides a well-understood linkage to overall shareholder return. The operational performance metrics provide a clear line of sight to factors in the utility industry that drive management performance to increase earnings. We believe that the</w:t>
      </w:r>
    </w:p>
    <w:p>
      <w:pPr>
        <w:spacing w:after="0" w:line="236"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99695</wp:posOffset>
            </wp:positionV>
            <wp:extent cx="7263765" cy="2032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type w:val="continuous"/>
        </w:sectPr>
      </w:pPr>
    </w:p>
    <w:bookmarkStart w:id="66" w:name="page67"/>
    <w:bookmarkEnd w:id="66"/>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jc w:val="center"/>
        <w:ind w:right="598"/>
        <w:spacing w:after="0" w:line="292" w:lineRule="auto"/>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color w:val="000000"/>
        </w:rPr>
        <w:t>combination of these two elements in the same equity award provides a mix of motivations for</w:t>
      </w:r>
      <w:r>
        <w:rPr>
          <w:rFonts w:ascii="Arial" w:cs="Arial" w:eastAsia="Arial" w:hAnsi="Arial"/>
          <w:sz w:val="13"/>
          <w:szCs w:val="13"/>
          <w:b w:val="1"/>
          <w:bCs w:val="1"/>
          <w:color w:val="FFFFFE"/>
        </w:rPr>
        <w:t xml:space="preserve"> </w:t>
      </w:r>
      <w:r>
        <w:rPr>
          <w:rFonts w:ascii="Arial" w:cs="Arial" w:eastAsia="Arial" w:hAnsi="Arial"/>
          <w:sz w:val="19"/>
          <w:szCs w:val="19"/>
          <w:color w:val="000000"/>
        </w:rPr>
        <w:t>performance that is superior to utilizing all of one element or the other.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-318135</wp:posOffset>
            </wp:positionV>
            <wp:extent cx="1487805" cy="15557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303" w:lineRule="exact"/>
        <w:rPr>
          <w:sz w:val="20"/>
          <w:szCs w:val="20"/>
          <w:color w:val="auto"/>
        </w:rPr>
      </w:pPr>
    </w:p>
    <w:tbl>
      <w:tblPr>
        <w:tblLayout w:type="fixed"/>
        <w:tblInd w:w="102" w:type="dxa"/>
        <w:tblCellMar>
          <w:top w:w="0" w:type="dxa"/>
          <w:left w:w="0" w:type="dxa"/>
          <w:bottom w:w="0" w:type="dxa"/>
          <w:right w:w="0" w:type="dxa"/>
        </w:tblCellMar>
      </w:tblPr>
      <w:tr>
        <w:trPr>
          <w:trHeight w:val="278"/>
        </w:trPr>
        <w:tc>
          <w:tcPr>
            <w:tcW w:w="4220" w:type="dxa"/>
            <w:vAlign w:val="bottom"/>
          </w:tcPr>
          <w:p>
            <w:pPr>
              <w:spacing w:after="0"/>
              <w:rPr>
                <w:sz w:val="24"/>
                <w:szCs w:val="24"/>
                <w:color w:val="auto"/>
              </w:rPr>
            </w:pPr>
          </w:p>
        </w:tc>
        <w:tc>
          <w:tcPr>
            <w:tcW w:w="7200" w:type="dxa"/>
            <w:vAlign w:val="bottom"/>
          </w:tcPr>
          <w:p>
            <w:pPr>
              <w:ind w:left="320"/>
              <w:spacing w:after="0"/>
              <w:rPr>
                <w:sz w:val="20"/>
                <w:szCs w:val="20"/>
                <w:color w:val="auto"/>
              </w:rPr>
            </w:pPr>
            <w:r>
              <w:rPr>
                <w:rFonts w:ascii="Arial" w:cs="Arial" w:eastAsia="Arial" w:hAnsi="Arial"/>
                <w:sz w:val="20"/>
                <w:szCs w:val="20"/>
                <w:b w:val="1"/>
                <w:bCs w:val="1"/>
                <w:color w:val="auto"/>
              </w:rPr>
              <w:t>50% of the Base Grant</w:t>
            </w:r>
          </w:p>
        </w:tc>
        <w:tc>
          <w:tcPr>
            <w:tcW w:w="0" w:type="dxa"/>
            <w:vAlign w:val="bottom"/>
          </w:tcPr>
          <w:p>
            <w:pPr>
              <w:spacing w:after="0"/>
              <w:rPr>
                <w:sz w:val="1"/>
                <w:szCs w:val="1"/>
                <w:color w:val="auto"/>
              </w:rPr>
            </w:pPr>
          </w:p>
        </w:tc>
      </w:tr>
      <w:tr>
        <w:trPr>
          <w:trHeight w:val="704"/>
        </w:trPr>
        <w:tc>
          <w:tcPr>
            <w:tcW w:w="4220" w:type="dxa"/>
            <w:vAlign w:val="bottom"/>
          </w:tcPr>
          <w:p>
            <w:pPr>
              <w:spacing w:after="0"/>
              <w:rPr>
                <w:sz w:val="20"/>
                <w:szCs w:val="20"/>
                <w:color w:val="auto"/>
              </w:rPr>
            </w:pPr>
            <w:r>
              <w:rPr>
                <w:rFonts w:ascii="Arial" w:cs="Arial" w:eastAsia="Arial" w:hAnsi="Arial"/>
                <w:sz w:val="20"/>
                <w:szCs w:val="20"/>
                <w:b w:val="1"/>
                <w:bCs w:val="1"/>
                <w:color w:val="3A5575"/>
              </w:rPr>
              <w:t>IF THE COMPANY'S TSR OVER THE</w:t>
            </w:r>
          </w:p>
        </w:tc>
        <w:tc>
          <w:tcPr>
            <w:tcW w:w="7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1"/>
        </w:trPr>
        <w:tc>
          <w:tcPr>
            <w:tcW w:w="4220" w:type="dxa"/>
            <w:vAlign w:val="bottom"/>
          </w:tcPr>
          <w:p>
            <w:pPr>
              <w:spacing w:after="0" w:line="221" w:lineRule="exact"/>
              <w:rPr>
                <w:sz w:val="20"/>
                <w:szCs w:val="20"/>
                <w:color w:val="auto"/>
              </w:rPr>
            </w:pPr>
            <w:r>
              <w:rPr>
                <w:rFonts w:ascii="Arial" w:cs="Arial" w:eastAsia="Arial" w:hAnsi="Arial"/>
                <w:sz w:val="20"/>
                <w:szCs w:val="20"/>
                <w:b w:val="1"/>
                <w:bCs w:val="1"/>
                <w:color w:val="3A5575"/>
              </w:rPr>
              <w:t>PERFORMANCE PERIOD AS COMPARED</w:t>
            </w:r>
          </w:p>
        </w:tc>
        <w:tc>
          <w:tcPr>
            <w:tcW w:w="7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4220" w:type="dxa"/>
            <w:vAlign w:val="bottom"/>
          </w:tcPr>
          <w:p>
            <w:pPr>
              <w:spacing w:after="0" w:line="221" w:lineRule="exact"/>
              <w:rPr>
                <w:sz w:val="20"/>
                <w:szCs w:val="20"/>
                <w:color w:val="auto"/>
              </w:rPr>
            </w:pPr>
            <w:r>
              <w:rPr>
                <w:rFonts w:ascii="Arial" w:cs="Arial" w:eastAsia="Arial" w:hAnsi="Arial"/>
                <w:sz w:val="20"/>
                <w:szCs w:val="20"/>
                <w:b w:val="1"/>
                <w:bCs w:val="1"/>
                <w:color w:val="3A5575"/>
              </w:rPr>
              <w:t>TO THE TSR OF THE COMPANIES IN THE</w:t>
            </w:r>
          </w:p>
        </w:tc>
        <w:tc>
          <w:tcPr>
            <w:tcW w:w="720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8"/>
              </w:rPr>
              <w:t>THE NUMBER OF</w:t>
            </w:r>
          </w:p>
        </w:tc>
        <w:tc>
          <w:tcPr>
            <w:tcW w:w="0" w:type="dxa"/>
            <w:vAlign w:val="bottom"/>
          </w:tcPr>
          <w:p>
            <w:pPr>
              <w:spacing w:after="0"/>
              <w:rPr>
                <w:sz w:val="1"/>
                <w:szCs w:val="1"/>
                <w:color w:val="auto"/>
              </w:rPr>
            </w:pPr>
          </w:p>
        </w:tc>
      </w:tr>
      <w:tr>
        <w:trPr>
          <w:trHeight w:val="221"/>
        </w:trPr>
        <w:tc>
          <w:tcPr>
            <w:tcW w:w="4220" w:type="dxa"/>
            <w:vAlign w:val="bottom"/>
          </w:tcPr>
          <w:p>
            <w:pPr>
              <w:spacing w:after="0" w:line="221" w:lineRule="exact"/>
              <w:rPr>
                <w:sz w:val="20"/>
                <w:szCs w:val="20"/>
                <w:color w:val="auto"/>
              </w:rPr>
            </w:pPr>
            <w:r>
              <w:rPr>
                <w:rFonts w:ascii="Arial" w:cs="Arial" w:eastAsia="Arial" w:hAnsi="Arial"/>
                <w:sz w:val="20"/>
                <w:szCs w:val="20"/>
                <w:b w:val="1"/>
                <w:bCs w:val="1"/>
                <w:color w:val="3A5575"/>
              </w:rPr>
              <w:t>S&amp;P 1500 SUPER COMPOSITE ELECTRIC</w:t>
            </w:r>
          </w:p>
        </w:tc>
        <w:tc>
          <w:tcPr>
            <w:tcW w:w="720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55"/>
        </w:trPr>
        <w:tc>
          <w:tcPr>
            <w:tcW w:w="4220" w:type="dxa"/>
            <w:vAlign w:val="bottom"/>
            <w:tcBorders>
              <w:bottom w:val="single" w:sz="8" w:color="888992"/>
            </w:tcBorders>
          </w:tcPr>
          <w:p>
            <w:pPr>
              <w:spacing w:after="0"/>
              <w:rPr>
                <w:sz w:val="20"/>
                <w:szCs w:val="20"/>
                <w:color w:val="auto"/>
              </w:rPr>
            </w:pPr>
            <w:r>
              <w:rPr>
                <w:rFonts w:ascii="Arial" w:cs="Arial" w:eastAsia="Arial" w:hAnsi="Arial"/>
                <w:sz w:val="20"/>
                <w:szCs w:val="20"/>
                <w:b w:val="1"/>
                <w:bCs w:val="1"/>
                <w:color w:val="3A5575"/>
              </w:rPr>
              <w:t>UTILITY INDEX (THE "INDEX") IS:</w:t>
            </w:r>
          </w:p>
        </w:tc>
        <w:tc>
          <w:tcPr>
            <w:tcW w:w="7200" w:type="dxa"/>
            <w:vAlign w:val="bottom"/>
            <w:tcBorders>
              <w:bottom w:val="single" w:sz="8" w:color="888992"/>
            </w:tcBorders>
          </w:tcPr>
          <w:p>
            <w:pPr>
              <w:jc w:val="center"/>
              <w:spacing w:after="0"/>
              <w:rPr>
                <w:sz w:val="20"/>
                <w:szCs w:val="20"/>
                <w:color w:val="auto"/>
              </w:rPr>
            </w:pPr>
            <w:r>
              <w:rPr>
                <w:rFonts w:ascii="Arial" w:cs="Arial" w:eastAsia="Arial" w:hAnsi="Arial"/>
                <w:sz w:val="20"/>
                <w:szCs w:val="20"/>
                <w:b w:val="1"/>
                <w:bCs w:val="1"/>
                <w:color w:val="3A5575"/>
                <w:w w:val="98"/>
              </w:rPr>
              <w:t>PERFORMANCE SHARES WILL BE:</w:t>
            </w:r>
          </w:p>
        </w:tc>
        <w:tc>
          <w:tcPr>
            <w:tcW w:w="0" w:type="dxa"/>
            <w:vAlign w:val="bottom"/>
          </w:tcPr>
          <w:p>
            <w:pPr>
              <w:spacing w:after="0"/>
              <w:rPr>
                <w:sz w:val="1"/>
                <w:szCs w:val="1"/>
                <w:color w:val="auto"/>
              </w:rPr>
            </w:pPr>
          </w:p>
        </w:tc>
      </w:tr>
      <w:tr>
        <w:trPr>
          <w:trHeight w:val="262"/>
        </w:trPr>
        <w:tc>
          <w:tcPr>
            <w:tcW w:w="4220" w:type="dxa"/>
            <w:vAlign w:val="bottom"/>
            <w:shd w:val="clear" w:color="auto" w:fill="E3E5EB"/>
          </w:tcPr>
          <w:p>
            <w:pPr>
              <w:spacing w:after="0" w:line="262" w:lineRule="exact"/>
              <w:rPr>
                <w:sz w:val="20"/>
                <w:szCs w:val="20"/>
                <w:color w:val="auto"/>
              </w:rPr>
            </w:pPr>
            <w:r>
              <w:rPr>
                <w:rFonts w:ascii="Arial" w:cs="Arial" w:eastAsia="Arial" w:hAnsi="Arial"/>
                <w:sz w:val="19"/>
                <w:szCs w:val="19"/>
                <w:color w:val="auto"/>
              </w:rPr>
              <w:t>90</w:t>
            </w:r>
            <w:r>
              <w:rPr>
                <w:rFonts w:ascii="Arial" w:cs="Arial" w:eastAsia="Arial" w:hAnsi="Arial"/>
                <w:sz w:val="30"/>
                <w:szCs w:val="30"/>
                <w:color w:val="auto"/>
                <w:vertAlign w:val="superscript"/>
              </w:rPr>
              <w:t>th</w:t>
            </w:r>
            <w:r>
              <w:rPr>
                <w:rFonts w:ascii="Arial" w:cs="Arial" w:eastAsia="Arial" w:hAnsi="Arial"/>
                <w:sz w:val="19"/>
                <w:szCs w:val="19"/>
                <w:color w:val="auto"/>
              </w:rPr>
              <w:t xml:space="preserve"> Percentile or Greater</w:t>
            </w:r>
          </w:p>
        </w:tc>
        <w:tc>
          <w:tcPr>
            <w:tcW w:w="7200" w:type="dxa"/>
            <w:vAlign w:val="bottom"/>
            <w:shd w:val="clear" w:color="auto" w:fill="E3E5EB"/>
          </w:tcPr>
          <w:p>
            <w:pPr>
              <w:jc w:val="center"/>
              <w:spacing w:after="0"/>
              <w:rPr>
                <w:sz w:val="20"/>
                <w:szCs w:val="20"/>
                <w:color w:val="auto"/>
              </w:rPr>
            </w:pPr>
            <w:r>
              <w:rPr>
                <w:rFonts w:ascii="Arial" w:cs="Arial" w:eastAsia="Arial" w:hAnsi="Arial"/>
                <w:sz w:val="20"/>
                <w:szCs w:val="20"/>
                <w:color w:val="auto"/>
                <w:w w:val="98"/>
              </w:rPr>
              <w:t>100% of the Base Grant</w:t>
            </w:r>
          </w:p>
        </w:tc>
        <w:tc>
          <w:tcPr>
            <w:tcW w:w="0" w:type="dxa"/>
            <w:vAlign w:val="bottom"/>
          </w:tcPr>
          <w:p>
            <w:pPr>
              <w:spacing w:after="0"/>
              <w:rPr>
                <w:sz w:val="1"/>
                <w:szCs w:val="1"/>
                <w:color w:val="auto"/>
              </w:rPr>
            </w:pPr>
          </w:p>
        </w:tc>
      </w:tr>
      <w:tr>
        <w:trPr>
          <w:trHeight w:val="270"/>
        </w:trPr>
        <w:tc>
          <w:tcPr>
            <w:tcW w:w="4220" w:type="dxa"/>
            <w:vAlign w:val="bottom"/>
          </w:tcPr>
          <w:p>
            <w:pPr>
              <w:spacing w:after="0" w:line="269" w:lineRule="exact"/>
              <w:rPr>
                <w:sz w:val="20"/>
                <w:szCs w:val="20"/>
                <w:color w:val="auto"/>
              </w:rPr>
            </w:pPr>
            <w:r>
              <w:rPr>
                <w:rFonts w:ascii="Arial" w:cs="Arial" w:eastAsia="Arial" w:hAnsi="Arial"/>
                <w:sz w:val="19"/>
                <w:szCs w:val="19"/>
                <w:color w:val="auto"/>
              </w:rPr>
              <w:t>75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200" w:type="dxa"/>
            <w:vAlign w:val="bottom"/>
          </w:tcPr>
          <w:p>
            <w:pPr>
              <w:jc w:val="center"/>
              <w:spacing w:after="0"/>
              <w:rPr>
                <w:sz w:val="20"/>
                <w:szCs w:val="20"/>
                <w:color w:val="auto"/>
              </w:rPr>
            </w:pPr>
            <w:r>
              <w:rPr>
                <w:rFonts w:ascii="Arial" w:cs="Arial" w:eastAsia="Arial" w:hAnsi="Arial"/>
                <w:sz w:val="20"/>
                <w:szCs w:val="20"/>
                <w:color w:val="auto"/>
                <w:w w:val="97"/>
              </w:rPr>
              <w:t>75% of the Base Grant</w:t>
            </w:r>
          </w:p>
        </w:tc>
        <w:tc>
          <w:tcPr>
            <w:tcW w:w="0" w:type="dxa"/>
            <w:vAlign w:val="bottom"/>
          </w:tcPr>
          <w:p>
            <w:pPr>
              <w:spacing w:after="0"/>
              <w:rPr>
                <w:sz w:val="1"/>
                <w:szCs w:val="1"/>
                <w:color w:val="auto"/>
              </w:rPr>
            </w:pPr>
          </w:p>
        </w:tc>
      </w:tr>
      <w:tr>
        <w:trPr>
          <w:trHeight w:val="270"/>
        </w:trPr>
        <w:tc>
          <w:tcPr>
            <w:tcW w:w="4220" w:type="dxa"/>
            <w:vAlign w:val="bottom"/>
            <w:shd w:val="clear" w:color="auto" w:fill="E3E5EB"/>
          </w:tcPr>
          <w:p>
            <w:pPr>
              <w:spacing w:after="0" w:line="269" w:lineRule="exact"/>
              <w:rPr>
                <w:sz w:val="20"/>
                <w:szCs w:val="20"/>
                <w:color w:val="auto"/>
              </w:rPr>
            </w:pPr>
            <w:r>
              <w:rPr>
                <w:rFonts w:ascii="Arial" w:cs="Arial" w:eastAsia="Arial" w:hAnsi="Arial"/>
                <w:sz w:val="19"/>
                <w:szCs w:val="19"/>
                <w:color w:val="auto"/>
              </w:rPr>
              <w:t>50</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200" w:type="dxa"/>
            <w:vAlign w:val="bottom"/>
            <w:shd w:val="clear" w:color="auto" w:fill="E3E5EB"/>
          </w:tcPr>
          <w:p>
            <w:pPr>
              <w:jc w:val="center"/>
              <w:spacing w:after="0"/>
              <w:rPr>
                <w:sz w:val="20"/>
                <w:szCs w:val="20"/>
                <w:color w:val="auto"/>
              </w:rPr>
            </w:pPr>
            <w:r>
              <w:rPr>
                <w:rFonts w:ascii="Arial" w:cs="Arial" w:eastAsia="Arial" w:hAnsi="Arial"/>
                <w:sz w:val="20"/>
                <w:szCs w:val="20"/>
                <w:color w:val="auto"/>
                <w:w w:val="97"/>
              </w:rPr>
              <w:t>50% of the Base Grant</w:t>
            </w:r>
          </w:p>
        </w:tc>
        <w:tc>
          <w:tcPr>
            <w:tcW w:w="0" w:type="dxa"/>
            <w:vAlign w:val="bottom"/>
          </w:tcPr>
          <w:p>
            <w:pPr>
              <w:spacing w:after="0"/>
              <w:rPr>
                <w:sz w:val="1"/>
                <w:szCs w:val="1"/>
                <w:color w:val="auto"/>
              </w:rPr>
            </w:pPr>
          </w:p>
        </w:tc>
      </w:tr>
      <w:tr>
        <w:trPr>
          <w:trHeight w:val="270"/>
        </w:trPr>
        <w:tc>
          <w:tcPr>
            <w:tcW w:w="4220" w:type="dxa"/>
            <w:vAlign w:val="bottom"/>
          </w:tcPr>
          <w:p>
            <w:pPr>
              <w:spacing w:after="0" w:line="269" w:lineRule="exact"/>
              <w:rPr>
                <w:sz w:val="20"/>
                <w:szCs w:val="20"/>
                <w:color w:val="auto"/>
              </w:rPr>
            </w:pPr>
            <w:r>
              <w:rPr>
                <w:rFonts w:ascii="Arial" w:cs="Arial" w:eastAsia="Arial" w:hAnsi="Arial"/>
                <w:sz w:val="19"/>
                <w:szCs w:val="19"/>
                <w:color w:val="auto"/>
              </w:rPr>
              <w:t>25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200" w:type="dxa"/>
            <w:vAlign w:val="bottom"/>
          </w:tcPr>
          <w:p>
            <w:pPr>
              <w:jc w:val="center"/>
              <w:spacing w:after="0"/>
              <w:rPr>
                <w:sz w:val="20"/>
                <w:szCs w:val="20"/>
                <w:color w:val="auto"/>
              </w:rPr>
            </w:pPr>
            <w:r>
              <w:rPr>
                <w:rFonts w:ascii="Arial" w:cs="Arial" w:eastAsia="Arial" w:hAnsi="Arial"/>
                <w:sz w:val="20"/>
                <w:szCs w:val="20"/>
                <w:color w:val="auto"/>
                <w:w w:val="97"/>
              </w:rPr>
              <w:t>25% of the Base Grant</w:t>
            </w:r>
          </w:p>
        </w:tc>
        <w:tc>
          <w:tcPr>
            <w:tcW w:w="0" w:type="dxa"/>
            <w:vAlign w:val="bottom"/>
          </w:tcPr>
          <w:p>
            <w:pPr>
              <w:spacing w:after="0"/>
              <w:rPr>
                <w:sz w:val="1"/>
                <w:szCs w:val="1"/>
                <w:color w:val="auto"/>
              </w:rPr>
            </w:pPr>
          </w:p>
        </w:tc>
      </w:tr>
      <w:tr>
        <w:trPr>
          <w:trHeight w:val="270"/>
        </w:trPr>
        <w:tc>
          <w:tcPr>
            <w:tcW w:w="4220" w:type="dxa"/>
            <w:vAlign w:val="bottom"/>
            <w:tcBorders>
              <w:bottom w:val="single" w:sz="8" w:color="888992"/>
            </w:tcBorders>
            <w:shd w:val="clear" w:color="auto" w:fill="E3E5EB"/>
          </w:tcPr>
          <w:p>
            <w:pPr>
              <w:spacing w:after="0" w:line="269" w:lineRule="exact"/>
              <w:rPr>
                <w:sz w:val="20"/>
                <w:szCs w:val="20"/>
                <w:color w:val="auto"/>
              </w:rPr>
            </w:pPr>
            <w:r>
              <w:rPr>
                <w:rFonts w:ascii="Arial" w:cs="Arial" w:eastAsia="Arial" w:hAnsi="Arial"/>
                <w:sz w:val="19"/>
                <w:szCs w:val="19"/>
                <w:color w:val="auto"/>
              </w:rPr>
              <w:t>Less than 25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200" w:type="dxa"/>
            <w:vAlign w:val="bottom"/>
            <w:tcBorders>
              <w:bottom w:val="single" w:sz="8" w:color="888992"/>
            </w:tcBorders>
            <w:shd w:val="clear" w:color="auto" w:fill="E3E5EB"/>
          </w:tcPr>
          <w:p>
            <w:pPr>
              <w:jc w:val="center"/>
              <w:spacing w:after="0"/>
              <w:rPr>
                <w:sz w:val="20"/>
                <w:szCs w:val="20"/>
                <w:color w:val="auto"/>
              </w:rPr>
            </w:pPr>
            <w:r>
              <w:rPr>
                <w:rFonts w:ascii="Arial" w:cs="Arial" w:eastAsia="Arial" w:hAnsi="Arial"/>
                <w:sz w:val="20"/>
                <w:szCs w:val="20"/>
                <w:color w:val="auto"/>
                <w:w w:val="96"/>
              </w:rPr>
              <w:t>None</w:t>
            </w:r>
          </w:p>
        </w:tc>
        <w:tc>
          <w:tcPr>
            <w:tcW w:w="0" w:type="dxa"/>
            <w:vAlign w:val="bottom"/>
          </w:tcPr>
          <w:p>
            <w:pPr>
              <w:spacing w:after="0"/>
              <w:rPr>
                <w:sz w:val="1"/>
                <w:szCs w:val="1"/>
                <w:color w:val="auto"/>
              </w:rPr>
            </w:pPr>
          </w:p>
        </w:tc>
      </w:tr>
    </w:tbl>
    <w:p>
      <w:pPr>
        <w:spacing w:after="0" w:line="277" w:lineRule="exact"/>
        <w:rPr>
          <w:sz w:val="20"/>
          <w:szCs w:val="20"/>
          <w:color w:val="auto"/>
        </w:rPr>
      </w:pPr>
    </w:p>
    <w:p>
      <w:pPr>
        <w:ind w:left="2" w:right="280"/>
        <w:spacing w:after="0" w:line="242" w:lineRule="auto"/>
        <w:rPr>
          <w:sz w:val="20"/>
          <w:szCs w:val="20"/>
          <w:color w:val="auto"/>
        </w:rPr>
      </w:pPr>
      <w:r>
        <w:rPr>
          <w:rFonts w:ascii="Arial" w:cs="Arial" w:eastAsia="Arial" w:hAnsi="Arial"/>
          <w:sz w:val="20"/>
          <w:szCs w:val="20"/>
          <w:color w:val="auto"/>
        </w:rPr>
        <w:t>TSR is the measure of a company's stock price appreciation plus any dividends paid during the performance period. We believe using TSR strengthens the link between officer performance and shareholder return. Additionally, TSR is the most prevalent long-term incentive metric used among the Peer Group. We anticipate that the common stock payout, if any, related to this element will be made in February 2018.</w:t>
      </w:r>
    </w:p>
    <w:p>
      <w:pPr>
        <w:spacing w:after="0" w:line="369" w:lineRule="exact"/>
        <w:rPr>
          <w:sz w:val="20"/>
          <w:szCs w:val="20"/>
          <w:color w:val="auto"/>
        </w:rPr>
      </w:pPr>
    </w:p>
    <w:tbl>
      <w:tblPr>
        <w:tblLayout w:type="fixed"/>
        <w:tblInd w:w="102" w:type="dxa"/>
        <w:tblCellMar>
          <w:top w:w="0" w:type="dxa"/>
          <w:left w:w="0" w:type="dxa"/>
          <w:bottom w:w="0" w:type="dxa"/>
          <w:right w:w="0" w:type="dxa"/>
        </w:tblCellMar>
      </w:tblPr>
      <w:tr>
        <w:trPr>
          <w:trHeight w:val="278"/>
        </w:trPr>
        <w:tc>
          <w:tcPr>
            <w:tcW w:w="3960" w:type="dxa"/>
            <w:vAlign w:val="bottom"/>
          </w:tcPr>
          <w:p>
            <w:pPr>
              <w:spacing w:after="0"/>
              <w:rPr>
                <w:sz w:val="24"/>
                <w:szCs w:val="24"/>
                <w:color w:val="auto"/>
              </w:rPr>
            </w:pPr>
          </w:p>
        </w:tc>
        <w:tc>
          <w:tcPr>
            <w:tcW w:w="7460" w:type="dxa"/>
            <w:vAlign w:val="bottom"/>
          </w:tcPr>
          <w:p>
            <w:pPr>
              <w:ind w:left="580"/>
              <w:spacing w:after="0"/>
              <w:rPr>
                <w:sz w:val="20"/>
                <w:szCs w:val="20"/>
                <w:color w:val="auto"/>
              </w:rPr>
            </w:pPr>
            <w:r>
              <w:rPr>
                <w:rFonts w:ascii="Arial" w:cs="Arial" w:eastAsia="Arial" w:hAnsi="Arial"/>
                <w:sz w:val="20"/>
                <w:szCs w:val="20"/>
                <w:b w:val="1"/>
                <w:bCs w:val="1"/>
                <w:color w:val="auto"/>
              </w:rPr>
              <w:t>50% of the Base Grant</w:t>
            </w:r>
          </w:p>
        </w:tc>
        <w:tc>
          <w:tcPr>
            <w:tcW w:w="0" w:type="dxa"/>
            <w:vAlign w:val="bottom"/>
          </w:tcPr>
          <w:p>
            <w:pPr>
              <w:spacing w:after="0"/>
              <w:rPr>
                <w:sz w:val="1"/>
                <w:szCs w:val="1"/>
                <w:color w:val="auto"/>
              </w:rPr>
            </w:pPr>
          </w:p>
        </w:tc>
      </w:tr>
      <w:tr>
        <w:trPr>
          <w:trHeight w:val="704"/>
        </w:trPr>
        <w:tc>
          <w:tcPr>
            <w:tcW w:w="3960" w:type="dxa"/>
            <w:vAlign w:val="bottom"/>
          </w:tcPr>
          <w:p>
            <w:pPr>
              <w:spacing w:after="0"/>
              <w:rPr>
                <w:sz w:val="20"/>
                <w:szCs w:val="20"/>
                <w:color w:val="auto"/>
              </w:rPr>
            </w:pPr>
            <w:r>
              <w:rPr>
                <w:rFonts w:ascii="Arial" w:cs="Arial" w:eastAsia="Arial" w:hAnsi="Arial"/>
                <w:sz w:val="20"/>
                <w:szCs w:val="20"/>
                <w:b w:val="1"/>
                <w:bCs w:val="1"/>
                <w:color w:val="3A5575"/>
              </w:rPr>
              <w:t>IF THE COMPANY'S AVERAGE</w:t>
            </w:r>
          </w:p>
        </w:tc>
        <w:tc>
          <w:tcPr>
            <w:tcW w:w="7460" w:type="dxa"/>
            <w:vAlign w:val="bottom"/>
            <w:vMerge w:val="restart"/>
          </w:tcPr>
          <w:p>
            <w:pPr>
              <w:jc w:val="center"/>
              <w:ind w:left="482"/>
              <w:spacing w:after="0"/>
              <w:rPr>
                <w:sz w:val="20"/>
                <w:szCs w:val="20"/>
                <w:color w:val="auto"/>
              </w:rPr>
            </w:pPr>
            <w:r>
              <w:rPr>
                <w:rFonts w:ascii="Arial" w:cs="Arial" w:eastAsia="Arial" w:hAnsi="Arial"/>
                <w:sz w:val="20"/>
                <w:szCs w:val="20"/>
                <w:b w:val="1"/>
                <w:bCs w:val="1"/>
                <w:color w:val="3A5575"/>
                <w:w w:val="98"/>
              </w:rPr>
              <w:t>THE NUMBER OF</w:t>
            </w:r>
          </w:p>
        </w:tc>
        <w:tc>
          <w:tcPr>
            <w:tcW w:w="0" w:type="dxa"/>
            <w:vAlign w:val="bottom"/>
          </w:tcPr>
          <w:p>
            <w:pPr>
              <w:spacing w:after="0"/>
              <w:rPr>
                <w:sz w:val="1"/>
                <w:szCs w:val="1"/>
                <w:color w:val="auto"/>
              </w:rPr>
            </w:pPr>
          </w:p>
        </w:tc>
      </w:tr>
      <w:tr>
        <w:trPr>
          <w:trHeight w:val="221"/>
        </w:trPr>
        <w:tc>
          <w:tcPr>
            <w:tcW w:w="3960" w:type="dxa"/>
            <w:vAlign w:val="bottom"/>
          </w:tcPr>
          <w:p>
            <w:pPr>
              <w:spacing w:after="0" w:line="221" w:lineRule="exact"/>
              <w:rPr>
                <w:sz w:val="20"/>
                <w:szCs w:val="20"/>
                <w:color w:val="auto"/>
              </w:rPr>
            </w:pPr>
            <w:r>
              <w:rPr>
                <w:rFonts w:ascii="Arial" w:cs="Arial" w:eastAsia="Arial" w:hAnsi="Arial"/>
                <w:sz w:val="20"/>
                <w:szCs w:val="20"/>
                <w:b w:val="1"/>
                <w:bCs w:val="1"/>
                <w:color w:val="3A5575"/>
              </w:rPr>
              <w:t>PERFORMANCE WITH RESPECT TO</w:t>
            </w:r>
          </w:p>
        </w:tc>
        <w:tc>
          <w:tcPr>
            <w:tcW w:w="746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55"/>
        </w:trPr>
        <w:tc>
          <w:tcPr>
            <w:tcW w:w="3960" w:type="dxa"/>
            <w:vAlign w:val="bottom"/>
            <w:tcBorders>
              <w:bottom w:val="single" w:sz="8" w:color="888992"/>
            </w:tcBorders>
          </w:tcPr>
          <w:p>
            <w:pPr>
              <w:spacing w:after="0"/>
              <w:rPr>
                <w:sz w:val="20"/>
                <w:szCs w:val="20"/>
                <w:color w:val="auto"/>
              </w:rPr>
            </w:pPr>
            <w:r>
              <w:rPr>
                <w:rFonts w:ascii="Arial" w:cs="Arial" w:eastAsia="Arial" w:hAnsi="Arial"/>
                <w:sz w:val="20"/>
                <w:szCs w:val="20"/>
                <w:b w:val="1"/>
                <w:bCs w:val="1"/>
                <w:color w:val="3A5575"/>
              </w:rPr>
              <w:t>THE PERFORMANCE METRICS IS:</w:t>
            </w:r>
          </w:p>
        </w:tc>
        <w:tc>
          <w:tcPr>
            <w:tcW w:w="7460" w:type="dxa"/>
            <w:vAlign w:val="bottom"/>
            <w:tcBorders>
              <w:bottom w:val="single" w:sz="8" w:color="888992"/>
            </w:tcBorders>
          </w:tcPr>
          <w:p>
            <w:pPr>
              <w:jc w:val="center"/>
              <w:ind w:left="482"/>
              <w:spacing w:after="0"/>
              <w:rPr>
                <w:sz w:val="20"/>
                <w:szCs w:val="20"/>
                <w:color w:val="auto"/>
              </w:rPr>
            </w:pPr>
            <w:r>
              <w:rPr>
                <w:rFonts w:ascii="Arial" w:cs="Arial" w:eastAsia="Arial" w:hAnsi="Arial"/>
                <w:sz w:val="20"/>
                <w:szCs w:val="20"/>
                <w:b w:val="1"/>
                <w:bCs w:val="1"/>
                <w:color w:val="3A5575"/>
                <w:w w:val="97"/>
              </w:rPr>
              <w:t>PERFORMANCE SHARES WILL BE:</w:t>
            </w:r>
          </w:p>
        </w:tc>
        <w:tc>
          <w:tcPr>
            <w:tcW w:w="0" w:type="dxa"/>
            <w:vAlign w:val="bottom"/>
          </w:tcPr>
          <w:p>
            <w:pPr>
              <w:spacing w:after="0"/>
              <w:rPr>
                <w:sz w:val="1"/>
                <w:szCs w:val="1"/>
                <w:color w:val="auto"/>
              </w:rPr>
            </w:pPr>
          </w:p>
        </w:tc>
      </w:tr>
      <w:tr>
        <w:trPr>
          <w:trHeight w:val="262"/>
        </w:trPr>
        <w:tc>
          <w:tcPr>
            <w:tcW w:w="3960" w:type="dxa"/>
            <w:vAlign w:val="bottom"/>
            <w:shd w:val="clear" w:color="auto" w:fill="E3E5EB"/>
          </w:tcPr>
          <w:p>
            <w:pPr>
              <w:spacing w:after="0" w:line="262" w:lineRule="exact"/>
              <w:rPr>
                <w:sz w:val="20"/>
                <w:szCs w:val="20"/>
                <w:color w:val="auto"/>
              </w:rPr>
            </w:pPr>
            <w:r>
              <w:rPr>
                <w:rFonts w:ascii="Arial" w:cs="Arial" w:eastAsia="Arial" w:hAnsi="Arial"/>
                <w:sz w:val="19"/>
                <w:szCs w:val="19"/>
                <w:color w:val="auto"/>
              </w:rPr>
              <w:t>90</w:t>
            </w:r>
            <w:r>
              <w:rPr>
                <w:rFonts w:ascii="Arial" w:cs="Arial" w:eastAsia="Arial" w:hAnsi="Arial"/>
                <w:sz w:val="30"/>
                <w:szCs w:val="30"/>
                <w:color w:val="auto"/>
                <w:vertAlign w:val="superscript"/>
              </w:rPr>
              <w:t>th</w:t>
            </w:r>
            <w:r>
              <w:rPr>
                <w:rFonts w:ascii="Arial" w:cs="Arial" w:eastAsia="Arial" w:hAnsi="Arial"/>
                <w:sz w:val="19"/>
                <w:szCs w:val="19"/>
                <w:color w:val="auto"/>
              </w:rPr>
              <w:t xml:space="preserve"> Percentile or Greater</w:t>
            </w:r>
          </w:p>
        </w:tc>
        <w:tc>
          <w:tcPr>
            <w:tcW w:w="7460" w:type="dxa"/>
            <w:vAlign w:val="bottom"/>
            <w:shd w:val="clear" w:color="auto" w:fill="E3E5EB"/>
          </w:tcPr>
          <w:p>
            <w:pPr>
              <w:jc w:val="center"/>
              <w:ind w:left="482"/>
              <w:spacing w:after="0"/>
              <w:rPr>
                <w:sz w:val="20"/>
                <w:szCs w:val="20"/>
                <w:color w:val="auto"/>
              </w:rPr>
            </w:pPr>
            <w:r>
              <w:rPr>
                <w:rFonts w:ascii="Arial" w:cs="Arial" w:eastAsia="Arial" w:hAnsi="Arial"/>
                <w:sz w:val="20"/>
                <w:szCs w:val="20"/>
                <w:color w:val="auto"/>
                <w:w w:val="97"/>
              </w:rPr>
              <w:t>100% of the Base Grant</w:t>
            </w:r>
          </w:p>
        </w:tc>
        <w:tc>
          <w:tcPr>
            <w:tcW w:w="0" w:type="dxa"/>
            <w:vAlign w:val="bottom"/>
          </w:tcPr>
          <w:p>
            <w:pPr>
              <w:spacing w:after="0"/>
              <w:rPr>
                <w:sz w:val="1"/>
                <w:szCs w:val="1"/>
                <w:color w:val="auto"/>
              </w:rPr>
            </w:pPr>
          </w:p>
        </w:tc>
      </w:tr>
      <w:tr>
        <w:trPr>
          <w:trHeight w:val="270"/>
        </w:trPr>
        <w:tc>
          <w:tcPr>
            <w:tcW w:w="3960" w:type="dxa"/>
            <w:vAlign w:val="bottom"/>
          </w:tcPr>
          <w:p>
            <w:pPr>
              <w:spacing w:after="0" w:line="269" w:lineRule="exact"/>
              <w:rPr>
                <w:sz w:val="20"/>
                <w:szCs w:val="20"/>
                <w:color w:val="auto"/>
              </w:rPr>
            </w:pPr>
            <w:r>
              <w:rPr>
                <w:rFonts w:ascii="Arial" w:cs="Arial" w:eastAsia="Arial" w:hAnsi="Arial"/>
                <w:sz w:val="19"/>
                <w:szCs w:val="19"/>
                <w:color w:val="auto"/>
              </w:rPr>
              <w:t>75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460" w:type="dxa"/>
            <w:vAlign w:val="bottom"/>
          </w:tcPr>
          <w:p>
            <w:pPr>
              <w:jc w:val="center"/>
              <w:ind w:left="482"/>
              <w:spacing w:after="0"/>
              <w:rPr>
                <w:sz w:val="20"/>
                <w:szCs w:val="20"/>
                <w:color w:val="auto"/>
              </w:rPr>
            </w:pPr>
            <w:r>
              <w:rPr>
                <w:rFonts w:ascii="Arial" w:cs="Arial" w:eastAsia="Arial" w:hAnsi="Arial"/>
                <w:sz w:val="20"/>
                <w:szCs w:val="20"/>
                <w:color w:val="auto"/>
                <w:w w:val="98"/>
              </w:rPr>
              <w:t>75% of the Base Grant</w:t>
            </w:r>
          </w:p>
        </w:tc>
        <w:tc>
          <w:tcPr>
            <w:tcW w:w="0" w:type="dxa"/>
            <w:vAlign w:val="bottom"/>
          </w:tcPr>
          <w:p>
            <w:pPr>
              <w:spacing w:after="0"/>
              <w:rPr>
                <w:sz w:val="1"/>
                <w:szCs w:val="1"/>
                <w:color w:val="auto"/>
              </w:rPr>
            </w:pPr>
          </w:p>
        </w:tc>
      </w:tr>
      <w:tr>
        <w:trPr>
          <w:trHeight w:val="270"/>
        </w:trPr>
        <w:tc>
          <w:tcPr>
            <w:tcW w:w="3960" w:type="dxa"/>
            <w:vAlign w:val="bottom"/>
            <w:shd w:val="clear" w:color="auto" w:fill="E3E5EB"/>
          </w:tcPr>
          <w:p>
            <w:pPr>
              <w:spacing w:after="0" w:line="269" w:lineRule="exact"/>
              <w:rPr>
                <w:sz w:val="20"/>
                <w:szCs w:val="20"/>
                <w:color w:val="auto"/>
              </w:rPr>
            </w:pPr>
            <w:r>
              <w:rPr>
                <w:rFonts w:ascii="Arial" w:cs="Arial" w:eastAsia="Arial" w:hAnsi="Arial"/>
                <w:sz w:val="19"/>
                <w:szCs w:val="19"/>
                <w:color w:val="auto"/>
              </w:rPr>
              <w:t>50</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460" w:type="dxa"/>
            <w:vAlign w:val="bottom"/>
            <w:shd w:val="clear" w:color="auto" w:fill="E3E5EB"/>
          </w:tcPr>
          <w:p>
            <w:pPr>
              <w:jc w:val="center"/>
              <w:ind w:left="482"/>
              <w:spacing w:after="0"/>
              <w:rPr>
                <w:sz w:val="20"/>
                <w:szCs w:val="20"/>
                <w:color w:val="auto"/>
              </w:rPr>
            </w:pPr>
            <w:r>
              <w:rPr>
                <w:rFonts w:ascii="Arial" w:cs="Arial" w:eastAsia="Arial" w:hAnsi="Arial"/>
                <w:sz w:val="20"/>
                <w:szCs w:val="20"/>
                <w:color w:val="auto"/>
                <w:w w:val="98"/>
              </w:rPr>
              <w:t>50% of the Base Grant</w:t>
            </w:r>
          </w:p>
        </w:tc>
        <w:tc>
          <w:tcPr>
            <w:tcW w:w="0" w:type="dxa"/>
            <w:vAlign w:val="bottom"/>
          </w:tcPr>
          <w:p>
            <w:pPr>
              <w:spacing w:after="0"/>
              <w:rPr>
                <w:sz w:val="1"/>
                <w:szCs w:val="1"/>
                <w:color w:val="auto"/>
              </w:rPr>
            </w:pPr>
          </w:p>
        </w:tc>
      </w:tr>
      <w:tr>
        <w:trPr>
          <w:trHeight w:val="270"/>
        </w:trPr>
        <w:tc>
          <w:tcPr>
            <w:tcW w:w="3960" w:type="dxa"/>
            <w:vAlign w:val="bottom"/>
          </w:tcPr>
          <w:p>
            <w:pPr>
              <w:spacing w:after="0" w:line="269" w:lineRule="exact"/>
              <w:rPr>
                <w:sz w:val="20"/>
                <w:szCs w:val="20"/>
                <w:color w:val="auto"/>
              </w:rPr>
            </w:pPr>
            <w:r>
              <w:rPr>
                <w:rFonts w:ascii="Arial" w:cs="Arial" w:eastAsia="Arial" w:hAnsi="Arial"/>
                <w:sz w:val="19"/>
                <w:szCs w:val="19"/>
                <w:color w:val="auto"/>
              </w:rPr>
              <w:t>25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460" w:type="dxa"/>
            <w:vAlign w:val="bottom"/>
          </w:tcPr>
          <w:p>
            <w:pPr>
              <w:jc w:val="center"/>
              <w:ind w:left="482"/>
              <w:spacing w:after="0"/>
              <w:rPr>
                <w:sz w:val="20"/>
                <w:szCs w:val="20"/>
                <w:color w:val="auto"/>
              </w:rPr>
            </w:pPr>
            <w:r>
              <w:rPr>
                <w:rFonts w:ascii="Arial" w:cs="Arial" w:eastAsia="Arial" w:hAnsi="Arial"/>
                <w:sz w:val="20"/>
                <w:szCs w:val="20"/>
                <w:color w:val="auto"/>
                <w:w w:val="98"/>
              </w:rPr>
              <w:t>25% of the Base Grant</w:t>
            </w:r>
          </w:p>
        </w:tc>
        <w:tc>
          <w:tcPr>
            <w:tcW w:w="0" w:type="dxa"/>
            <w:vAlign w:val="bottom"/>
          </w:tcPr>
          <w:p>
            <w:pPr>
              <w:spacing w:after="0"/>
              <w:rPr>
                <w:sz w:val="1"/>
                <w:szCs w:val="1"/>
                <w:color w:val="auto"/>
              </w:rPr>
            </w:pPr>
          </w:p>
        </w:tc>
      </w:tr>
      <w:tr>
        <w:trPr>
          <w:trHeight w:val="270"/>
        </w:trPr>
        <w:tc>
          <w:tcPr>
            <w:tcW w:w="3960" w:type="dxa"/>
            <w:vAlign w:val="bottom"/>
            <w:tcBorders>
              <w:bottom w:val="single" w:sz="8" w:color="888992"/>
            </w:tcBorders>
            <w:shd w:val="clear" w:color="auto" w:fill="E3E5EB"/>
          </w:tcPr>
          <w:p>
            <w:pPr>
              <w:spacing w:after="0" w:line="269" w:lineRule="exact"/>
              <w:rPr>
                <w:sz w:val="20"/>
                <w:szCs w:val="20"/>
                <w:color w:val="auto"/>
              </w:rPr>
            </w:pPr>
            <w:r>
              <w:rPr>
                <w:rFonts w:ascii="Arial" w:cs="Arial" w:eastAsia="Arial" w:hAnsi="Arial"/>
                <w:sz w:val="19"/>
                <w:szCs w:val="19"/>
                <w:color w:val="auto"/>
              </w:rPr>
              <w:t>Less than 25</w:t>
            </w:r>
            <w:r>
              <w:rPr>
                <w:rFonts w:ascii="Arial" w:cs="Arial" w:eastAsia="Arial" w:hAnsi="Arial"/>
                <w:sz w:val="31"/>
                <w:szCs w:val="31"/>
                <w:color w:val="auto"/>
                <w:vertAlign w:val="superscript"/>
              </w:rPr>
              <w:t>th</w:t>
            </w:r>
            <w:r>
              <w:rPr>
                <w:rFonts w:ascii="Arial" w:cs="Arial" w:eastAsia="Arial" w:hAnsi="Arial"/>
                <w:sz w:val="19"/>
                <w:szCs w:val="19"/>
                <w:color w:val="auto"/>
              </w:rPr>
              <w:t xml:space="preserve"> Percentile</w:t>
            </w:r>
          </w:p>
        </w:tc>
        <w:tc>
          <w:tcPr>
            <w:tcW w:w="7460" w:type="dxa"/>
            <w:vAlign w:val="bottom"/>
            <w:tcBorders>
              <w:bottom w:val="single" w:sz="8" w:color="888992"/>
            </w:tcBorders>
            <w:shd w:val="clear" w:color="auto" w:fill="E3E5EB"/>
          </w:tcPr>
          <w:p>
            <w:pPr>
              <w:jc w:val="center"/>
              <w:ind w:left="482"/>
              <w:spacing w:after="0"/>
              <w:rPr>
                <w:sz w:val="20"/>
                <w:szCs w:val="20"/>
                <w:color w:val="auto"/>
              </w:rPr>
            </w:pPr>
            <w:r>
              <w:rPr>
                <w:rFonts w:ascii="Arial" w:cs="Arial" w:eastAsia="Arial" w:hAnsi="Arial"/>
                <w:sz w:val="20"/>
                <w:szCs w:val="20"/>
                <w:color w:val="auto"/>
              </w:rPr>
              <w:t>None</w:t>
            </w:r>
          </w:p>
        </w:tc>
        <w:tc>
          <w:tcPr>
            <w:tcW w:w="0" w:type="dxa"/>
            <w:vAlign w:val="bottom"/>
          </w:tcPr>
          <w:p>
            <w:pPr>
              <w:spacing w:after="0"/>
              <w:rPr>
                <w:sz w:val="1"/>
                <w:szCs w:val="1"/>
                <w:color w:val="auto"/>
              </w:rPr>
            </w:pPr>
          </w:p>
        </w:tc>
      </w:tr>
    </w:tbl>
    <w:p>
      <w:pPr>
        <w:spacing w:after="0" w:line="289" w:lineRule="exact"/>
        <w:rPr>
          <w:sz w:val="20"/>
          <w:szCs w:val="20"/>
          <w:color w:val="auto"/>
        </w:rPr>
      </w:pPr>
    </w:p>
    <w:p>
      <w:pPr>
        <w:ind w:left="2" w:right="460"/>
        <w:spacing w:after="0" w:line="265" w:lineRule="auto"/>
        <w:rPr>
          <w:sz w:val="20"/>
          <w:szCs w:val="20"/>
          <w:color w:val="auto"/>
        </w:rPr>
      </w:pPr>
      <w:r>
        <w:rPr>
          <w:rFonts w:ascii="Arial" w:cs="Arial" w:eastAsia="Arial" w:hAnsi="Arial"/>
          <w:sz w:val="20"/>
          <w:szCs w:val="20"/>
          <w:color w:val="auto"/>
        </w:rPr>
        <w:t>The Company's "Average Performance" with respect to the metrics listed below will be the average of the Company's percentile ranking for each of these metrics during each of the three-years of the performance period:</w:t>
      </w:r>
    </w:p>
    <w:p>
      <w:pPr>
        <w:spacing w:after="0" w:line="118" w:lineRule="exact"/>
        <w:rPr>
          <w:sz w:val="20"/>
          <w:szCs w:val="20"/>
          <w:color w:val="auto"/>
        </w:rPr>
      </w:pPr>
    </w:p>
    <w:p>
      <w:pPr>
        <w:ind w:left="482" w:right="460" w:hanging="482"/>
        <w:spacing w:after="0" w:line="265" w:lineRule="auto"/>
        <w:tabs>
          <w:tab w:leader="none" w:pos="482" w:val="left"/>
        </w:tabs>
        <w:numPr>
          <w:ilvl w:val="0"/>
          <w:numId w:val="74"/>
        </w:numPr>
        <w:rPr>
          <w:rFonts w:ascii="Arial" w:cs="Arial" w:eastAsia="Arial" w:hAnsi="Arial"/>
          <w:sz w:val="20"/>
          <w:szCs w:val="20"/>
          <w:color w:val="3A5575"/>
        </w:rPr>
      </w:pPr>
      <w:r>
        <w:rPr>
          <w:rFonts w:ascii="Arial" w:cs="Arial" w:eastAsia="Arial" w:hAnsi="Arial"/>
          <w:sz w:val="20"/>
          <w:szCs w:val="20"/>
          <w:color w:val="auto"/>
        </w:rPr>
        <w:t>The J.D. Power Residential National Large Segment Survey for investor-owned utilities percentile ranking of the Company relative to other participating companies;</w:t>
      </w:r>
    </w:p>
    <w:p>
      <w:pPr>
        <w:spacing w:after="0" w:line="142" w:lineRule="exact"/>
        <w:rPr>
          <w:rFonts w:ascii="Arial" w:cs="Arial" w:eastAsia="Arial" w:hAnsi="Arial"/>
          <w:sz w:val="20"/>
          <w:szCs w:val="20"/>
          <w:color w:val="3A5575"/>
        </w:rPr>
      </w:pPr>
    </w:p>
    <w:p>
      <w:pPr>
        <w:ind w:left="482" w:right="500" w:hanging="482"/>
        <w:spacing w:after="0" w:line="265" w:lineRule="auto"/>
        <w:tabs>
          <w:tab w:leader="none" w:pos="482" w:val="left"/>
        </w:tabs>
        <w:numPr>
          <w:ilvl w:val="0"/>
          <w:numId w:val="74"/>
        </w:numPr>
        <w:rPr>
          <w:rFonts w:ascii="Arial" w:cs="Arial" w:eastAsia="Arial" w:hAnsi="Arial"/>
          <w:sz w:val="20"/>
          <w:szCs w:val="20"/>
          <w:color w:val="3A5575"/>
        </w:rPr>
      </w:pPr>
      <w:r>
        <w:rPr>
          <w:rFonts w:ascii="Arial" w:cs="Arial" w:eastAsia="Arial" w:hAnsi="Arial"/>
          <w:sz w:val="20"/>
          <w:szCs w:val="20"/>
          <w:color w:val="auto"/>
        </w:rPr>
        <w:t>The Company's percentile ranking based on customer reliability results relative to other companies reported in the Edison Electric Institute ("EEI") data;</w:t>
      </w:r>
    </w:p>
    <w:p>
      <w:pPr>
        <w:spacing w:after="0" w:line="154" w:lineRule="exact"/>
        <w:rPr>
          <w:rFonts w:ascii="Arial" w:cs="Arial" w:eastAsia="Arial" w:hAnsi="Arial"/>
          <w:sz w:val="20"/>
          <w:szCs w:val="20"/>
          <w:color w:val="3A5575"/>
        </w:rPr>
      </w:pPr>
    </w:p>
    <w:p>
      <w:pPr>
        <w:ind w:left="482" w:right="160" w:hanging="482"/>
        <w:spacing w:after="0" w:line="265" w:lineRule="auto"/>
        <w:tabs>
          <w:tab w:leader="none" w:pos="482" w:val="left"/>
        </w:tabs>
        <w:numPr>
          <w:ilvl w:val="0"/>
          <w:numId w:val="74"/>
        </w:numPr>
        <w:rPr>
          <w:rFonts w:ascii="Arial" w:cs="Arial" w:eastAsia="Arial" w:hAnsi="Arial"/>
          <w:sz w:val="20"/>
          <w:szCs w:val="20"/>
          <w:color w:val="3A5575"/>
        </w:rPr>
      </w:pPr>
      <w:r>
        <w:rPr>
          <w:rFonts w:ascii="Arial" w:cs="Arial" w:eastAsia="Arial" w:hAnsi="Arial"/>
          <w:sz w:val="20"/>
          <w:szCs w:val="20"/>
          <w:color w:val="auto"/>
        </w:rPr>
        <w:t>The Company's ranking for a customer-to-employee improvement ratio, based on data provided by SNL Financial ("SNL"), an independent third-party data system, relative to other companies reported in the SNL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147955</wp:posOffset>
            </wp:positionV>
            <wp:extent cx="841375" cy="16383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1"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58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522"/>
          </w:cols>
          <w:pgMar w:left="238" w:top="110" w:right="139" w:bottom="1440" w:gutter="0" w:footer="0" w:header="0"/>
        </w:sectPr>
      </w:pPr>
    </w:p>
    <w:bookmarkStart w:id="67" w:name="page68"/>
    <w:bookmarkEnd w:id="67"/>
    <w:tbl>
      <w:tblPr>
        <w:tblLayout w:type="fixed"/>
        <w:tblInd w:w="2" w:type="dxa"/>
        <w:tblCellMar>
          <w:top w:w="0" w:type="dxa"/>
          <w:left w:w="0" w:type="dxa"/>
          <w:bottom w:w="0" w:type="dxa"/>
          <w:right w:w="0" w:type="dxa"/>
        </w:tblCellMar>
      </w:tblPr>
      <w:tr>
        <w:trPr>
          <w:trHeight w:val="230"/>
        </w:trPr>
        <w:tc>
          <w:tcPr>
            <w:tcW w:w="9080" w:type="dxa"/>
            <w:vAlign w:val="bottom"/>
            <w:gridSpan w:val="3"/>
          </w:tcPr>
          <w:p>
            <w:pPr>
              <w:spacing w:after="0"/>
              <w:rPr>
                <w:rFonts w:ascii="Arial" w:cs="Arial" w:eastAsia="Arial" w:hAnsi="Arial"/>
                <w:sz w:val="20"/>
                <w:szCs w:val="20"/>
                <w:color w:val="0000EE"/>
              </w:rPr>
            </w:pPr>
            <w:hyperlink w:anchor="page7">
              <w:r>
                <w:rPr>
                  <w:rFonts w:ascii="Arial" w:cs="Arial" w:eastAsia="Arial" w:hAnsi="Arial"/>
                  <w:sz w:val="20"/>
                  <w:szCs w:val="20"/>
                  <w:color w:val="0000EE"/>
                </w:rPr>
                <w:t>Table of Contents</w:t>
              </w:r>
            </w:hyperlink>
          </w:p>
        </w:tc>
        <w:tc>
          <w:tcPr>
            <w:tcW w:w="23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80" w:type="dxa"/>
            <w:vAlign w:val="bottom"/>
            <w:shd w:val="clear" w:color="auto" w:fill="0000EE"/>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7560" w:type="dxa"/>
            <w:vAlign w:val="bottom"/>
          </w:tcPr>
          <w:p>
            <w:pPr>
              <w:spacing w:after="0" w:line="20" w:lineRule="exact"/>
              <w:rPr>
                <w:sz w:val="1"/>
                <w:szCs w:val="1"/>
                <w:color w:val="auto"/>
              </w:rPr>
            </w:pPr>
          </w:p>
        </w:tc>
        <w:tc>
          <w:tcPr>
            <w:tcW w:w="2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280" w:type="dxa"/>
            <w:vAlign w:val="bottom"/>
            <w:vMerge w:val="restart"/>
          </w:tcPr>
          <w:p>
            <w:pPr>
              <w:spacing w:after="0"/>
              <w:rPr>
                <w:sz w:val="20"/>
                <w:szCs w:val="20"/>
                <w:color w:val="auto"/>
              </w:rPr>
            </w:pPr>
            <w:r>
              <w:rPr>
                <w:rFonts w:ascii="Arial" w:cs="Arial" w:eastAsia="Arial" w:hAnsi="Arial"/>
                <w:sz w:val="20"/>
                <w:szCs w:val="20"/>
                <w:color w:val="3A5575"/>
              </w:rPr>
              <w:t>•</w:t>
            </w:r>
          </w:p>
        </w:tc>
        <w:tc>
          <w:tcPr>
            <w:tcW w:w="8800" w:type="dxa"/>
            <w:vAlign w:val="bottom"/>
            <w:gridSpan w:val="2"/>
            <w:vMerge w:val="restart"/>
          </w:tcPr>
          <w:p>
            <w:pPr>
              <w:ind w:left="200"/>
              <w:spacing w:after="0"/>
              <w:rPr>
                <w:sz w:val="20"/>
                <w:szCs w:val="20"/>
                <w:color w:val="auto"/>
              </w:rPr>
            </w:pPr>
            <w:r>
              <w:rPr>
                <w:rFonts w:ascii="Arial" w:cs="Arial" w:eastAsia="Arial" w:hAnsi="Arial"/>
                <w:sz w:val="20"/>
                <w:szCs w:val="20"/>
                <w:color w:val="auto"/>
              </w:rPr>
              <w:t>The Company's percentile ranking based on the OSHA rate (All Incident Injury Rate) relative to</w:t>
            </w:r>
          </w:p>
        </w:tc>
        <w:tc>
          <w:tcPr>
            <w:tcW w:w="2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79"/>
        </w:trPr>
        <w:tc>
          <w:tcPr>
            <w:tcW w:w="280" w:type="dxa"/>
            <w:vAlign w:val="bottom"/>
            <w:vMerge w:val="continue"/>
          </w:tcPr>
          <w:p>
            <w:pPr>
              <w:spacing w:after="0"/>
              <w:rPr>
                <w:sz w:val="15"/>
                <w:szCs w:val="15"/>
                <w:color w:val="auto"/>
              </w:rPr>
            </w:pPr>
          </w:p>
        </w:tc>
        <w:tc>
          <w:tcPr>
            <w:tcW w:w="8800" w:type="dxa"/>
            <w:vAlign w:val="bottom"/>
            <w:gridSpan w:val="2"/>
            <w:vMerge w:val="continue"/>
          </w:tcPr>
          <w:p>
            <w:pPr>
              <w:spacing w:after="0"/>
              <w:rPr>
                <w:sz w:val="15"/>
                <w:szCs w:val="15"/>
                <w:color w:val="auto"/>
              </w:rPr>
            </w:pPr>
          </w:p>
        </w:tc>
        <w:tc>
          <w:tcPr>
            <w:tcW w:w="2340" w:type="dxa"/>
            <w:vAlign w:val="bottom"/>
            <w:shd w:val="clear" w:color="auto" w:fill="3A5575"/>
          </w:tcPr>
          <w:p>
            <w:pPr>
              <w:ind w:left="60"/>
              <w:spacing w:after="0"/>
              <w:rPr>
                <w:sz w:val="20"/>
                <w:szCs w:val="20"/>
                <w:color w:val="auto"/>
              </w:rPr>
            </w:pPr>
            <w:r>
              <w:rPr>
                <w:rFonts w:ascii="Arial" w:cs="Arial" w:eastAsia="Arial" w:hAnsi="Arial"/>
                <w:sz w:val="13"/>
                <w:szCs w:val="13"/>
                <w:b w:val="1"/>
                <w:bCs w:val="1"/>
                <w:color w:val="FFFFFE"/>
              </w:rPr>
              <w:t>EXECUTIVE COMPENSATION</w:t>
            </w:r>
          </w:p>
        </w:tc>
        <w:tc>
          <w:tcPr>
            <w:tcW w:w="0" w:type="dxa"/>
            <w:vAlign w:val="bottom"/>
          </w:tcPr>
          <w:p>
            <w:pPr>
              <w:spacing w:after="0"/>
              <w:rPr>
                <w:sz w:val="1"/>
                <w:szCs w:val="1"/>
                <w:color w:val="auto"/>
              </w:rPr>
            </w:pPr>
          </w:p>
        </w:tc>
      </w:tr>
      <w:tr>
        <w:trPr>
          <w:trHeight w:val="67"/>
        </w:trPr>
        <w:tc>
          <w:tcPr>
            <w:tcW w:w="280" w:type="dxa"/>
            <w:vAlign w:val="bottom"/>
          </w:tcPr>
          <w:p>
            <w:pPr>
              <w:spacing w:after="0"/>
              <w:rPr>
                <w:sz w:val="5"/>
                <w:szCs w:val="5"/>
                <w:color w:val="auto"/>
              </w:rPr>
            </w:pPr>
          </w:p>
        </w:tc>
        <w:tc>
          <w:tcPr>
            <w:tcW w:w="8800" w:type="dxa"/>
            <w:vAlign w:val="bottom"/>
            <w:gridSpan w:val="2"/>
            <w:vMerge w:val="restart"/>
          </w:tcPr>
          <w:p>
            <w:pPr>
              <w:ind w:left="200"/>
              <w:spacing w:after="0"/>
              <w:rPr>
                <w:sz w:val="20"/>
                <w:szCs w:val="20"/>
                <w:color w:val="auto"/>
              </w:rPr>
            </w:pPr>
            <w:r>
              <w:rPr>
                <w:rFonts w:ascii="Arial" w:cs="Arial" w:eastAsia="Arial" w:hAnsi="Arial"/>
                <w:sz w:val="20"/>
                <w:szCs w:val="20"/>
                <w:color w:val="auto"/>
              </w:rPr>
              <w:t>other companies reported in the EEI data;</w:t>
            </w:r>
          </w:p>
        </w:tc>
        <w:tc>
          <w:tcPr>
            <w:tcW w:w="2340" w:type="dxa"/>
            <w:vAlign w:val="bottom"/>
            <w:shd w:val="clear" w:color="auto" w:fill="3A5575"/>
          </w:tcPr>
          <w:p>
            <w:pPr>
              <w:spacing w:after="0"/>
              <w:rPr>
                <w:sz w:val="5"/>
                <w:szCs w:val="5"/>
                <w:color w:val="auto"/>
              </w:rPr>
            </w:pPr>
          </w:p>
        </w:tc>
        <w:tc>
          <w:tcPr>
            <w:tcW w:w="0" w:type="dxa"/>
            <w:vAlign w:val="bottom"/>
          </w:tcPr>
          <w:p>
            <w:pPr>
              <w:spacing w:after="0"/>
              <w:rPr>
                <w:sz w:val="1"/>
                <w:szCs w:val="1"/>
                <w:color w:val="auto"/>
              </w:rPr>
            </w:pPr>
          </w:p>
        </w:tc>
      </w:tr>
      <w:tr>
        <w:trPr>
          <w:trHeight w:val="197"/>
        </w:trPr>
        <w:tc>
          <w:tcPr>
            <w:tcW w:w="280" w:type="dxa"/>
            <w:vAlign w:val="bottom"/>
          </w:tcPr>
          <w:p>
            <w:pPr>
              <w:spacing w:after="0"/>
              <w:rPr>
                <w:sz w:val="17"/>
                <w:szCs w:val="17"/>
                <w:color w:val="auto"/>
              </w:rPr>
            </w:pPr>
          </w:p>
        </w:tc>
        <w:tc>
          <w:tcPr>
            <w:tcW w:w="8800" w:type="dxa"/>
            <w:vAlign w:val="bottom"/>
            <w:gridSpan w:val="2"/>
            <w:vMerge w:val="continue"/>
          </w:tcPr>
          <w:p>
            <w:pPr>
              <w:spacing w:after="0"/>
              <w:rPr>
                <w:sz w:val="17"/>
                <w:szCs w:val="17"/>
                <w:color w:val="auto"/>
              </w:rPr>
            </w:pPr>
          </w:p>
        </w:tc>
        <w:tc>
          <w:tcPr>
            <w:tcW w:w="2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178" w:lineRule="exact"/>
        <w:rPr>
          <w:sz w:val="20"/>
          <w:szCs w:val="20"/>
          <w:color w:val="auto"/>
        </w:rPr>
      </w:pPr>
    </w:p>
    <w:p>
      <w:pPr>
        <w:ind w:left="482" w:right="280" w:hanging="482"/>
        <w:spacing w:after="0" w:line="265" w:lineRule="auto"/>
        <w:tabs>
          <w:tab w:leader="none" w:pos="482" w:val="left"/>
        </w:tabs>
        <w:numPr>
          <w:ilvl w:val="0"/>
          <w:numId w:val="75"/>
        </w:numPr>
        <w:rPr>
          <w:rFonts w:ascii="Arial" w:cs="Arial" w:eastAsia="Arial" w:hAnsi="Arial"/>
          <w:sz w:val="20"/>
          <w:szCs w:val="20"/>
          <w:color w:val="3A5575"/>
        </w:rPr>
      </w:pPr>
      <w:r>
        <w:rPr>
          <w:rFonts w:ascii="Arial" w:cs="Arial" w:eastAsia="Arial" w:hAnsi="Arial"/>
          <w:sz w:val="20"/>
          <w:szCs w:val="20"/>
          <w:color w:val="auto"/>
        </w:rPr>
        <w:t>The Company's percentile ranking based on nuclear generation capacity factors relative to other companies reported in the SNL data; and</w:t>
      </w:r>
    </w:p>
    <w:p>
      <w:pPr>
        <w:spacing w:after="0" w:line="142" w:lineRule="exact"/>
        <w:rPr>
          <w:rFonts w:ascii="Arial" w:cs="Arial" w:eastAsia="Arial" w:hAnsi="Arial"/>
          <w:sz w:val="20"/>
          <w:szCs w:val="20"/>
          <w:color w:val="3A5575"/>
        </w:rPr>
      </w:pPr>
    </w:p>
    <w:p>
      <w:pPr>
        <w:ind w:left="482" w:right="140" w:hanging="482"/>
        <w:spacing w:after="0" w:line="265" w:lineRule="auto"/>
        <w:tabs>
          <w:tab w:leader="none" w:pos="482" w:val="left"/>
        </w:tabs>
        <w:numPr>
          <w:ilvl w:val="0"/>
          <w:numId w:val="75"/>
        </w:numPr>
        <w:rPr>
          <w:rFonts w:ascii="Arial" w:cs="Arial" w:eastAsia="Arial" w:hAnsi="Arial"/>
          <w:sz w:val="20"/>
          <w:szCs w:val="20"/>
          <w:color w:val="3A5575"/>
        </w:rPr>
      </w:pPr>
      <w:r>
        <w:rPr>
          <w:rFonts w:ascii="Arial" w:cs="Arial" w:eastAsia="Arial" w:hAnsi="Arial"/>
          <w:sz w:val="20"/>
          <w:szCs w:val="20"/>
          <w:color w:val="auto"/>
        </w:rPr>
        <w:t>The Company's percentile ranking based on coal generation capacity factors relative to other companies reported in the SNL data.</w:t>
      </w:r>
    </w:p>
    <w:p>
      <w:pPr>
        <w:spacing w:after="0" w:line="130" w:lineRule="exact"/>
        <w:rPr>
          <w:sz w:val="20"/>
          <w:szCs w:val="20"/>
          <w:color w:val="auto"/>
        </w:rPr>
      </w:pPr>
    </w:p>
    <w:p>
      <w:pPr>
        <w:ind w:left="2" w:right="160"/>
        <w:spacing w:after="0" w:line="239" w:lineRule="auto"/>
        <w:rPr>
          <w:sz w:val="20"/>
          <w:szCs w:val="20"/>
          <w:color w:val="auto"/>
        </w:rPr>
      </w:pPr>
      <w:r>
        <w:rPr>
          <w:rFonts w:ascii="Arial" w:cs="Arial" w:eastAsia="Arial" w:hAnsi="Arial"/>
          <w:sz w:val="20"/>
          <w:szCs w:val="20"/>
          <w:color w:val="auto"/>
        </w:rPr>
        <w:t>The metrics selected encompass performance inclusive of all departments and are direct indicators of key business performance success. The metrics can be readily benchmarked and will provide a clear barometer of top-tier performance excellence. We believe a focus on these performance metrics over a three-year period aligns long-term compensation with key operational goals, thereby enhancing overall Company performance. We anticipate that the common stock payout, if any, related to this performance element will be made in October 2018.</w:t>
      </w:r>
    </w:p>
    <w:p>
      <w:pPr>
        <w:spacing w:after="0" w:line="155" w:lineRule="exact"/>
        <w:rPr>
          <w:sz w:val="20"/>
          <w:szCs w:val="20"/>
          <w:color w:val="auto"/>
        </w:rPr>
      </w:pPr>
    </w:p>
    <w:p>
      <w:pPr>
        <w:ind w:left="2" w:right="60"/>
        <w:spacing w:after="0" w:line="233" w:lineRule="auto"/>
        <w:rPr>
          <w:sz w:val="20"/>
          <w:szCs w:val="20"/>
          <w:color w:val="auto"/>
        </w:rPr>
      </w:pPr>
      <w:r>
        <w:rPr>
          <w:rFonts w:ascii="Arial" w:cs="Arial" w:eastAsia="Arial" w:hAnsi="Arial"/>
          <w:sz w:val="20"/>
          <w:szCs w:val="20"/>
          <w:color w:val="auto"/>
        </w:rPr>
        <w:t>The recipient must remain employed with the Company throughout the performance period, unless the recipient meets any of the following exceptions. In the case of the recipient's retirement while qualifying for Early Retirement or Normal Retirement (the "Retirement Qualified Employee") under the Pinnacle West Capital Corporation Retirement Plan (the "Retirement Plan"), the employee is deemed to have been employed through the end of the performance period. In the case of the recipient's retirement after reaching age 60 with five years of service, but not otherwise qualifying for Early Retirement or Normal Retirement under the Retirement Plan (a "Late Career Employee"), any performance share payout will vest pro-rata based on the number of days the recipient was employed during the performance period compared to the total number of days in the period. In the event the recipient is terminated for cause (regardless of the recipient's retirement date), the recipient shall not be deemed to have been employed through the end of the performance period and will forfeit the right to receive any payout. In the event of the death or disability of a Retirement Qualified Employee or a Late Career Employee, the employee is deemed to have been employed through the end of the performance period. In the event the recipient's employment is terminated without cause during the performance period, the CEO in his discretion and with the Committee's approval may determine if, to what extent, and when, any unvested portion of the grant may vest. The 2015 Performance Shares also contain confidentiality protections that apply during employment and survive termination, and non-competition and employee solicitation restrictions that survive for a period of one year following termination of employment.</w:t>
      </w:r>
    </w:p>
    <w:p>
      <w:pPr>
        <w:spacing w:after="0" w:line="159" w:lineRule="exact"/>
        <w:rPr>
          <w:sz w:val="20"/>
          <w:szCs w:val="20"/>
          <w:color w:val="auto"/>
        </w:rPr>
      </w:pPr>
    </w:p>
    <w:p>
      <w:pPr>
        <w:ind w:left="2" w:right="280"/>
        <w:spacing w:after="0" w:line="239" w:lineRule="auto"/>
        <w:rPr>
          <w:sz w:val="20"/>
          <w:szCs w:val="20"/>
          <w:color w:val="auto"/>
        </w:rPr>
      </w:pPr>
      <w:r>
        <w:rPr>
          <w:rFonts w:ascii="Arial" w:cs="Arial" w:eastAsia="Arial" w:hAnsi="Arial"/>
          <w:sz w:val="20"/>
          <w:szCs w:val="20"/>
          <w:color w:val="auto"/>
        </w:rPr>
        <w:t>A recipient of performance shares will receive additional shares of common stock equal to the amount of dividends that the recipient would have received had the recipient directly owned the shares from the date of grant to the date of payment, plus interest on such dividends at the rate of 5% per annum, compounded quarterly, divided by the fair market value of one share of stock on the date of the stock payout. This common stock is paid out when and only if the related common stock payout is made. The 2015 Performance Shares are not included in calculating pension benefits.</w:t>
      </w:r>
    </w:p>
    <w:p>
      <w:pPr>
        <w:spacing w:after="0" w:line="155" w:lineRule="exact"/>
        <w:rPr>
          <w:sz w:val="20"/>
          <w:szCs w:val="20"/>
          <w:color w:val="auto"/>
        </w:rPr>
      </w:pPr>
    </w:p>
    <w:p>
      <w:pPr>
        <w:ind w:left="2" w:right="40"/>
        <w:spacing w:after="0" w:line="242" w:lineRule="auto"/>
        <w:rPr>
          <w:sz w:val="20"/>
          <w:szCs w:val="20"/>
          <w:color w:val="auto"/>
        </w:rPr>
      </w:pPr>
      <w:r>
        <w:rPr>
          <w:rFonts w:ascii="Arial" w:cs="Arial" w:eastAsia="Arial" w:hAnsi="Arial"/>
          <w:sz w:val="20"/>
          <w:szCs w:val="20"/>
          <w:color w:val="auto"/>
        </w:rPr>
        <w:t>As described in the next paragraph, if a participant's rights are adequately protected, a change of control will not result in any acceleration of the participant's shares. However, if a change of control occurs and the conditions of the following paragraph are not met, immediately prior to the change of control, the performance shares will convert to either cash or RSUs payable in stock, at the election of the recipient, and shall immediately vest. In converting the performance</w:t>
      </w:r>
    </w:p>
    <w:p>
      <w:pPr>
        <w:spacing w:after="0" w:line="84"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137795</wp:posOffset>
            </wp:positionV>
            <wp:extent cx="7263765" cy="2032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94" w:right="219" w:bottom="1440" w:gutter="0" w:footer="0" w:header="0"/>
        </w:sectPr>
      </w:pPr>
    </w:p>
    <w:bookmarkStart w:id="68" w:name="page69"/>
    <w:bookmarkEnd w:id="68"/>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2" w:right="180"/>
        <w:spacing w:after="0" w:line="255" w:lineRule="auto"/>
        <w:rPr>
          <w:sz w:val="20"/>
          <w:szCs w:val="20"/>
          <w:color w:val="auto"/>
        </w:rPr>
      </w:pPr>
      <w:r>
        <w:rPr>
          <w:rFonts w:ascii="Arial" w:cs="Arial" w:eastAsia="Arial" w:hAnsi="Arial"/>
          <w:sz w:val="19"/>
          <w:szCs w:val="19"/>
          <w:color w:val="auto"/>
        </w:rPr>
        <w:t>shares, the recipient will receive the number of shares of stock or the cash equivalent that would have been earned at the target level of performance, unless the Committee determines that a higher level of</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0</wp:posOffset>
            </wp:positionH>
            <wp:positionV relativeFrom="paragraph">
              <wp:posOffset>-274955</wp:posOffset>
            </wp:positionV>
            <wp:extent cx="1487805" cy="15557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2"/>
        <w:spacing w:after="0"/>
        <w:rPr>
          <w:sz w:val="20"/>
          <w:szCs w:val="20"/>
          <w:color w:val="auto"/>
        </w:rPr>
      </w:pPr>
      <w:r>
        <w:rPr>
          <w:rFonts w:ascii="Arial" w:cs="Arial" w:eastAsia="Arial" w:hAnsi="Arial"/>
          <w:sz w:val="20"/>
          <w:szCs w:val="20"/>
          <w:color w:val="auto"/>
        </w:rPr>
        <w:t>attained performance is reasonably ascertainable as of a specified date prior to the closing of the change of control transaction. The dividend equivalent awards will be paid in cash or stock as determined in accordance with the applicable award agreement.</w:t>
      </w:r>
    </w:p>
    <w:p>
      <w:pPr>
        <w:spacing w:after="0" w:line="154" w:lineRule="exact"/>
        <w:rPr>
          <w:rFonts w:ascii="Arial" w:cs="Arial" w:eastAsia="Arial" w:hAnsi="Arial"/>
          <w:sz w:val="13"/>
          <w:szCs w:val="13"/>
          <w:b w:val="1"/>
          <w:bCs w:val="1"/>
          <w:color w:val="FFFFFE"/>
        </w:rPr>
      </w:pPr>
    </w:p>
    <w:p>
      <w:pPr>
        <w:ind w:left="2" w:right="160"/>
        <w:spacing w:after="0" w:line="247" w:lineRule="auto"/>
        <w:rPr>
          <w:sz w:val="20"/>
          <w:szCs w:val="20"/>
          <w:color w:val="auto"/>
        </w:rPr>
      </w:pPr>
      <w:r>
        <w:rPr>
          <w:rFonts w:ascii="Arial" w:cs="Arial" w:eastAsia="Arial" w:hAnsi="Arial"/>
          <w:sz w:val="19"/>
          <w:szCs w:val="19"/>
          <w:color w:val="auto"/>
        </w:rPr>
        <w:t>Prior to a change of control, the Board may determine that no change of control shall be deemed to have occurred or that some or all of the enhancements to the rights of the recipient shall not apply to specified awards. The Board may exercise such override authority only if, before or immediately upon the occurrence of the specified event that would otherwise constitute a change of control, the Board reasonably concludes in good faith, that: (1) recipients holding awards affected by action of the Board override shall be protected by legally binding obligations of the Company or the surviving entity or the parent thereof because such awards</w:t>
      </w:r>
    </w:p>
    <w:p>
      <w:pPr>
        <w:ind w:left="322" w:hanging="322"/>
        <w:spacing w:after="0" w:line="234" w:lineRule="auto"/>
        <w:tabs>
          <w:tab w:leader="none" w:pos="322" w:val="left"/>
        </w:tabs>
        <w:numPr>
          <w:ilvl w:val="0"/>
          <w:numId w:val="76"/>
        </w:numPr>
        <w:rPr>
          <w:rFonts w:ascii="Arial" w:cs="Arial" w:eastAsia="Arial" w:hAnsi="Arial"/>
          <w:sz w:val="20"/>
          <w:szCs w:val="20"/>
          <w:color w:val="auto"/>
        </w:rPr>
      </w:pPr>
      <w:r>
        <w:rPr>
          <w:rFonts w:ascii="Arial" w:cs="Arial" w:eastAsia="Arial" w:hAnsi="Arial"/>
          <w:sz w:val="20"/>
          <w:szCs w:val="20"/>
          <w:color w:val="auto"/>
        </w:rPr>
        <w:t>shall remain outstanding following consummation of all transactions involved in or contemplated by such change of control,</w:t>
      </w:r>
    </w:p>
    <w:p>
      <w:pPr>
        <w:ind w:left="2" w:right="160" w:hanging="2"/>
        <w:spacing w:after="0" w:line="235" w:lineRule="auto"/>
        <w:tabs>
          <w:tab w:leader="none" w:pos="318" w:val="left"/>
        </w:tabs>
        <w:numPr>
          <w:ilvl w:val="0"/>
          <w:numId w:val="76"/>
        </w:numPr>
        <w:rPr>
          <w:rFonts w:ascii="Arial" w:cs="Arial" w:eastAsia="Arial" w:hAnsi="Arial"/>
          <w:sz w:val="20"/>
          <w:szCs w:val="20"/>
          <w:color w:val="auto"/>
        </w:rPr>
      </w:pPr>
      <w:r>
        <w:rPr>
          <w:rFonts w:ascii="Arial" w:cs="Arial" w:eastAsia="Arial" w:hAnsi="Arial"/>
          <w:sz w:val="20"/>
          <w:szCs w:val="20"/>
          <w:color w:val="auto"/>
        </w:rPr>
        <w:t>shall be assumed and adjusted by the surviving entity resulting from such transactions or the parent thereof, or (C) shall be exchanged for new awards issued by the surviving entity resulting from such transaction or the parent thereof; and (2) changes in the terms of the award resulting from such transactions will not materially impair the value of the awards to the participants or their opportunity for future appreciation in respect of such awards.</w:t>
      </w:r>
    </w:p>
    <w:p>
      <w:pPr>
        <w:spacing w:after="0" w:line="155" w:lineRule="exact"/>
        <w:rPr>
          <w:rFonts w:ascii="Arial" w:cs="Arial" w:eastAsia="Arial" w:hAnsi="Arial"/>
          <w:sz w:val="13"/>
          <w:szCs w:val="13"/>
          <w:b w:val="1"/>
          <w:bCs w:val="1"/>
          <w:color w:val="FFFFFE"/>
        </w:rPr>
      </w:pPr>
    </w:p>
    <w:p>
      <w:pPr>
        <w:ind w:left="2" w:right="20"/>
        <w:spacing w:after="0" w:line="249" w:lineRule="auto"/>
        <w:rPr>
          <w:sz w:val="20"/>
          <w:szCs w:val="20"/>
          <w:color w:val="auto"/>
        </w:rPr>
      </w:pPr>
      <w:r>
        <w:rPr>
          <w:rFonts w:ascii="Arial" w:cs="Arial" w:eastAsia="Arial" w:hAnsi="Arial"/>
          <w:sz w:val="19"/>
          <w:szCs w:val="19"/>
          <w:color w:val="auto"/>
        </w:rPr>
        <w:t>The 2015 Performance Shares are included in the Summary Compensation Table in the column under "Stock Awards" and in the Grants of Plan-Based Awards table. In 2012, the Committee granted performance shares to the Named Executive Officers, based on the same performance metrics as the 2015 grant. For the three-year period ended December 31, 2014, our TSR percentile was 65.0 compared to the Index. For the same period, our Average Performance percentile with respect to the performance metrics was</w:t>
      </w:r>
    </w:p>
    <w:p>
      <w:pPr>
        <w:ind w:left="2" w:right="620"/>
        <w:spacing w:after="0"/>
        <w:rPr>
          <w:sz w:val="20"/>
          <w:szCs w:val="20"/>
          <w:color w:val="auto"/>
        </w:rPr>
      </w:pPr>
      <w:r>
        <w:rPr>
          <w:rFonts w:ascii="Arial" w:cs="Arial" w:eastAsia="Arial" w:hAnsi="Arial"/>
          <w:sz w:val="20"/>
          <w:szCs w:val="20"/>
          <w:color w:val="auto"/>
        </w:rPr>
        <w:t>78.9 compared to the companies included in the performance metrics. The actual payout to each Named Executive Officer is identified in the Option Exercises and Stock Vested table.</w:t>
      </w:r>
    </w:p>
    <w:p>
      <w:pPr>
        <w:spacing w:after="0" w:line="154" w:lineRule="exact"/>
        <w:rPr>
          <w:rFonts w:ascii="Arial" w:cs="Arial" w:eastAsia="Arial" w:hAnsi="Arial"/>
          <w:sz w:val="13"/>
          <w:szCs w:val="13"/>
          <w:b w:val="1"/>
          <w:bCs w:val="1"/>
          <w:color w:val="FFFFFE"/>
        </w:rPr>
      </w:pPr>
    </w:p>
    <w:p>
      <w:pPr>
        <w:ind w:left="2" w:right="40"/>
        <w:spacing w:after="0" w:line="254" w:lineRule="auto"/>
        <w:rPr>
          <w:sz w:val="20"/>
          <w:szCs w:val="20"/>
          <w:color w:val="auto"/>
        </w:rPr>
      </w:pPr>
      <w:r>
        <w:rPr>
          <w:rFonts w:ascii="Arial" w:cs="Arial" w:eastAsia="Arial" w:hAnsi="Arial"/>
          <w:sz w:val="19"/>
          <w:szCs w:val="19"/>
          <w:b w:val="1"/>
          <w:bCs w:val="1"/>
          <w:i w:val="1"/>
          <w:iCs w:val="1"/>
          <w:color w:val="auto"/>
        </w:rPr>
        <w:t xml:space="preserve">RSUs. </w:t>
      </w:r>
      <w:r>
        <w:rPr>
          <w:rFonts w:ascii="Arial" w:cs="Arial" w:eastAsia="Arial" w:hAnsi="Arial"/>
          <w:sz w:val="19"/>
          <w:szCs w:val="19"/>
          <w:color w:val="auto"/>
        </w:rPr>
        <w:t>We granted RSUs to our Named Executive Officers in February 2015. RSUs are incentive awards that vest in equal 25%</w:t>
      </w:r>
      <w:r>
        <w:rPr>
          <w:rFonts w:ascii="Arial" w:cs="Arial" w:eastAsia="Arial" w:hAnsi="Arial"/>
          <w:sz w:val="19"/>
          <w:szCs w:val="19"/>
          <w:b w:val="1"/>
          <w:bCs w:val="1"/>
          <w:i w:val="1"/>
          <w:iCs w:val="1"/>
          <w:color w:val="auto"/>
        </w:rPr>
        <w:t xml:space="preserve"> </w:t>
      </w:r>
      <w:r>
        <w:rPr>
          <w:rFonts w:ascii="Arial" w:cs="Arial" w:eastAsia="Arial" w:hAnsi="Arial"/>
          <w:sz w:val="19"/>
          <w:szCs w:val="19"/>
          <w:color w:val="auto"/>
        </w:rPr>
        <w:t>installments over four-years if the award recipient remains employed by the Company or one of its subsidiaries. Each RSU represents the fair market value of one share of our common stock on the applicable vesting date, and the value rises and falls with the Company's stock price. Since a portion of multiple RSU awards may vest each February, the Committee selected February 20 as the vesting date for all RSUs as an administrative convenience. The following graph illustrates how the 2015 RSUs work:</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1144905</wp:posOffset>
            </wp:positionH>
            <wp:positionV relativeFrom="paragraph">
              <wp:posOffset>110490</wp:posOffset>
            </wp:positionV>
            <wp:extent cx="4977130" cy="6775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4977130" cy="677545"/>
                    </a:xfrm>
                    <a:prstGeom prst="rect">
                      <a:avLst/>
                    </a:prstGeom>
                    <a:noFill/>
                  </pic:spPr>
                </pic:pic>
              </a:graphicData>
            </a:graphic>
          </wp:anchor>
        </w:drawing>
      </w: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387" w:lineRule="exact"/>
        <w:rPr>
          <w:rFonts w:ascii="Arial" w:cs="Arial" w:eastAsia="Arial" w:hAnsi="Arial"/>
          <w:sz w:val="13"/>
          <w:szCs w:val="13"/>
          <w:b w:val="1"/>
          <w:bCs w:val="1"/>
          <w:color w:val="FFFFFE"/>
        </w:rPr>
      </w:pPr>
    </w:p>
    <w:p>
      <w:pPr>
        <w:ind w:left="2" w:right="120"/>
        <w:spacing w:after="0" w:line="239" w:lineRule="auto"/>
        <w:rPr>
          <w:sz w:val="20"/>
          <w:szCs w:val="20"/>
          <w:color w:val="auto"/>
        </w:rPr>
      </w:pPr>
      <w:r>
        <w:rPr>
          <w:rFonts w:ascii="Arial" w:cs="Arial" w:eastAsia="Arial" w:hAnsi="Arial"/>
          <w:sz w:val="20"/>
          <w:szCs w:val="20"/>
          <w:color w:val="auto"/>
        </w:rPr>
        <w:t>The 2015 RSUs are payable at the election of the participant made shortly after the date of the initial grant, either 100% in stock or 50% in cash and 50% in stock and will vest each February 20 in an amount equal to the number of RSUs vesting on such date multiplied by the closing price of a share of our common stock on that date. If a Retirement Qualified Employee retires, the RSUs will fully vest and will be payable on the dates and in the percentages specified in the vesting schedule. If a Retirement Qualified Employee or a Late Career Employee dies or becomes disabled before the end of the vesting period, any outstanding</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319405</wp:posOffset>
            </wp:positionH>
            <wp:positionV relativeFrom="paragraph">
              <wp:posOffset>172085</wp:posOffset>
            </wp:positionV>
            <wp:extent cx="841375" cy="16383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rFonts w:ascii="Arial" w:cs="Arial" w:eastAsia="Arial" w:hAnsi="Arial"/>
          <w:sz w:val="13"/>
          <w:szCs w:val="13"/>
          <w:b w:val="1"/>
          <w:bCs w:val="1"/>
          <w:color w:val="FFFFFE"/>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60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69" w:name="page70"/>
    <w:bookmarkEnd w:id="69"/>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380"/>
        <w:spacing w:after="0" w:line="255" w:lineRule="auto"/>
        <w:rPr>
          <w:sz w:val="20"/>
          <w:szCs w:val="20"/>
          <w:color w:val="auto"/>
        </w:rPr>
      </w:pPr>
      <w:r>
        <w:rPr>
          <w:rFonts w:ascii="Arial" w:cs="Arial" w:eastAsia="Arial" w:hAnsi="Arial"/>
          <w:sz w:val="19"/>
          <w:szCs w:val="19"/>
          <w:color w:val="auto"/>
        </w:rPr>
        <w:t>RSUs will fully vest and will be payable no later than March 15 of the year following the year in which the event occurs. If a Late Career Employee retires, the recipient will receive a pro-rata payout of the portion</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280"/>
        <w:spacing w:after="0" w:line="235" w:lineRule="auto"/>
        <w:rPr>
          <w:sz w:val="20"/>
          <w:szCs w:val="20"/>
          <w:color w:val="auto"/>
        </w:rPr>
      </w:pPr>
      <w:r>
        <w:rPr>
          <w:rFonts w:ascii="Arial" w:cs="Arial" w:eastAsia="Arial" w:hAnsi="Arial"/>
          <w:sz w:val="20"/>
          <w:szCs w:val="20"/>
          <w:color w:val="auto"/>
        </w:rPr>
        <w:t>that would have released on the next vesting date based on the number of days the recipient was employed from the last vesting date. In the event a recipient is terminated for cause, any award the recipient would otherwise be entitled to receive following the date of termination is forfeited. In the event a recipient is terminated without cause, the CEO in his discretion and with the Committee's approval may determine if, and to what extent, any unvested portion of the grant will vest.</w:t>
      </w:r>
    </w:p>
    <w:p>
      <w:pPr>
        <w:spacing w:after="0" w:line="155" w:lineRule="exact"/>
        <w:rPr>
          <w:rFonts w:ascii="Arial" w:cs="Arial" w:eastAsia="Arial" w:hAnsi="Arial"/>
          <w:sz w:val="13"/>
          <w:szCs w:val="13"/>
          <w:b w:val="1"/>
          <w:bCs w:val="1"/>
          <w:color w:val="FFFFFE"/>
        </w:rPr>
      </w:pPr>
    </w:p>
    <w:p>
      <w:pPr>
        <w:ind w:right="120"/>
        <w:spacing w:after="0" w:line="235" w:lineRule="auto"/>
        <w:rPr>
          <w:sz w:val="20"/>
          <w:szCs w:val="20"/>
          <w:color w:val="auto"/>
        </w:rPr>
      </w:pPr>
      <w:r>
        <w:rPr>
          <w:rFonts w:ascii="Arial" w:cs="Arial" w:eastAsia="Arial" w:hAnsi="Arial"/>
          <w:sz w:val="20"/>
          <w:szCs w:val="20"/>
          <w:color w:val="auto"/>
        </w:rPr>
        <w:t>The RSUs accrue dividend rights on the vested RSUs, equal to the amount of dividends that the participant would have received had the participant directly owned stock equal to the number of vested RSUs from the date of grant to the date of payment, plus interest at the rate of 5% per annum, compounded quarterly, with such amount paid either 100% in stock or 50% in cash and 50% in stock. The RSUs are not included in the calculation of pension benefits. In the event of a change of control, the extent, if any to which the time-based restriction imposed on the RSUs will lapse, will be determined in the same manner as discussed above with respect to the performance shares. The RSUs contain confidentiality protections that apply during employment and survive termination, and non-competition and employee solicitation restrictions that survive for a period of one year following termination of employment.</w:t>
      </w:r>
    </w:p>
    <w:p>
      <w:pPr>
        <w:spacing w:after="0" w:line="161" w:lineRule="exact"/>
        <w:rPr>
          <w:rFonts w:ascii="Arial" w:cs="Arial" w:eastAsia="Arial" w:hAnsi="Arial"/>
          <w:sz w:val="13"/>
          <w:szCs w:val="13"/>
          <w:b w:val="1"/>
          <w:bCs w:val="1"/>
          <w:color w:val="FFFFFE"/>
        </w:rPr>
      </w:pPr>
    </w:p>
    <w:p>
      <w:pPr>
        <w:jc w:val="both"/>
        <w:ind w:right="200"/>
        <w:spacing w:after="0" w:line="247" w:lineRule="auto"/>
        <w:rPr>
          <w:sz w:val="20"/>
          <w:szCs w:val="20"/>
          <w:color w:val="auto"/>
        </w:rPr>
      </w:pPr>
      <w:r>
        <w:rPr>
          <w:rFonts w:ascii="Arial" w:cs="Arial" w:eastAsia="Arial" w:hAnsi="Arial"/>
          <w:sz w:val="20"/>
          <w:szCs w:val="20"/>
          <w:color w:val="auto"/>
        </w:rPr>
        <w:t>The 2015 RSUs are included in the Summary Compensation Table in the column under "Stock Awards" and in the Grants of Plan-Based Awards table. RSUs granted in previous years that vested in 2015 are identified in the Option Exercises and Stock Vested table.</w:t>
      </w:r>
    </w:p>
    <w:p>
      <w:pPr>
        <w:spacing w:after="0" w:line="369" w:lineRule="exact"/>
        <w:rPr>
          <w:rFonts w:ascii="Arial" w:cs="Arial" w:eastAsia="Arial" w:hAnsi="Arial"/>
          <w:sz w:val="13"/>
          <w:szCs w:val="13"/>
          <w:b w:val="1"/>
          <w:bCs w:val="1"/>
          <w:color w:val="FFFFFE"/>
        </w:rPr>
      </w:pPr>
    </w:p>
    <w:p>
      <w:pPr>
        <w:jc w:val="center"/>
        <w:ind w:right="60"/>
        <w:spacing w:after="0"/>
        <w:rPr>
          <w:sz w:val="20"/>
          <w:szCs w:val="20"/>
          <w:color w:val="auto"/>
        </w:rPr>
      </w:pPr>
      <w:r>
        <w:rPr>
          <w:rFonts w:ascii="Arial" w:cs="Arial" w:eastAsia="Arial" w:hAnsi="Arial"/>
          <w:sz w:val="20"/>
          <w:szCs w:val="20"/>
          <w:b w:val="1"/>
          <w:bCs w:val="1"/>
          <w:i w:val="1"/>
          <w:iCs w:val="1"/>
          <w:color w:val="auto"/>
        </w:rPr>
        <w:t>Benefits</w:t>
      </w:r>
    </w:p>
    <w:p>
      <w:pPr>
        <w:spacing w:after="0" w:line="187" w:lineRule="exact"/>
        <w:rPr>
          <w:rFonts w:ascii="Arial" w:cs="Arial" w:eastAsia="Arial" w:hAnsi="Arial"/>
          <w:sz w:val="13"/>
          <w:szCs w:val="13"/>
          <w:b w:val="1"/>
          <w:bCs w:val="1"/>
          <w:color w:val="FFFFFE"/>
        </w:rPr>
      </w:pPr>
    </w:p>
    <w:p>
      <w:pPr>
        <w:ind w:right="360"/>
        <w:spacing w:after="0" w:line="247" w:lineRule="auto"/>
        <w:rPr>
          <w:sz w:val="20"/>
          <w:szCs w:val="20"/>
          <w:color w:val="auto"/>
        </w:rPr>
      </w:pPr>
      <w:r>
        <w:rPr>
          <w:rFonts w:ascii="Arial" w:cs="Arial" w:eastAsia="Arial" w:hAnsi="Arial"/>
          <w:sz w:val="20"/>
          <w:szCs w:val="20"/>
          <w:b w:val="1"/>
          <w:bCs w:val="1"/>
          <w:i w:val="1"/>
          <w:iCs w:val="1"/>
          <w:color w:val="auto"/>
        </w:rPr>
        <w:t xml:space="preserve">Pension Programs. </w:t>
      </w:r>
      <w:r>
        <w:rPr>
          <w:rFonts w:ascii="Arial" w:cs="Arial" w:eastAsia="Arial" w:hAnsi="Arial"/>
          <w:sz w:val="20"/>
          <w:szCs w:val="20"/>
          <w:color w:val="auto"/>
        </w:rPr>
        <w:t>The Named Executive Officers participate in the Retirement Plan and the Supplemental Excess Benefit</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Retirement Plan (the "Supplemental Plan"). We describe these plans in more detail under "Discussion of Pension Benefits." The Company believes that the pension programs are important recruitment and retention tools.</w:t>
      </w:r>
    </w:p>
    <w:p>
      <w:pPr>
        <w:spacing w:after="0" w:line="149" w:lineRule="exact"/>
        <w:rPr>
          <w:rFonts w:ascii="Arial" w:cs="Arial" w:eastAsia="Arial" w:hAnsi="Arial"/>
          <w:sz w:val="13"/>
          <w:szCs w:val="13"/>
          <w:b w:val="1"/>
          <w:bCs w:val="1"/>
          <w:color w:val="FFFFFE"/>
        </w:rPr>
      </w:pPr>
    </w:p>
    <w:p>
      <w:pPr>
        <w:ind w:right="60"/>
        <w:spacing w:after="0" w:line="235" w:lineRule="auto"/>
        <w:rPr>
          <w:sz w:val="20"/>
          <w:szCs w:val="20"/>
          <w:color w:val="auto"/>
        </w:rPr>
      </w:pPr>
      <w:r>
        <w:rPr>
          <w:rFonts w:ascii="Arial" w:cs="Arial" w:eastAsia="Arial" w:hAnsi="Arial"/>
          <w:sz w:val="20"/>
          <w:szCs w:val="20"/>
          <w:b w:val="1"/>
          <w:bCs w:val="1"/>
          <w:i w:val="1"/>
          <w:iCs w:val="1"/>
          <w:color w:val="auto"/>
        </w:rPr>
        <w:t xml:space="preserve">Deferred Compensation Program. </w:t>
      </w:r>
      <w:r>
        <w:rPr>
          <w:rFonts w:ascii="Arial" w:cs="Arial" w:eastAsia="Arial" w:hAnsi="Arial"/>
          <w:sz w:val="20"/>
          <w:szCs w:val="20"/>
          <w:color w:val="auto"/>
        </w:rPr>
        <w:t>The Company offers to its executive officers the ability, if the officer so chooses, to</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participate in a deferred compensation program. We describe our deferred compensation program in more detail under "Discussion of Nonqualified Deferred Compensation." We offer our deferred compensation program because the Committee believes that it is standard market practice to permit officers to defer some portion of their cash compensation. However, we generally consider the value in the deferred compensation plan to be the participant's own money and do not give this amount significant weight in making compensation decisions. Discretionary credits under the deferred compensation plan for Messrs. Falck and Edington are discussed under the heading "Discussion of Nonqualified Deferred Compensation" and for Mr. Edington, under the narrative disclosure to the Summary Compensation Table and Grants of Plan-Based Awards table.</w:t>
      </w:r>
    </w:p>
    <w:p>
      <w:pPr>
        <w:spacing w:after="0" w:line="161" w:lineRule="exact"/>
        <w:rPr>
          <w:rFonts w:ascii="Arial" w:cs="Arial" w:eastAsia="Arial" w:hAnsi="Arial"/>
          <w:sz w:val="13"/>
          <w:szCs w:val="13"/>
          <w:b w:val="1"/>
          <w:bCs w:val="1"/>
          <w:color w:val="FFFFFE"/>
        </w:rPr>
      </w:pPr>
    </w:p>
    <w:p>
      <w:pPr>
        <w:ind w:right="20"/>
        <w:spacing w:after="0" w:line="237" w:lineRule="auto"/>
        <w:rPr>
          <w:sz w:val="20"/>
          <w:szCs w:val="20"/>
          <w:color w:val="auto"/>
        </w:rPr>
      </w:pPr>
      <w:r>
        <w:rPr>
          <w:rFonts w:ascii="Arial" w:cs="Arial" w:eastAsia="Arial" w:hAnsi="Arial"/>
          <w:sz w:val="20"/>
          <w:szCs w:val="20"/>
          <w:b w:val="1"/>
          <w:bCs w:val="1"/>
          <w:i w:val="1"/>
          <w:iCs w:val="1"/>
          <w:color w:val="auto"/>
        </w:rPr>
        <w:t xml:space="preserve">Change of Control Agreements. </w:t>
      </w:r>
      <w:r>
        <w:rPr>
          <w:rFonts w:ascii="Arial" w:cs="Arial" w:eastAsia="Arial" w:hAnsi="Arial"/>
          <w:sz w:val="20"/>
          <w:szCs w:val="20"/>
          <w:color w:val="auto"/>
        </w:rPr>
        <w:t>The Company maintains Key Executive Employment and Severance Agreements (the "Change</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of Control Agreements") for our officers, including the Named Executive Officers. Similar to our deferred compensation programs, Change of Control Agreements do not have a significant impact on compensation design. However, in setting annual incentives, we do consider that the change of control payment, if triggered, would be based on the average of the incentives for the prior four years. We discuss our Change of Control Agreements in more detail under "Potential Payments upon Termination or Change of Control." Our Change of Control Agreements are "double trigger" agreements that provide</w:t>
      </w:r>
    </w:p>
    <w:p>
      <w:pPr>
        <w:spacing w:after="0" w:line="91"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61</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70" w:name="page71"/>
    <w:bookmarkEnd w:id="70"/>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0" w:right="240"/>
        <w:spacing w:after="0" w:line="255" w:lineRule="auto"/>
        <w:rPr>
          <w:sz w:val="20"/>
          <w:szCs w:val="20"/>
          <w:color w:val="auto"/>
        </w:rPr>
      </w:pPr>
      <w:r>
        <w:rPr>
          <w:rFonts w:ascii="Arial" w:cs="Arial" w:eastAsia="Arial" w:hAnsi="Arial"/>
          <w:sz w:val="19"/>
          <w:szCs w:val="19"/>
          <w:color w:val="auto"/>
        </w:rPr>
        <w:t>severance benefits if, during a specified period following a change of control, the Company terminates an employee without "cause" or the employee terminates employment "for good reason." We believe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-274955</wp:posOffset>
            </wp:positionV>
            <wp:extent cx="1487805" cy="15557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120"/>
        <w:spacing w:after="0" w:line="250" w:lineRule="auto"/>
        <w:rPr>
          <w:sz w:val="20"/>
          <w:szCs w:val="20"/>
          <w:color w:val="auto"/>
        </w:rPr>
      </w:pPr>
      <w:r>
        <w:rPr>
          <w:rFonts w:ascii="Arial" w:cs="Arial" w:eastAsia="Arial" w:hAnsi="Arial"/>
          <w:sz w:val="19"/>
          <w:szCs w:val="19"/>
          <w:color w:val="auto"/>
        </w:rPr>
        <w:t>that the possibility of strategic transactions or unsolicited offers creates job uncertainty for executives, and that the Change of Control Agreements are effective tools to provide incentives for executives to stay with the Company in light of these uncertainties. In addition, we believe that if the agreements are appropriately structured, they do not deter takeovers or disadvantage shareholders. Each agreement is terminable on notice given six months prior to each anniversary of the agreement.</w:t>
      </w:r>
    </w:p>
    <w:p>
      <w:pPr>
        <w:spacing w:after="0" w:line="145" w:lineRule="exact"/>
        <w:rPr>
          <w:rFonts w:ascii="Arial" w:cs="Arial" w:eastAsia="Arial" w:hAnsi="Arial"/>
          <w:sz w:val="13"/>
          <w:szCs w:val="13"/>
          <w:b w:val="1"/>
          <w:bCs w:val="1"/>
          <w:color w:val="FFFFFE"/>
        </w:rPr>
      </w:pPr>
    </w:p>
    <w:p>
      <w:pPr>
        <w:ind w:right="80"/>
        <w:spacing w:after="0" w:line="252" w:lineRule="auto"/>
        <w:rPr>
          <w:sz w:val="20"/>
          <w:szCs w:val="20"/>
          <w:color w:val="auto"/>
        </w:rPr>
      </w:pPr>
      <w:r>
        <w:rPr>
          <w:rFonts w:ascii="Arial" w:cs="Arial" w:eastAsia="Arial" w:hAnsi="Arial"/>
          <w:sz w:val="19"/>
          <w:szCs w:val="19"/>
          <w:color w:val="auto"/>
        </w:rPr>
        <w:t>In May 2009, in connection with a review of its executive compensation practices, the Company determined that, on a going-forward basis, it would no longer provide excise tax gross-up payments in new and materially amended Change of Control Agreements with its Named Executive Officers. In unusual circumstances where the Company believes that accommodations have to be made to recruit a new executive to the Company, limited reimbursement for taxes payable on change of control payments may be included in executives' contracts, but even in those circumstances, the excise tax gross-ups will be limited to payments triggered by both a change of control and termination of employment and will be subject to a three-year sunset provision.</w:t>
      </w:r>
    </w:p>
    <w:p>
      <w:pPr>
        <w:spacing w:after="0" w:line="144" w:lineRule="exact"/>
        <w:rPr>
          <w:rFonts w:ascii="Arial" w:cs="Arial" w:eastAsia="Arial" w:hAnsi="Arial"/>
          <w:sz w:val="13"/>
          <w:szCs w:val="13"/>
          <w:b w:val="1"/>
          <w:bCs w:val="1"/>
          <w:color w:val="FFFFFE"/>
        </w:rPr>
      </w:pPr>
    </w:p>
    <w:p>
      <w:pPr>
        <w:ind w:right="40"/>
        <w:spacing w:after="0" w:line="265" w:lineRule="auto"/>
        <w:rPr>
          <w:sz w:val="20"/>
          <w:szCs w:val="20"/>
          <w:color w:val="auto"/>
        </w:rPr>
      </w:pPr>
      <w:r>
        <w:rPr>
          <w:rFonts w:ascii="Arial" w:cs="Arial" w:eastAsia="Arial" w:hAnsi="Arial"/>
          <w:sz w:val="20"/>
          <w:szCs w:val="20"/>
          <w:b w:val="1"/>
          <w:bCs w:val="1"/>
          <w:i w:val="1"/>
          <w:iCs w:val="1"/>
          <w:color w:val="auto"/>
        </w:rPr>
        <w:t xml:space="preserve">Perquisites. </w:t>
      </w:r>
      <w:r>
        <w:rPr>
          <w:rFonts w:ascii="Arial" w:cs="Arial" w:eastAsia="Arial" w:hAnsi="Arial"/>
          <w:sz w:val="20"/>
          <w:szCs w:val="20"/>
          <w:color w:val="auto"/>
        </w:rPr>
        <w:t>We have had a long-standing practice of providing only limited perquisites to our executive officers. We describe our</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perquisites paid to each of the Named Executive Officers in footnote 4 to the Summary Compensation Table.</w:t>
      </w:r>
    </w:p>
    <w:p>
      <w:pPr>
        <w:spacing w:after="0" w:line="126"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b w:val="1"/>
          <w:bCs w:val="1"/>
          <w:color w:val="auto"/>
        </w:rPr>
        <w:t>Taxation and Accounting Considerations Regarding Executive Compensation</w:t>
      </w:r>
    </w:p>
    <w:p>
      <w:pPr>
        <w:spacing w:after="0" w:line="191" w:lineRule="exact"/>
        <w:rPr>
          <w:rFonts w:ascii="Arial" w:cs="Arial" w:eastAsia="Arial" w:hAnsi="Arial"/>
          <w:sz w:val="13"/>
          <w:szCs w:val="13"/>
          <w:b w:val="1"/>
          <w:bCs w:val="1"/>
          <w:color w:val="FFFFFE"/>
        </w:rPr>
      </w:pPr>
    </w:p>
    <w:p>
      <w:pPr>
        <w:ind w:right="40"/>
        <w:spacing w:after="0" w:line="248" w:lineRule="auto"/>
        <w:rPr>
          <w:sz w:val="20"/>
          <w:szCs w:val="20"/>
          <w:color w:val="auto"/>
        </w:rPr>
      </w:pPr>
      <w:r>
        <w:rPr>
          <w:rFonts w:ascii="Arial" w:cs="Arial" w:eastAsia="Arial" w:hAnsi="Arial"/>
          <w:sz w:val="19"/>
          <w:szCs w:val="19"/>
          <w:color w:val="auto"/>
        </w:rPr>
        <w:t>Publicly-traded corporations generally are not permitted to deduct, for federal income tax purposes, annual compensation in excess of $1 million paid to any of certain top executives, except to the extent the compensation qualifies as "performance-based" under rules set forth in the Internal Revenue Code (the "Code"). The Company does not use the deduction as a justification for awarding compensation below $1 million. To the extent the awards do exceed $1 million, the Company believes that it is in the shareholders' best interests to not only consider what components qualify for the deduction, but also preserve flexibility in designing a compensation program. For example, the RSUs described above do not qualify as performance-based compensation under the applicable tax provisions. The Committee and the Board may weigh the tax and accounting consequences of the total compensation program and the individual components of compensation when setting total compensation and determining the individual elements of an officer's compensation package. However, the Committee and the Board do not routinely apply the tax-deductibility rules to limit what they determine otherwise to be necessary and appropriate compensation awards.</w:t>
      </w:r>
    </w:p>
    <w:p>
      <w:pPr>
        <w:spacing w:after="0" w:line="142"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b w:val="1"/>
          <w:bCs w:val="1"/>
          <w:color w:val="auto"/>
        </w:rPr>
        <w:t>Stock Ownership and Retention Guidelines</w:t>
      </w:r>
    </w:p>
    <w:p>
      <w:pPr>
        <w:spacing w:after="0" w:line="191" w:lineRule="exact"/>
        <w:rPr>
          <w:rFonts w:ascii="Arial" w:cs="Arial" w:eastAsia="Arial" w:hAnsi="Arial"/>
          <w:sz w:val="13"/>
          <w:szCs w:val="13"/>
          <w:b w:val="1"/>
          <w:bCs w:val="1"/>
          <w:color w:val="FFFFFE"/>
        </w:rPr>
      </w:pPr>
    </w:p>
    <w:p>
      <w:pPr>
        <w:spacing w:after="0" w:line="247" w:lineRule="auto"/>
        <w:rPr>
          <w:sz w:val="20"/>
          <w:szCs w:val="20"/>
          <w:color w:val="auto"/>
        </w:rPr>
      </w:pPr>
      <w:r>
        <w:rPr>
          <w:rFonts w:ascii="Arial" w:cs="Arial" w:eastAsia="Arial" w:hAnsi="Arial"/>
          <w:sz w:val="20"/>
          <w:szCs w:val="20"/>
          <w:color w:val="auto"/>
        </w:rPr>
        <w:t>We believe that linking a significant portion of an officer's current and potential future net worth to the Company's success, as reflected in our stock price, helps to ensure that officers have a stake similar to that of our shareholders. Stock ownership guidelines also encourage the long-term management of the Company for the benefit of the shareholders.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167640</wp:posOffset>
            </wp:positionV>
            <wp:extent cx="841375" cy="16383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0"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62</w:t>
            </w:r>
          </w:p>
        </w:tc>
        <w:tc>
          <w:tcPr>
            <w:tcW w:w="1120" w:type="dxa"/>
            <w:vAlign w:val="bottom"/>
            <w:vMerge w:val="restart"/>
          </w:tcPr>
          <w:p>
            <w:pPr>
              <w:jc w:val="right"/>
              <w:ind w:right="38"/>
              <w:spacing w:after="0"/>
              <w:rPr>
                <w:sz w:val="20"/>
                <w:szCs w:val="20"/>
                <w:color w:val="auto"/>
              </w:rPr>
            </w:pPr>
            <w:r>
              <w:rPr>
                <w:rFonts w:ascii="Arial" w:cs="Arial" w:eastAsia="Arial" w:hAnsi="Arial"/>
                <w:sz w:val="16"/>
                <w:szCs w:val="16"/>
                <w:b w:val="1"/>
                <w:bCs w:val="1"/>
                <w:color w:val="3A5575"/>
              </w:rPr>
              <w:t>|</w:t>
            </w:r>
          </w:p>
        </w:tc>
        <w:tc>
          <w:tcPr>
            <w:tcW w:w="9100" w:type="dxa"/>
            <w:vAlign w:val="bottom"/>
          </w:tcPr>
          <w:p>
            <w:pPr>
              <w:ind w:left="10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20" w:type="dxa"/>
            <w:vAlign w:val="bottom"/>
            <w:vMerge w:val="continue"/>
          </w:tcPr>
          <w:p>
            <w:pPr>
              <w:spacing w:after="0"/>
              <w:rPr>
                <w:sz w:val="5"/>
                <w:szCs w:val="5"/>
                <w:color w:val="auto"/>
              </w:rPr>
            </w:pPr>
          </w:p>
        </w:tc>
        <w:tc>
          <w:tcPr>
            <w:tcW w:w="9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20" w:type="dxa"/>
            <w:vAlign w:val="bottom"/>
            <w:tcBorders>
              <w:bottom w:val="single" w:sz="8" w:color="808080"/>
            </w:tcBorders>
          </w:tcPr>
          <w:p>
            <w:pPr>
              <w:spacing w:after="0"/>
              <w:rPr>
                <w:sz w:val="11"/>
                <w:szCs w:val="11"/>
                <w:color w:val="auto"/>
              </w:rPr>
            </w:pPr>
          </w:p>
        </w:tc>
        <w:tc>
          <w:tcPr>
            <w:tcW w:w="910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71" w:name="page72"/>
    <w:bookmarkEnd w:id="7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right="460"/>
        <w:spacing w:after="0" w:line="265" w:lineRule="auto"/>
        <w:rPr>
          <w:sz w:val="20"/>
          <w:szCs w:val="20"/>
          <w:color w:val="auto"/>
        </w:rPr>
      </w:pPr>
      <w:r>
        <w:rPr>
          <w:rFonts w:ascii="Arial" w:cs="Arial" w:eastAsia="Arial" w:hAnsi="Arial"/>
          <w:sz w:val="20"/>
          <w:szCs w:val="20"/>
          <w:color w:val="auto"/>
        </w:rPr>
        <w:t xml:space="preserve">The Company's Guidelines are based on the officer's position and his or her base salary. The ownership </w:t>
      </w:r>
      <w:r>
        <w:rPr>
          <w:rFonts w:ascii="Arial" w:cs="Arial" w:eastAsia="Arial" w:hAnsi="Arial"/>
          <w:sz w:val="13"/>
          <w:szCs w:val="13"/>
          <w:b w:val="1"/>
          <w:bCs w:val="1"/>
          <w:color w:val="FFFFFE"/>
        </w:rPr>
        <w:t>EXECUTIVE COMPENSATION</w:t>
      </w:r>
      <w:r>
        <w:rPr>
          <w:rFonts w:ascii="Arial" w:cs="Arial" w:eastAsia="Arial" w:hAnsi="Arial"/>
          <w:sz w:val="20"/>
          <w:szCs w:val="20"/>
          <w:color w:val="auto"/>
        </w:rPr>
        <w:t xml:space="preserve"> requirements are shown below in respect of the indicated officer 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-302895</wp:posOffset>
            </wp:positionV>
            <wp:extent cx="1487805" cy="15557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tbl>
      <w:tblPr>
        <w:tblLayout w:type="fixed"/>
        <w:tblInd w:w="1460" w:type="dxa"/>
        <w:tblCellMar>
          <w:top w:w="0" w:type="dxa"/>
          <w:left w:w="0" w:type="dxa"/>
          <w:bottom w:w="0" w:type="dxa"/>
          <w:right w:w="0" w:type="dxa"/>
        </w:tblCellMar>
      </w:tblPr>
      <w:tr>
        <w:trPr>
          <w:trHeight w:val="255"/>
        </w:trPr>
        <w:tc>
          <w:tcPr>
            <w:tcW w:w="4460" w:type="dxa"/>
            <w:vAlign w:val="bottom"/>
            <w:tcBorders>
              <w:bottom w:val="single" w:sz="8" w:color="888992"/>
            </w:tcBorders>
            <w:gridSpan w:val="2"/>
          </w:tcPr>
          <w:p>
            <w:pPr>
              <w:spacing w:after="0"/>
              <w:rPr>
                <w:sz w:val="20"/>
                <w:szCs w:val="20"/>
                <w:color w:val="auto"/>
              </w:rPr>
            </w:pPr>
            <w:r>
              <w:rPr>
                <w:rFonts w:ascii="Arial" w:cs="Arial" w:eastAsia="Arial" w:hAnsi="Arial"/>
                <w:sz w:val="20"/>
                <w:szCs w:val="20"/>
                <w:b w:val="1"/>
                <w:bCs w:val="1"/>
                <w:color w:val="3A5575"/>
              </w:rPr>
              <w:t>OFFICER</w:t>
            </w:r>
          </w:p>
        </w:tc>
        <w:tc>
          <w:tcPr>
            <w:tcW w:w="4120" w:type="dxa"/>
            <w:vAlign w:val="bottom"/>
            <w:tcBorders>
              <w:bottom w:val="single" w:sz="8" w:color="888992"/>
            </w:tcBorders>
          </w:tcPr>
          <w:p>
            <w:pPr>
              <w:jc w:val="center"/>
              <w:ind w:right="2"/>
              <w:spacing w:after="0"/>
              <w:rPr>
                <w:sz w:val="20"/>
                <w:szCs w:val="20"/>
                <w:color w:val="auto"/>
              </w:rPr>
            </w:pPr>
            <w:r>
              <w:rPr>
                <w:rFonts w:ascii="Arial" w:cs="Arial" w:eastAsia="Arial" w:hAnsi="Arial"/>
                <w:sz w:val="20"/>
                <w:szCs w:val="20"/>
                <w:b w:val="1"/>
                <w:bCs w:val="1"/>
                <w:color w:val="3A5575"/>
                <w:w w:val="97"/>
              </w:rPr>
              <w:t>MULTIPLE OF BASE SALARY</w:t>
            </w:r>
          </w:p>
        </w:tc>
      </w:tr>
      <w:tr>
        <w:trPr>
          <w:trHeight w:val="213"/>
        </w:trPr>
        <w:tc>
          <w:tcPr>
            <w:tcW w:w="20" w:type="dxa"/>
            <w:vAlign w:val="bottom"/>
          </w:tcPr>
          <w:p>
            <w:pPr>
              <w:spacing w:after="0"/>
              <w:rPr>
                <w:sz w:val="18"/>
                <w:szCs w:val="18"/>
                <w:color w:val="auto"/>
              </w:rPr>
            </w:pPr>
          </w:p>
        </w:tc>
        <w:tc>
          <w:tcPr>
            <w:tcW w:w="444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Chief Executive Officer</w:t>
            </w:r>
          </w:p>
        </w:tc>
        <w:tc>
          <w:tcPr>
            <w:tcW w:w="4120" w:type="dxa"/>
            <w:vAlign w:val="bottom"/>
            <w:shd w:val="clear" w:color="auto" w:fill="E3E5EB"/>
          </w:tcPr>
          <w:p>
            <w:pPr>
              <w:jc w:val="center"/>
              <w:ind w:right="2"/>
              <w:spacing w:after="0" w:line="213" w:lineRule="exact"/>
              <w:rPr>
                <w:sz w:val="20"/>
                <w:szCs w:val="20"/>
                <w:color w:val="auto"/>
              </w:rPr>
            </w:pPr>
            <w:r>
              <w:rPr>
                <w:rFonts w:ascii="Arial" w:cs="Arial" w:eastAsia="Arial" w:hAnsi="Arial"/>
                <w:sz w:val="20"/>
                <w:szCs w:val="20"/>
                <w:color w:val="auto"/>
                <w:w w:val="97"/>
              </w:rPr>
              <w:t>5 times Base Salary</w:t>
            </w:r>
          </w:p>
        </w:tc>
      </w:tr>
      <w:tr>
        <w:trPr>
          <w:trHeight w:val="191"/>
        </w:trPr>
        <w:tc>
          <w:tcPr>
            <w:tcW w:w="20" w:type="dxa"/>
            <w:vAlign w:val="bottom"/>
          </w:tcPr>
          <w:p>
            <w:pPr>
              <w:spacing w:after="0"/>
              <w:rPr>
                <w:sz w:val="16"/>
                <w:szCs w:val="16"/>
                <w:color w:val="auto"/>
              </w:rPr>
            </w:pPr>
          </w:p>
        </w:tc>
        <w:tc>
          <w:tcPr>
            <w:tcW w:w="4440" w:type="dxa"/>
            <w:vAlign w:val="bottom"/>
          </w:tcPr>
          <w:p>
            <w:pPr>
              <w:spacing w:after="0" w:line="191" w:lineRule="exact"/>
              <w:rPr>
                <w:sz w:val="20"/>
                <w:szCs w:val="20"/>
                <w:color w:val="auto"/>
              </w:rPr>
            </w:pPr>
            <w:r>
              <w:rPr>
                <w:rFonts w:ascii="Arial" w:cs="Arial" w:eastAsia="Arial" w:hAnsi="Arial"/>
                <w:sz w:val="20"/>
                <w:szCs w:val="20"/>
                <w:color w:val="auto"/>
              </w:rPr>
              <w:t>APS President and all Executive and Senior</w:t>
            </w:r>
          </w:p>
        </w:tc>
        <w:tc>
          <w:tcPr>
            <w:tcW w:w="4120" w:type="dxa"/>
            <w:vAlign w:val="bottom"/>
          </w:tcPr>
          <w:p>
            <w:pPr>
              <w:spacing w:after="0"/>
              <w:rPr>
                <w:sz w:val="16"/>
                <w:szCs w:val="16"/>
                <w:color w:val="auto"/>
              </w:rPr>
            </w:pPr>
          </w:p>
        </w:tc>
      </w:tr>
      <w:tr>
        <w:trPr>
          <w:trHeight w:val="251"/>
        </w:trPr>
        <w:tc>
          <w:tcPr>
            <w:tcW w:w="20" w:type="dxa"/>
            <w:vAlign w:val="bottom"/>
          </w:tcPr>
          <w:p>
            <w:pPr>
              <w:spacing w:after="0"/>
              <w:rPr>
                <w:sz w:val="21"/>
                <w:szCs w:val="21"/>
                <w:color w:val="auto"/>
              </w:rPr>
            </w:pPr>
          </w:p>
        </w:tc>
        <w:tc>
          <w:tcPr>
            <w:tcW w:w="4440" w:type="dxa"/>
            <w:vAlign w:val="bottom"/>
          </w:tcPr>
          <w:p>
            <w:pPr>
              <w:ind w:left="180"/>
              <w:spacing w:after="0"/>
              <w:rPr>
                <w:sz w:val="20"/>
                <w:szCs w:val="20"/>
                <w:color w:val="auto"/>
              </w:rPr>
            </w:pPr>
            <w:r>
              <w:rPr>
                <w:rFonts w:ascii="Arial" w:cs="Arial" w:eastAsia="Arial" w:hAnsi="Arial"/>
                <w:sz w:val="20"/>
                <w:szCs w:val="20"/>
                <w:color w:val="auto"/>
              </w:rPr>
              <w:t>Vice Presidents</w:t>
            </w:r>
          </w:p>
        </w:tc>
        <w:tc>
          <w:tcPr>
            <w:tcW w:w="4120" w:type="dxa"/>
            <w:vAlign w:val="bottom"/>
          </w:tcPr>
          <w:p>
            <w:pPr>
              <w:jc w:val="center"/>
              <w:ind w:right="2"/>
              <w:spacing w:after="0"/>
              <w:rPr>
                <w:sz w:val="20"/>
                <w:szCs w:val="20"/>
                <w:color w:val="auto"/>
              </w:rPr>
            </w:pPr>
            <w:r>
              <w:rPr>
                <w:rFonts w:ascii="Arial" w:cs="Arial" w:eastAsia="Arial" w:hAnsi="Arial"/>
                <w:sz w:val="20"/>
                <w:szCs w:val="20"/>
                <w:color w:val="auto"/>
                <w:w w:val="97"/>
              </w:rPr>
              <w:t>2 times Base Salary</w:t>
            </w:r>
          </w:p>
        </w:tc>
      </w:tr>
      <w:tr>
        <w:trPr>
          <w:trHeight w:val="221"/>
        </w:trPr>
        <w:tc>
          <w:tcPr>
            <w:tcW w:w="20" w:type="dxa"/>
            <w:vAlign w:val="bottom"/>
          </w:tcPr>
          <w:p>
            <w:pPr>
              <w:spacing w:after="0"/>
              <w:rPr>
                <w:sz w:val="19"/>
                <w:szCs w:val="19"/>
                <w:color w:val="auto"/>
              </w:rPr>
            </w:pPr>
          </w:p>
        </w:tc>
        <w:tc>
          <w:tcPr>
            <w:tcW w:w="4440" w:type="dxa"/>
            <w:vAlign w:val="bottom"/>
            <w:tcBorders>
              <w:bottom w:val="single" w:sz="8" w:color="888992"/>
            </w:tcBorders>
            <w:shd w:val="clear" w:color="auto" w:fill="E3E5EB"/>
          </w:tcPr>
          <w:p>
            <w:pPr>
              <w:spacing w:after="0" w:line="221" w:lineRule="exact"/>
              <w:rPr>
                <w:sz w:val="20"/>
                <w:szCs w:val="20"/>
                <w:color w:val="auto"/>
              </w:rPr>
            </w:pPr>
            <w:r>
              <w:rPr>
                <w:rFonts w:ascii="Arial" w:cs="Arial" w:eastAsia="Arial" w:hAnsi="Arial"/>
                <w:sz w:val="20"/>
                <w:szCs w:val="20"/>
                <w:color w:val="auto"/>
              </w:rPr>
              <w:t>All other Vice Presidents and Officers</w:t>
            </w:r>
          </w:p>
        </w:tc>
        <w:tc>
          <w:tcPr>
            <w:tcW w:w="4120" w:type="dxa"/>
            <w:vAlign w:val="bottom"/>
            <w:tcBorders>
              <w:bottom w:val="single" w:sz="8" w:color="888992"/>
            </w:tcBorders>
            <w:shd w:val="clear" w:color="auto" w:fill="E3E5EB"/>
          </w:tcPr>
          <w:p>
            <w:pPr>
              <w:jc w:val="center"/>
              <w:ind w:right="2"/>
              <w:spacing w:after="0" w:line="221" w:lineRule="exact"/>
              <w:rPr>
                <w:sz w:val="20"/>
                <w:szCs w:val="20"/>
                <w:color w:val="auto"/>
              </w:rPr>
            </w:pPr>
            <w:r>
              <w:rPr>
                <w:rFonts w:ascii="Arial" w:cs="Arial" w:eastAsia="Arial" w:hAnsi="Arial"/>
                <w:sz w:val="20"/>
                <w:szCs w:val="20"/>
                <w:color w:val="auto"/>
                <w:w w:val="97"/>
              </w:rPr>
              <w:t>1 times Base Salary</w:t>
            </w:r>
          </w:p>
        </w:tc>
      </w:tr>
    </w:tbl>
    <w:p>
      <w:pPr>
        <w:spacing w:after="0" w:line="277" w:lineRule="exact"/>
        <w:rPr>
          <w:sz w:val="20"/>
          <w:szCs w:val="20"/>
          <w:color w:val="auto"/>
        </w:rPr>
      </w:pPr>
    </w:p>
    <w:p>
      <w:pPr>
        <w:ind w:right="40"/>
        <w:spacing w:after="0" w:line="242" w:lineRule="auto"/>
        <w:rPr>
          <w:sz w:val="20"/>
          <w:szCs w:val="20"/>
          <w:color w:val="auto"/>
        </w:rPr>
      </w:pPr>
      <w:r>
        <w:rPr>
          <w:rFonts w:ascii="Arial" w:cs="Arial" w:eastAsia="Arial" w:hAnsi="Arial"/>
          <w:sz w:val="20"/>
          <w:szCs w:val="20"/>
          <w:color w:val="auto"/>
        </w:rPr>
        <w:t>Each officer is expected to meet his or her ownership requirement within five years following the later of January 2010 or such officer's election (the "Phase-in Period"). In the event of (1) a promotion or a change in these Guidelines that would cause the officer to move into a higher multiple level or (2) a base salary increase of more than 20% over the officer's previous base salary, an officer will have an additional three-years to meet his or her applicable ownership requirement.</w:t>
      </w:r>
    </w:p>
    <w:p>
      <w:pPr>
        <w:spacing w:after="0" w:line="152" w:lineRule="exact"/>
        <w:rPr>
          <w:sz w:val="20"/>
          <w:szCs w:val="20"/>
          <w:color w:val="auto"/>
        </w:rPr>
      </w:pPr>
    </w:p>
    <w:p>
      <w:pPr>
        <w:ind w:right="200"/>
        <w:spacing w:after="0" w:line="247" w:lineRule="auto"/>
        <w:rPr>
          <w:sz w:val="20"/>
          <w:szCs w:val="20"/>
          <w:color w:val="auto"/>
        </w:rPr>
      </w:pPr>
      <w:r>
        <w:rPr>
          <w:rFonts w:ascii="Arial" w:cs="Arial" w:eastAsia="Arial" w:hAnsi="Arial"/>
          <w:sz w:val="20"/>
          <w:szCs w:val="20"/>
          <w:color w:val="auto"/>
        </w:rPr>
        <w:t>The types of ownership arrangements counted toward the Guidelines are: common stock, whether held individually, jointly, or in trust with or for the benefit of an immediate family member; shares issued upon the vesting of RSUs or the payout of performance shares; and unvested RSUs to the extent they will result in the issuance of common stock to the officer.</w:t>
      </w:r>
    </w:p>
    <w:p>
      <w:pPr>
        <w:spacing w:after="0" w:line="149" w:lineRule="exact"/>
        <w:rPr>
          <w:sz w:val="20"/>
          <w:szCs w:val="20"/>
          <w:color w:val="auto"/>
        </w:rPr>
      </w:pPr>
    </w:p>
    <w:p>
      <w:pPr>
        <w:ind w:right="80"/>
        <w:spacing w:after="0" w:line="234" w:lineRule="auto"/>
        <w:rPr>
          <w:sz w:val="20"/>
          <w:szCs w:val="20"/>
          <w:color w:val="auto"/>
        </w:rPr>
      </w:pPr>
      <w:r>
        <w:rPr>
          <w:rFonts w:ascii="Arial" w:cs="Arial" w:eastAsia="Arial" w:hAnsi="Arial"/>
          <w:sz w:val="20"/>
          <w:szCs w:val="20"/>
          <w:color w:val="auto"/>
        </w:rPr>
        <w:t>Officers may not sell or otherwise transfer ("Dispose") any shares of Company stock received by them pursuant to any of the Company's compensation or benefit programs (net of shares sold or surrendered to meet tax withholding or exercise requirements) until his or her ownership requirement has been met. Thereafter, the officer may Dispose of any shares to the extent such transaction would not cause the officer's share ownership to fall below his or her applicable requirement. The retention requirement applies both during and after the Phase-in Period. In addition, officers may not pledge, margin, hypothecate, hedge, or otherwise grant an economic interest in any shares of Company stock whether or not his or her ownership requirement has been met. This restriction extends to the purchase or creation of any short sales, zero-cost collars, forward sales contracts, puts, calls, options or other derivative securities in respect of any shares of Company stock. If the officer does not attain compliance with his or her ownership requirement by the end of the Phase-in Period, any subsequent grants of equity compensation to such officer will be payable solely in shares of stock until the ownership requirement is met. Under the Guidelines, the CEO may grant exceptions for hardship and other special circumstances.</w:t>
      </w:r>
    </w:p>
    <w:p>
      <w:pPr>
        <w:spacing w:after="0" w:line="9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72" w:name="page73"/>
    <w:bookmarkEnd w:id="72"/>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342" w:right="780" w:hanging="1884"/>
        <w:spacing w:after="0" w:line="292" w:lineRule="auto"/>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color w:val="000000"/>
        </w:rPr>
        <w:t>All of the Named Executive Officers are in compliance with the Guidelines. The following graphs</w:t>
      </w:r>
      <w:r>
        <w:rPr>
          <w:rFonts w:ascii="Arial" w:cs="Arial" w:eastAsia="Arial" w:hAnsi="Arial"/>
          <w:sz w:val="13"/>
          <w:szCs w:val="13"/>
          <w:b w:val="1"/>
          <w:bCs w:val="1"/>
          <w:color w:val="FFFFFE"/>
        </w:rPr>
        <w:t xml:space="preserve"> </w:t>
      </w:r>
      <w:r>
        <w:rPr>
          <w:rFonts w:ascii="Arial" w:cs="Arial" w:eastAsia="Arial" w:hAnsi="Arial"/>
          <w:sz w:val="19"/>
          <w:szCs w:val="19"/>
          <w:color w:val="000000"/>
        </w:rPr>
        <w:t>illustrate how our Named Executive Officers' holdings compare to the Guidelines: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-318135</wp:posOffset>
            </wp:positionV>
            <wp:extent cx="1487805" cy="15557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p>
      <w:pPr>
        <w:spacing w:after="0" w:line="336" w:lineRule="exact"/>
        <w:rPr>
          <w:sz w:val="20"/>
          <w:szCs w:val="20"/>
          <w:color w:val="auto"/>
        </w:rPr>
      </w:pPr>
    </w:p>
    <w:p>
      <w:pPr>
        <w:jc w:val="center"/>
        <w:ind w:left="882"/>
        <w:spacing w:after="0"/>
        <w:rPr>
          <w:sz w:val="20"/>
          <w:szCs w:val="20"/>
          <w:color w:val="auto"/>
        </w:rPr>
      </w:pPr>
      <w:r>
        <w:rPr>
          <w:rFonts w:ascii="Arial" w:cs="Arial" w:eastAsia="Arial" w:hAnsi="Arial"/>
          <w:sz w:val="19"/>
          <w:szCs w:val="19"/>
          <w:b w:val="1"/>
          <w:bCs w:val="1"/>
          <w:i w:val="1"/>
          <w:iCs w:val="1"/>
          <w:color w:val="auto"/>
        </w:rPr>
        <w:t>CEO Ownership</w:t>
      </w:r>
      <w:r>
        <w:rPr>
          <w:rFonts w:ascii="Arial" w:cs="Arial" w:eastAsia="Arial" w:hAnsi="Arial"/>
          <w:sz w:val="15"/>
          <w:szCs w:val="15"/>
          <w:b w:val="1"/>
          <w:bCs w:val="1"/>
          <w:i w:val="1"/>
          <w:iCs w:val="1"/>
          <w:color w:val="auto"/>
        </w:rPr>
        <w:t>(1)</w:t>
      </w:r>
      <w:r>
        <w:rPr>
          <w:rFonts w:ascii="Arial" w:cs="Arial" w:eastAsia="Arial" w:hAnsi="Arial"/>
          <w:sz w:val="19"/>
          <w:szCs w:val="19"/>
          <w:b w:val="1"/>
          <w:bCs w:val="1"/>
          <w:i w:val="1"/>
          <w:i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1495425</wp:posOffset>
            </wp:positionH>
            <wp:positionV relativeFrom="paragraph">
              <wp:posOffset>326390</wp:posOffset>
            </wp:positionV>
            <wp:extent cx="1402080" cy="542861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1402080" cy="54286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6" w:lineRule="exact"/>
        <w:rPr>
          <w:sz w:val="20"/>
          <w:szCs w:val="20"/>
          <w:color w:val="auto"/>
        </w:rPr>
      </w:pPr>
    </w:p>
    <w:p>
      <w:pPr>
        <w:jc w:val="center"/>
        <w:ind w:right="2500"/>
        <w:spacing w:after="0"/>
        <w:rPr>
          <w:sz w:val="20"/>
          <w:szCs w:val="20"/>
          <w:color w:val="auto"/>
        </w:rPr>
      </w:pPr>
      <w:r>
        <w:rPr>
          <w:rFonts w:ascii="Arial" w:cs="Arial" w:eastAsia="Arial" w:hAnsi="Arial"/>
          <w:sz w:val="19"/>
          <w:szCs w:val="19"/>
          <w:b w:val="1"/>
          <w:bCs w:val="1"/>
          <w:i w:val="1"/>
          <w:iCs w:val="1"/>
          <w:color w:val="auto"/>
        </w:rPr>
        <w:t>Average Ownership for</w:t>
      </w:r>
    </w:p>
    <w:p>
      <w:pPr>
        <w:spacing w:after="0" w:line="31" w:lineRule="exact"/>
        <w:rPr>
          <w:sz w:val="20"/>
          <w:szCs w:val="20"/>
          <w:color w:val="auto"/>
        </w:rPr>
      </w:pPr>
    </w:p>
    <w:p>
      <w:pPr>
        <w:jc w:val="center"/>
        <w:ind w:right="2500"/>
        <w:spacing w:after="0"/>
        <w:rPr>
          <w:sz w:val="20"/>
          <w:szCs w:val="20"/>
          <w:color w:val="auto"/>
        </w:rPr>
      </w:pPr>
      <w:r>
        <w:rPr>
          <w:rFonts w:ascii="Arial" w:cs="Arial" w:eastAsia="Arial" w:hAnsi="Arial"/>
          <w:sz w:val="20"/>
          <w:szCs w:val="20"/>
          <w:b w:val="1"/>
          <w:bCs w:val="1"/>
          <w:i w:val="1"/>
          <w:iCs w:val="1"/>
          <w:color w:val="auto"/>
        </w:rPr>
        <w:t>the Other NEO's</w:t>
      </w:r>
      <w:r>
        <w:rPr>
          <w:rFonts w:ascii="Arial" w:cs="Arial" w:eastAsia="Arial" w:hAnsi="Arial"/>
          <w:sz w:val="16"/>
          <w:szCs w:val="16"/>
          <w:b w:val="1"/>
          <w:bCs w:val="1"/>
          <w:i w:val="1"/>
          <w:iCs w:val="1"/>
          <w:color w:val="auto"/>
        </w:rPr>
        <w:t>(1)</w:t>
      </w:r>
      <w:r>
        <w:rPr>
          <w:rFonts w:ascii="Arial" w:cs="Arial" w:eastAsia="Arial" w:hAnsi="Arial"/>
          <w:sz w:val="20"/>
          <w:szCs w:val="20"/>
          <w:b w:val="1"/>
          <w:bCs w:val="1"/>
          <w:i w:val="1"/>
          <w:i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4348480</wp:posOffset>
            </wp:positionV>
            <wp:extent cx="1425575" cy="138620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1425575" cy="13862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6042" w:space="720"/>
            <w:col w:w="4660"/>
          </w:cols>
          <w:pgMar w:left="238" w:top="110" w:right="2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482" w:hanging="482"/>
        <w:spacing w:after="0"/>
        <w:tabs>
          <w:tab w:leader="none" w:pos="482" w:val="left"/>
        </w:tabs>
        <w:numPr>
          <w:ilvl w:val="0"/>
          <w:numId w:val="77"/>
        </w:numPr>
        <w:rPr>
          <w:rFonts w:ascii="Arial" w:cs="Arial" w:eastAsia="Arial" w:hAnsi="Arial"/>
          <w:sz w:val="16"/>
          <w:szCs w:val="16"/>
          <w:color w:val="auto"/>
        </w:rPr>
      </w:pPr>
      <w:r>
        <w:rPr>
          <w:rFonts w:ascii="Arial" w:cs="Arial" w:eastAsia="Arial" w:hAnsi="Arial"/>
          <w:sz w:val="16"/>
          <w:szCs w:val="16"/>
          <w:color w:val="auto"/>
        </w:rPr>
        <w:t>Based on the 12-month average stock price as of the Record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189865</wp:posOffset>
            </wp:positionV>
            <wp:extent cx="841375" cy="16383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85"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64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type w:val="continuous"/>
        </w:sectPr>
      </w:pPr>
    </w:p>
    <w:bookmarkStart w:id="73" w:name="page74"/>
    <w:bookmarkEnd w:id="7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137795</wp:posOffset>
            </wp:positionV>
            <wp:extent cx="1487805" cy="15557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9140"/>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Summary Compensation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540"/>
        <w:spacing w:after="0" w:line="265" w:lineRule="auto"/>
        <w:rPr>
          <w:sz w:val="20"/>
          <w:szCs w:val="20"/>
          <w:color w:val="auto"/>
        </w:rPr>
      </w:pPr>
      <w:r>
        <w:rPr>
          <w:rFonts w:ascii="Arial" w:cs="Arial" w:eastAsia="Arial" w:hAnsi="Arial"/>
          <w:sz w:val="20"/>
          <w:szCs w:val="20"/>
          <w:color w:val="auto"/>
        </w:rPr>
        <w:t>The following table provides information concerning the total compensation earned or paid to the Company's Named Executive Officers:</w:t>
      </w:r>
    </w:p>
    <w:p>
      <w:pPr>
        <w:spacing w:after="0" w:line="200" w:lineRule="exact"/>
        <w:rPr>
          <w:sz w:val="20"/>
          <w:szCs w:val="20"/>
          <w:color w:val="auto"/>
        </w:rPr>
      </w:pPr>
    </w:p>
    <w:p>
      <w:pPr>
        <w:spacing w:after="0" w:line="287" w:lineRule="exact"/>
        <w:rPr>
          <w:sz w:val="20"/>
          <w:szCs w:val="20"/>
          <w:color w:val="auto"/>
        </w:rPr>
      </w:pPr>
    </w:p>
    <w:tbl>
      <w:tblPr>
        <w:tblLayout w:type="fixed"/>
        <w:tblInd w:w="1240"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30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1200" w:type="dxa"/>
            <w:vAlign w:val="bottom"/>
          </w:tcPr>
          <w:p>
            <w:pPr>
              <w:spacing w:after="0"/>
              <w:rPr>
                <w:sz w:val="13"/>
                <w:szCs w:val="13"/>
                <w:color w:val="auto"/>
              </w:rPr>
            </w:pPr>
          </w:p>
        </w:tc>
        <w:tc>
          <w:tcPr>
            <w:tcW w:w="1140" w:type="dxa"/>
            <w:vAlign w:val="bottom"/>
          </w:tcPr>
          <w:p>
            <w:pPr>
              <w:jc w:val="center"/>
              <w:spacing w:after="0"/>
              <w:rPr>
                <w:sz w:val="20"/>
                <w:szCs w:val="20"/>
                <w:color w:val="auto"/>
              </w:rPr>
            </w:pPr>
            <w:r>
              <w:rPr>
                <w:rFonts w:ascii="Arial" w:cs="Arial" w:eastAsia="Arial" w:hAnsi="Arial"/>
                <w:sz w:val="13"/>
                <w:szCs w:val="13"/>
                <w:b w:val="1"/>
                <w:bCs w:val="1"/>
                <w:color w:val="3A5575"/>
                <w:w w:val="98"/>
              </w:rPr>
              <w:t>CHANGE IN</w:t>
            </w:r>
          </w:p>
        </w:tc>
        <w:tc>
          <w:tcPr>
            <w:tcW w:w="14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3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1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PENSION</w:t>
            </w:r>
          </w:p>
        </w:tc>
        <w:tc>
          <w:tcPr>
            <w:tcW w:w="14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3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1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VALUE AND</w:t>
            </w:r>
          </w:p>
        </w:tc>
        <w:tc>
          <w:tcPr>
            <w:tcW w:w="14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3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0" w:type="dxa"/>
            <w:vAlign w:val="bottom"/>
            <w:vMerge w:val="restart"/>
          </w:tcPr>
          <w:p>
            <w:pPr>
              <w:ind w:left="180"/>
              <w:spacing w:after="0"/>
              <w:rPr>
                <w:sz w:val="20"/>
                <w:szCs w:val="20"/>
                <w:color w:val="auto"/>
              </w:rPr>
            </w:pPr>
            <w:r>
              <w:rPr>
                <w:rFonts w:ascii="Arial" w:cs="Arial" w:eastAsia="Arial" w:hAnsi="Arial"/>
                <w:sz w:val="13"/>
                <w:szCs w:val="13"/>
                <w:b w:val="1"/>
                <w:bCs w:val="1"/>
                <w:color w:val="3A5575"/>
              </w:rPr>
              <w:t>NON-EQUITY</w:t>
            </w:r>
          </w:p>
        </w:tc>
        <w:tc>
          <w:tcPr>
            <w:tcW w:w="11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NONQUALIFIED</w:t>
            </w:r>
          </w:p>
        </w:tc>
        <w:tc>
          <w:tcPr>
            <w:tcW w:w="14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3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0" w:type="dxa"/>
            <w:vAlign w:val="bottom"/>
            <w:vMerge w:val="restart"/>
          </w:tcPr>
          <w:p>
            <w:pPr>
              <w:jc w:val="center"/>
              <w:spacing w:after="0"/>
              <w:rPr>
                <w:sz w:val="20"/>
                <w:szCs w:val="20"/>
                <w:color w:val="auto"/>
              </w:rPr>
            </w:pPr>
            <w:r>
              <w:rPr>
                <w:rFonts w:ascii="Arial" w:cs="Arial" w:eastAsia="Arial" w:hAnsi="Arial"/>
                <w:sz w:val="13"/>
                <w:szCs w:val="13"/>
                <w:b w:val="1"/>
                <w:bCs w:val="1"/>
                <w:color w:val="3A5575"/>
              </w:rPr>
              <w:t>STOCK</w:t>
            </w:r>
          </w:p>
        </w:tc>
        <w:tc>
          <w:tcPr>
            <w:tcW w:w="1200" w:type="dxa"/>
            <w:vAlign w:val="bottom"/>
            <w:vMerge w:val="continue"/>
          </w:tcPr>
          <w:p>
            <w:pPr>
              <w:spacing w:after="0"/>
              <w:rPr>
                <w:sz w:val="12"/>
                <w:szCs w:val="12"/>
                <w:color w:val="auto"/>
              </w:rPr>
            </w:pPr>
          </w:p>
        </w:tc>
        <w:tc>
          <w:tcPr>
            <w:tcW w:w="11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DEFERRED</w:t>
            </w:r>
          </w:p>
        </w:tc>
        <w:tc>
          <w:tcPr>
            <w:tcW w:w="14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3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800" w:type="dxa"/>
            <w:vAlign w:val="bottom"/>
            <w:vMerge w:val="continue"/>
          </w:tcPr>
          <w:p>
            <w:pPr>
              <w:spacing w:after="0"/>
              <w:rPr>
                <w:sz w:val="12"/>
                <w:szCs w:val="12"/>
                <w:color w:val="auto"/>
              </w:rPr>
            </w:pPr>
          </w:p>
        </w:tc>
        <w:tc>
          <w:tcPr>
            <w:tcW w:w="2340" w:type="dxa"/>
            <w:vAlign w:val="bottom"/>
            <w:gridSpan w:val="2"/>
          </w:tcPr>
          <w:p>
            <w:pPr>
              <w:ind w:left="40"/>
              <w:spacing w:after="0" w:line="148" w:lineRule="exact"/>
              <w:rPr>
                <w:sz w:val="20"/>
                <w:szCs w:val="20"/>
                <w:color w:val="auto"/>
              </w:rPr>
            </w:pPr>
            <w:r>
              <w:rPr>
                <w:rFonts w:ascii="Arial" w:cs="Arial" w:eastAsia="Arial" w:hAnsi="Arial"/>
                <w:sz w:val="13"/>
                <w:szCs w:val="13"/>
                <w:b w:val="1"/>
                <w:bCs w:val="1"/>
                <w:color w:val="3A5575"/>
              </w:rPr>
              <w:t>INCENTIVE PLAN COMPENSATION</w:t>
            </w:r>
          </w:p>
        </w:tc>
        <w:tc>
          <w:tcPr>
            <w:tcW w:w="14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3020" w:type="dxa"/>
            <w:vAlign w:val="bottom"/>
            <w:gridSpan w:val="2"/>
          </w:tcPr>
          <w:p>
            <w:pPr>
              <w:spacing w:after="0"/>
              <w:rPr>
                <w:sz w:val="20"/>
                <w:szCs w:val="20"/>
                <w:color w:val="auto"/>
              </w:rPr>
            </w:pPr>
            <w:r>
              <w:rPr>
                <w:rFonts w:ascii="Arial" w:cs="Arial" w:eastAsia="Arial" w:hAnsi="Arial"/>
                <w:sz w:val="13"/>
                <w:szCs w:val="13"/>
                <w:b w:val="1"/>
                <w:bCs w:val="1"/>
                <w:color w:val="3A5575"/>
              </w:rPr>
              <w:t>NAME AND</w:t>
            </w:r>
          </w:p>
        </w:tc>
        <w:tc>
          <w:tcPr>
            <w:tcW w:w="480" w:type="dxa"/>
            <w:vAlign w:val="bottom"/>
            <w:gridSpan w:val="2"/>
            <w:vMerge w:val="restart"/>
          </w:tcPr>
          <w:p>
            <w:pPr>
              <w:ind w:left="80"/>
              <w:spacing w:after="0"/>
              <w:rPr>
                <w:sz w:val="20"/>
                <w:szCs w:val="20"/>
                <w:color w:val="auto"/>
              </w:rPr>
            </w:pPr>
            <w:r>
              <w:rPr>
                <w:rFonts w:ascii="Arial" w:cs="Arial" w:eastAsia="Arial" w:hAnsi="Arial"/>
                <w:sz w:val="13"/>
                <w:szCs w:val="13"/>
                <w:b w:val="1"/>
                <w:bCs w:val="1"/>
                <w:color w:val="3A5575"/>
              </w:rPr>
              <w:t>YEAR</w:t>
            </w:r>
          </w:p>
        </w:tc>
        <w:tc>
          <w:tcPr>
            <w:tcW w:w="800" w:type="dxa"/>
            <w:vAlign w:val="bottom"/>
          </w:tcPr>
          <w:p>
            <w:pPr>
              <w:ind w:left="140"/>
              <w:spacing w:after="0"/>
              <w:rPr>
                <w:sz w:val="20"/>
                <w:szCs w:val="20"/>
                <w:color w:val="auto"/>
              </w:rPr>
            </w:pPr>
            <w:r>
              <w:rPr>
                <w:rFonts w:ascii="Arial" w:cs="Arial" w:eastAsia="Arial" w:hAnsi="Arial"/>
                <w:sz w:val="13"/>
                <w:szCs w:val="13"/>
                <w:b w:val="1"/>
                <w:bCs w:val="1"/>
                <w:color w:val="3A5575"/>
              </w:rPr>
              <w:t>SALARY</w:t>
            </w:r>
          </w:p>
        </w:tc>
        <w:tc>
          <w:tcPr>
            <w:tcW w:w="560" w:type="dxa"/>
            <w:vAlign w:val="bottom"/>
          </w:tcPr>
          <w:p>
            <w:pPr>
              <w:ind w:left="40"/>
              <w:spacing w:after="0"/>
              <w:rPr>
                <w:sz w:val="20"/>
                <w:szCs w:val="20"/>
                <w:color w:val="auto"/>
              </w:rPr>
            </w:pPr>
            <w:r>
              <w:rPr>
                <w:rFonts w:ascii="Arial" w:cs="Arial" w:eastAsia="Arial" w:hAnsi="Arial"/>
                <w:sz w:val="13"/>
                <w:szCs w:val="13"/>
                <w:b w:val="1"/>
                <w:bCs w:val="1"/>
                <w:color w:val="3A5575"/>
              </w:rPr>
              <w:t>BONUS</w:t>
            </w:r>
          </w:p>
        </w:tc>
        <w:tc>
          <w:tcPr>
            <w:tcW w:w="800" w:type="dxa"/>
            <w:vAlign w:val="bottom"/>
          </w:tcPr>
          <w:p>
            <w:pPr>
              <w:jc w:val="center"/>
              <w:spacing w:after="0"/>
              <w:rPr>
                <w:sz w:val="20"/>
                <w:szCs w:val="20"/>
                <w:color w:val="auto"/>
              </w:rPr>
            </w:pPr>
            <w:r>
              <w:rPr>
                <w:rFonts w:ascii="Arial" w:cs="Arial" w:eastAsia="Arial" w:hAnsi="Arial"/>
                <w:sz w:val="13"/>
                <w:szCs w:val="13"/>
                <w:b w:val="1"/>
                <w:bCs w:val="1"/>
                <w:color w:val="3A5575"/>
                <w:w w:val="99"/>
              </w:rPr>
              <w:t>AWARDS</w:t>
            </w:r>
          </w:p>
        </w:tc>
        <w:tc>
          <w:tcPr>
            <w:tcW w:w="1200" w:type="dxa"/>
            <w:vAlign w:val="bottom"/>
          </w:tcPr>
          <w:p>
            <w:pPr>
              <w:ind w:left="60"/>
              <w:spacing w:after="0"/>
              <w:rPr>
                <w:sz w:val="20"/>
                <w:szCs w:val="20"/>
                <w:color w:val="auto"/>
              </w:rPr>
            </w:pPr>
            <w:r>
              <w:rPr>
                <w:rFonts w:ascii="Arial" w:cs="Arial" w:eastAsia="Arial" w:hAnsi="Arial"/>
                <w:sz w:val="13"/>
                <w:szCs w:val="13"/>
                <w:b w:val="1"/>
                <w:bCs w:val="1"/>
                <w:color w:val="3A5575"/>
              </w:rPr>
              <w:t>COMPENSATION</w:t>
            </w:r>
          </w:p>
        </w:tc>
        <w:tc>
          <w:tcPr>
            <w:tcW w:w="1140" w:type="dxa"/>
            <w:vAlign w:val="bottom"/>
          </w:tcPr>
          <w:p>
            <w:pPr>
              <w:jc w:val="center"/>
              <w:spacing w:after="0"/>
              <w:rPr>
                <w:sz w:val="20"/>
                <w:szCs w:val="20"/>
                <w:color w:val="auto"/>
              </w:rPr>
            </w:pPr>
            <w:r>
              <w:rPr>
                <w:rFonts w:ascii="Arial" w:cs="Arial" w:eastAsia="Arial" w:hAnsi="Arial"/>
                <w:sz w:val="13"/>
                <w:szCs w:val="13"/>
                <w:b w:val="1"/>
                <w:bCs w:val="1"/>
                <w:color w:val="3A5575"/>
                <w:w w:val="99"/>
              </w:rPr>
              <w:t>EARNINGS</w:t>
            </w:r>
          </w:p>
        </w:tc>
        <w:tc>
          <w:tcPr>
            <w:tcW w:w="1480" w:type="dxa"/>
            <w:vAlign w:val="bottom"/>
          </w:tcPr>
          <w:p>
            <w:pPr>
              <w:jc w:val="center"/>
              <w:spacing w:after="0"/>
              <w:rPr>
                <w:sz w:val="20"/>
                <w:szCs w:val="20"/>
                <w:color w:val="auto"/>
              </w:rPr>
            </w:pPr>
            <w:r>
              <w:rPr>
                <w:rFonts w:ascii="Arial" w:cs="Arial" w:eastAsia="Arial" w:hAnsi="Arial"/>
                <w:sz w:val="13"/>
                <w:szCs w:val="13"/>
                <w:b w:val="1"/>
                <w:bCs w:val="1"/>
                <w:color w:val="3A5575"/>
                <w:w w:val="99"/>
              </w:rPr>
              <w:t>ALL OTHER</w:t>
            </w:r>
          </w:p>
        </w:tc>
        <w:tc>
          <w:tcPr>
            <w:tcW w:w="800" w:type="dxa"/>
            <w:vAlign w:val="bottom"/>
          </w:tcPr>
          <w:p>
            <w:pPr>
              <w:ind w:left="200"/>
              <w:spacing w:after="0"/>
              <w:rPr>
                <w:sz w:val="20"/>
                <w:szCs w:val="20"/>
                <w:color w:val="auto"/>
              </w:rPr>
            </w:pPr>
            <w:r>
              <w:rPr>
                <w:rFonts w:ascii="Arial" w:cs="Arial" w:eastAsia="Arial" w:hAnsi="Arial"/>
                <w:sz w:val="13"/>
                <w:szCs w:val="13"/>
                <w:b w:val="1"/>
                <w:bCs w:val="1"/>
                <w:color w:val="3A5575"/>
              </w:rPr>
              <w:t>TOTAL</w:t>
            </w:r>
          </w:p>
        </w:tc>
        <w:tc>
          <w:tcPr>
            <w:tcW w:w="0" w:type="dxa"/>
            <w:vAlign w:val="bottom"/>
          </w:tcPr>
          <w:p>
            <w:pPr>
              <w:spacing w:after="0"/>
              <w:rPr>
                <w:sz w:val="1"/>
                <w:szCs w:val="1"/>
                <w:color w:val="auto"/>
              </w:rPr>
            </w:pPr>
          </w:p>
        </w:tc>
      </w:tr>
      <w:tr>
        <w:trPr>
          <w:trHeight w:val="172"/>
        </w:trPr>
        <w:tc>
          <w:tcPr>
            <w:tcW w:w="3020" w:type="dxa"/>
            <w:vAlign w:val="bottom"/>
            <w:tcBorders>
              <w:bottom w:val="single" w:sz="8" w:color="646466"/>
            </w:tcBorders>
            <w:gridSpan w:val="2"/>
          </w:tcPr>
          <w:p>
            <w:pPr>
              <w:spacing w:after="0"/>
              <w:rPr>
                <w:sz w:val="20"/>
                <w:szCs w:val="20"/>
                <w:color w:val="auto"/>
              </w:rPr>
            </w:pPr>
            <w:r>
              <w:rPr>
                <w:rFonts w:ascii="Arial" w:cs="Arial" w:eastAsia="Arial" w:hAnsi="Arial"/>
                <w:sz w:val="13"/>
                <w:szCs w:val="13"/>
                <w:b w:val="1"/>
                <w:bCs w:val="1"/>
                <w:color w:val="3A5575"/>
              </w:rPr>
              <w:t>PRINCIPAL POSITION</w:t>
            </w:r>
          </w:p>
        </w:tc>
        <w:tc>
          <w:tcPr>
            <w:tcW w:w="480" w:type="dxa"/>
            <w:vAlign w:val="bottom"/>
            <w:tcBorders>
              <w:bottom w:val="single" w:sz="8" w:color="646466"/>
            </w:tcBorders>
            <w:gridSpan w:val="2"/>
            <w:vMerge w:val="continue"/>
          </w:tcPr>
          <w:p>
            <w:pPr>
              <w:spacing w:after="0"/>
              <w:rPr>
                <w:sz w:val="14"/>
                <w:szCs w:val="14"/>
                <w:color w:val="auto"/>
              </w:rPr>
            </w:pPr>
          </w:p>
        </w:tc>
        <w:tc>
          <w:tcPr>
            <w:tcW w:w="800" w:type="dxa"/>
            <w:vAlign w:val="bottom"/>
            <w:tcBorders>
              <w:bottom w:val="single" w:sz="8" w:color="646466"/>
            </w:tcBorders>
          </w:tcPr>
          <w:p>
            <w:pPr>
              <w:jc w:val="center"/>
              <w:spacing w:after="0"/>
              <w:rPr>
                <w:sz w:val="20"/>
                <w:szCs w:val="20"/>
                <w:color w:val="auto"/>
              </w:rPr>
            </w:pPr>
            <w:r>
              <w:rPr>
                <w:rFonts w:ascii="Arial" w:cs="Arial" w:eastAsia="Arial" w:hAnsi="Arial"/>
                <w:sz w:val="13"/>
                <w:szCs w:val="13"/>
                <w:b w:val="1"/>
                <w:bCs w:val="1"/>
                <w:color w:val="3A5575"/>
              </w:rPr>
              <w:t>($)</w:t>
            </w:r>
          </w:p>
        </w:tc>
        <w:tc>
          <w:tcPr>
            <w:tcW w:w="560" w:type="dxa"/>
            <w:vAlign w:val="bottom"/>
            <w:tcBorders>
              <w:bottom w:val="single" w:sz="8" w:color="646466"/>
            </w:tcBorders>
          </w:tcPr>
          <w:p>
            <w:pPr>
              <w:jc w:val="center"/>
              <w:spacing w:after="0"/>
              <w:rPr>
                <w:sz w:val="20"/>
                <w:szCs w:val="20"/>
                <w:color w:val="auto"/>
              </w:rPr>
            </w:pPr>
            <w:r>
              <w:rPr>
                <w:rFonts w:ascii="Arial" w:cs="Arial" w:eastAsia="Arial" w:hAnsi="Arial"/>
                <w:sz w:val="13"/>
                <w:szCs w:val="13"/>
                <w:b w:val="1"/>
                <w:bCs w:val="1"/>
                <w:color w:val="3A5575"/>
              </w:rPr>
              <w:t>($)</w:t>
            </w:r>
          </w:p>
        </w:tc>
        <w:tc>
          <w:tcPr>
            <w:tcW w:w="800" w:type="dxa"/>
            <w:vAlign w:val="bottom"/>
            <w:tcBorders>
              <w:bottom w:val="single" w:sz="8" w:color="646466"/>
            </w:tcBorders>
          </w:tcPr>
          <w:p>
            <w:pPr>
              <w:jc w:val="center"/>
              <w:spacing w:after="0" w:line="172" w:lineRule="exact"/>
              <w:rPr>
                <w:sz w:val="20"/>
                <w:szCs w:val="20"/>
                <w:color w:val="auto"/>
              </w:rPr>
            </w:pPr>
            <w:r>
              <w:rPr>
                <w:rFonts w:ascii="Arial" w:cs="Arial" w:eastAsia="Arial" w:hAnsi="Arial"/>
                <w:sz w:val="13"/>
                <w:szCs w:val="13"/>
                <w:b w:val="1"/>
                <w:bCs w:val="1"/>
                <w:color w:val="3A5575"/>
                <w:w w:val="89"/>
              </w:rPr>
              <w:t>($)</w:t>
            </w:r>
            <w:r>
              <w:rPr>
                <w:rFonts w:ascii="Arial" w:cs="Arial" w:eastAsia="Arial" w:hAnsi="Arial"/>
                <w:sz w:val="19"/>
                <w:szCs w:val="19"/>
                <w:b w:val="1"/>
                <w:bCs w:val="1"/>
                <w:color w:val="3A5575"/>
                <w:w w:val="89"/>
                <w:vertAlign w:val="superscript"/>
              </w:rPr>
              <w:t>(1)</w:t>
            </w:r>
          </w:p>
        </w:tc>
        <w:tc>
          <w:tcPr>
            <w:tcW w:w="1200" w:type="dxa"/>
            <w:vAlign w:val="bottom"/>
            <w:tcBorders>
              <w:bottom w:val="single" w:sz="8" w:color="646466"/>
            </w:tcBorders>
          </w:tcPr>
          <w:p>
            <w:pPr>
              <w:jc w:val="center"/>
              <w:spacing w:after="0" w:line="172" w:lineRule="exact"/>
              <w:rPr>
                <w:sz w:val="20"/>
                <w:szCs w:val="20"/>
                <w:color w:val="auto"/>
              </w:rPr>
            </w:pPr>
            <w:r>
              <w:rPr>
                <w:rFonts w:ascii="Arial" w:cs="Arial" w:eastAsia="Arial" w:hAnsi="Arial"/>
                <w:sz w:val="13"/>
                <w:szCs w:val="13"/>
                <w:b w:val="1"/>
                <w:bCs w:val="1"/>
                <w:color w:val="3A5575"/>
                <w:w w:val="89"/>
              </w:rPr>
              <w:t>($)</w:t>
            </w:r>
            <w:r>
              <w:rPr>
                <w:rFonts w:ascii="Arial" w:cs="Arial" w:eastAsia="Arial" w:hAnsi="Arial"/>
                <w:sz w:val="19"/>
                <w:szCs w:val="19"/>
                <w:b w:val="1"/>
                <w:bCs w:val="1"/>
                <w:color w:val="3A5575"/>
                <w:w w:val="89"/>
                <w:vertAlign w:val="superscript"/>
              </w:rPr>
              <w:t>(2)</w:t>
            </w:r>
          </w:p>
        </w:tc>
        <w:tc>
          <w:tcPr>
            <w:tcW w:w="1140" w:type="dxa"/>
            <w:vAlign w:val="bottom"/>
            <w:tcBorders>
              <w:bottom w:val="single" w:sz="8" w:color="646466"/>
            </w:tcBorders>
          </w:tcPr>
          <w:p>
            <w:pPr>
              <w:jc w:val="center"/>
              <w:spacing w:after="0" w:line="172" w:lineRule="exact"/>
              <w:rPr>
                <w:sz w:val="20"/>
                <w:szCs w:val="20"/>
                <w:color w:val="auto"/>
              </w:rPr>
            </w:pPr>
            <w:r>
              <w:rPr>
                <w:rFonts w:ascii="Arial" w:cs="Arial" w:eastAsia="Arial" w:hAnsi="Arial"/>
                <w:sz w:val="13"/>
                <w:szCs w:val="13"/>
                <w:b w:val="1"/>
                <w:bCs w:val="1"/>
                <w:color w:val="3A5575"/>
                <w:w w:val="89"/>
              </w:rPr>
              <w:t>($)</w:t>
            </w:r>
            <w:r>
              <w:rPr>
                <w:rFonts w:ascii="Arial" w:cs="Arial" w:eastAsia="Arial" w:hAnsi="Arial"/>
                <w:sz w:val="19"/>
                <w:szCs w:val="19"/>
                <w:b w:val="1"/>
                <w:bCs w:val="1"/>
                <w:color w:val="3A5575"/>
                <w:w w:val="89"/>
                <w:vertAlign w:val="superscript"/>
              </w:rPr>
              <w:t>(3)</w:t>
            </w:r>
          </w:p>
        </w:tc>
        <w:tc>
          <w:tcPr>
            <w:tcW w:w="1480" w:type="dxa"/>
            <w:vAlign w:val="bottom"/>
            <w:tcBorders>
              <w:bottom w:val="single" w:sz="8" w:color="646466"/>
            </w:tcBorders>
          </w:tcPr>
          <w:p>
            <w:pPr>
              <w:jc w:val="center"/>
              <w:spacing w:after="0" w:line="172" w:lineRule="exact"/>
              <w:rPr>
                <w:sz w:val="20"/>
                <w:szCs w:val="20"/>
                <w:color w:val="auto"/>
              </w:rPr>
            </w:pPr>
            <w:r>
              <w:rPr>
                <w:rFonts w:ascii="Arial" w:cs="Arial" w:eastAsia="Arial" w:hAnsi="Arial"/>
                <w:sz w:val="13"/>
                <w:szCs w:val="13"/>
                <w:b w:val="1"/>
                <w:bCs w:val="1"/>
                <w:color w:val="3A5575"/>
                <w:w w:val="97"/>
              </w:rPr>
              <w:t>COMPENSATION ($)</w:t>
            </w:r>
            <w:r>
              <w:rPr>
                <w:rFonts w:ascii="Arial" w:cs="Arial" w:eastAsia="Arial" w:hAnsi="Arial"/>
                <w:sz w:val="19"/>
                <w:szCs w:val="19"/>
                <w:b w:val="1"/>
                <w:bCs w:val="1"/>
                <w:color w:val="3A5575"/>
                <w:w w:val="97"/>
                <w:vertAlign w:val="superscript"/>
              </w:rPr>
              <w:t>(4)</w:t>
            </w:r>
          </w:p>
        </w:tc>
        <w:tc>
          <w:tcPr>
            <w:tcW w:w="800" w:type="dxa"/>
            <w:vAlign w:val="bottom"/>
            <w:tcBorders>
              <w:bottom w:val="single" w:sz="8" w:color="646466"/>
            </w:tcBorders>
          </w:tcPr>
          <w:p>
            <w:pPr>
              <w:jc w:val="center"/>
              <w:spacing w:after="0"/>
              <w:rPr>
                <w:sz w:val="20"/>
                <w:szCs w:val="20"/>
                <w:color w:val="auto"/>
              </w:rPr>
            </w:pPr>
            <w:r>
              <w:rPr>
                <w:rFonts w:ascii="Arial" w:cs="Arial" w:eastAsia="Arial" w:hAnsi="Arial"/>
                <w:sz w:val="13"/>
                <w:szCs w:val="13"/>
                <w:b w:val="1"/>
                <w:bCs w:val="1"/>
                <w:color w:val="3A5575"/>
              </w:rPr>
              <w:t>($)</w:t>
            </w:r>
          </w:p>
        </w:tc>
        <w:tc>
          <w:tcPr>
            <w:tcW w:w="0" w:type="dxa"/>
            <w:vAlign w:val="bottom"/>
          </w:tcPr>
          <w:p>
            <w:pPr>
              <w:spacing w:after="0"/>
              <w:rPr>
                <w:sz w:val="1"/>
                <w:szCs w:val="1"/>
                <w:color w:val="auto"/>
              </w:rPr>
            </w:pPr>
          </w:p>
        </w:tc>
      </w:tr>
      <w:tr>
        <w:trPr>
          <w:trHeight w:val="176"/>
        </w:trPr>
        <w:tc>
          <w:tcPr>
            <w:tcW w:w="3020" w:type="dxa"/>
            <w:vAlign w:val="bottom"/>
            <w:gridSpan w:val="2"/>
          </w:tcPr>
          <w:p>
            <w:pPr>
              <w:spacing w:after="0" w:line="176" w:lineRule="exact"/>
              <w:rPr>
                <w:sz w:val="20"/>
                <w:szCs w:val="20"/>
                <w:color w:val="auto"/>
              </w:rPr>
            </w:pPr>
            <w:r>
              <w:rPr>
                <w:rFonts w:ascii="Arial" w:cs="Arial" w:eastAsia="Arial" w:hAnsi="Arial"/>
                <w:sz w:val="16"/>
                <w:szCs w:val="16"/>
                <w:b w:val="1"/>
                <w:bCs w:val="1"/>
                <w:color w:val="auto"/>
              </w:rPr>
              <w:t>Donald E. Brandt,</w:t>
            </w:r>
          </w:p>
        </w:tc>
        <w:tc>
          <w:tcPr>
            <w:tcW w:w="80" w:type="dxa"/>
            <w:vAlign w:val="bottom"/>
          </w:tcPr>
          <w:p>
            <w:pPr>
              <w:spacing w:after="0"/>
              <w:rPr>
                <w:sz w:val="15"/>
                <w:szCs w:val="15"/>
                <w:color w:val="auto"/>
              </w:rPr>
            </w:pPr>
          </w:p>
        </w:tc>
        <w:tc>
          <w:tcPr>
            <w:tcW w:w="40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2015</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1,277,000</w:t>
            </w:r>
          </w:p>
        </w:tc>
        <w:tc>
          <w:tcPr>
            <w:tcW w:w="56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8"/>
              </w:rPr>
              <w:t>4,400,029</w:t>
            </w:r>
          </w:p>
        </w:tc>
        <w:tc>
          <w:tcPr>
            <w:tcW w:w="12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8"/>
              </w:rPr>
              <w:t>2,066,186</w:t>
            </w:r>
          </w:p>
        </w:tc>
        <w:tc>
          <w:tcPr>
            <w:tcW w:w="114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1,567,172</w:t>
            </w:r>
          </w:p>
        </w:tc>
        <w:tc>
          <w:tcPr>
            <w:tcW w:w="148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27,183</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9,337,570</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Chairman of the Board,</w:t>
            </w:r>
          </w:p>
        </w:tc>
        <w:tc>
          <w:tcPr>
            <w:tcW w:w="80" w:type="dxa"/>
            <w:vAlign w:val="bottom"/>
          </w:tcPr>
          <w:p>
            <w:pPr>
              <w:spacing w:after="0"/>
              <w:rPr>
                <w:sz w:val="16"/>
                <w:szCs w:val="16"/>
                <w:color w:val="auto"/>
              </w:rPr>
            </w:pPr>
          </w:p>
        </w:tc>
        <w:tc>
          <w:tcPr>
            <w:tcW w:w="400" w:type="dxa"/>
            <w:vAlign w:val="bottom"/>
          </w:tcPr>
          <w:p>
            <w:pPr>
              <w:spacing w:after="0"/>
              <w:rPr>
                <w:sz w:val="20"/>
                <w:szCs w:val="20"/>
                <w:color w:val="auto"/>
              </w:rPr>
            </w:pPr>
            <w:r>
              <w:rPr>
                <w:rFonts w:ascii="Arial" w:cs="Arial" w:eastAsia="Arial" w:hAnsi="Arial"/>
                <w:sz w:val="16"/>
                <w:szCs w:val="16"/>
                <w:color w:val="auto"/>
              </w:rPr>
              <w:t>2014</w:t>
            </w:r>
          </w:p>
        </w:tc>
        <w:tc>
          <w:tcPr>
            <w:tcW w:w="800" w:type="dxa"/>
            <w:vAlign w:val="bottom"/>
          </w:tcPr>
          <w:p>
            <w:pPr>
              <w:jc w:val="center"/>
              <w:spacing w:after="0"/>
              <w:rPr>
                <w:sz w:val="20"/>
                <w:szCs w:val="20"/>
                <w:color w:val="auto"/>
              </w:rPr>
            </w:pPr>
            <w:r>
              <w:rPr>
                <w:rFonts w:ascii="Arial" w:cs="Arial" w:eastAsia="Arial" w:hAnsi="Arial"/>
                <w:sz w:val="16"/>
                <w:szCs w:val="16"/>
                <w:color w:val="auto"/>
              </w:rPr>
              <w:t>1,240,000</w:t>
            </w:r>
          </w:p>
        </w:tc>
        <w:tc>
          <w:tcPr>
            <w:tcW w:w="56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rPr>
                <w:sz w:val="20"/>
                <w:szCs w:val="20"/>
                <w:color w:val="auto"/>
              </w:rPr>
            </w:pPr>
            <w:r>
              <w:rPr>
                <w:rFonts w:ascii="Arial" w:cs="Arial" w:eastAsia="Arial" w:hAnsi="Arial"/>
                <w:sz w:val="16"/>
                <w:szCs w:val="16"/>
                <w:color w:val="auto"/>
                <w:w w:val="98"/>
              </w:rPr>
              <w:t>4,199,976</w:t>
            </w:r>
          </w:p>
        </w:tc>
        <w:tc>
          <w:tcPr>
            <w:tcW w:w="1200" w:type="dxa"/>
            <w:vAlign w:val="bottom"/>
          </w:tcPr>
          <w:p>
            <w:pPr>
              <w:jc w:val="center"/>
              <w:spacing w:after="0"/>
              <w:rPr>
                <w:sz w:val="20"/>
                <w:szCs w:val="20"/>
                <w:color w:val="auto"/>
              </w:rPr>
            </w:pPr>
            <w:r>
              <w:rPr>
                <w:rFonts w:ascii="Arial" w:cs="Arial" w:eastAsia="Arial" w:hAnsi="Arial"/>
                <w:sz w:val="16"/>
                <w:szCs w:val="16"/>
                <w:color w:val="auto"/>
                <w:w w:val="98"/>
              </w:rPr>
              <w:t>1,852,560</w:t>
            </w:r>
          </w:p>
        </w:tc>
        <w:tc>
          <w:tcPr>
            <w:tcW w:w="1140" w:type="dxa"/>
            <w:vAlign w:val="bottom"/>
          </w:tcPr>
          <w:p>
            <w:pPr>
              <w:jc w:val="center"/>
              <w:spacing w:after="0"/>
              <w:rPr>
                <w:sz w:val="20"/>
                <w:szCs w:val="20"/>
                <w:color w:val="auto"/>
              </w:rPr>
            </w:pPr>
            <w:r>
              <w:rPr>
                <w:rFonts w:ascii="Arial" w:cs="Arial" w:eastAsia="Arial" w:hAnsi="Arial"/>
                <w:sz w:val="16"/>
                <w:szCs w:val="16"/>
                <w:color w:val="auto"/>
                <w:w w:val="95"/>
              </w:rPr>
              <w:t>2,009,011</w:t>
            </w:r>
          </w:p>
        </w:tc>
        <w:tc>
          <w:tcPr>
            <w:tcW w:w="1480" w:type="dxa"/>
            <w:vAlign w:val="bottom"/>
          </w:tcPr>
          <w:p>
            <w:pPr>
              <w:jc w:val="center"/>
              <w:spacing w:after="0"/>
              <w:rPr>
                <w:sz w:val="20"/>
                <w:szCs w:val="20"/>
                <w:color w:val="auto"/>
              </w:rPr>
            </w:pPr>
            <w:r>
              <w:rPr>
                <w:rFonts w:ascii="Arial" w:cs="Arial" w:eastAsia="Arial" w:hAnsi="Arial"/>
                <w:sz w:val="16"/>
                <w:szCs w:val="16"/>
                <w:color w:val="auto"/>
              </w:rPr>
              <w:t>26,729</w:t>
            </w:r>
          </w:p>
        </w:tc>
        <w:tc>
          <w:tcPr>
            <w:tcW w:w="800" w:type="dxa"/>
            <w:vAlign w:val="bottom"/>
          </w:tcPr>
          <w:p>
            <w:pPr>
              <w:jc w:val="center"/>
              <w:spacing w:after="0"/>
              <w:rPr>
                <w:sz w:val="20"/>
                <w:szCs w:val="20"/>
                <w:color w:val="auto"/>
              </w:rPr>
            </w:pPr>
            <w:r>
              <w:rPr>
                <w:rFonts w:ascii="Arial" w:cs="Arial" w:eastAsia="Arial" w:hAnsi="Arial"/>
                <w:sz w:val="16"/>
                <w:szCs w:val="16"/>
                <w:color w:val="auto"/>
              </w:rPr>
              <w:t>9,328,276</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President and CEO of</w:t>
            </w:r>
          </w:p>
        </w:tc>
        <w:tc>
          <w:tcPr>
            <w:tcW w:w="80" w:type="dxa"/>
            <w:vAlign w:val="bottom"/>
          </w:tcPr>
          <w:p>
            <w:pPr>
              <w:spacing w:after="0"/>
              <w:rPr>
                <w:sz w:val="16"/>
                <w:szCs w:val="16"/>
                <w:color w:val="auto"/>
              </w:rPr>
            </w:pPr>
          </w:p>
        </w:tc>
        <w:tc>
          <w:tcPr>
            <w:tcW w:w="400" w:type="dxa"/>
            <w:vAlign w:val="bottom"/>
            <w:shd w:val="clear" w:color="auto" w:fill="E3E5EB"/>
          </w:tcPr>
          <w:p>
            <w:pPr>
              <w:spacing w:after="0"/>
              <w:rPr>
                <w:sz w:val="20"/>
                <w:szCs w:val="20"/>
                <w:color w:val="auto"/>
              </w:rPr>
            </w:pPr>
            <w:r>
              <w:rPr>
                <w:rFonts w:ascii="Arial" w:cs="Arial" w:eastAsia="Arial" w:hAnsi="Arial"/>
                <w:sz w:val="16"/>
                <w:szCs w:val="16"/>
                <w:color w:val="auto"/>
              </w:rPr>
              <w:t>2013</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1,203,300</w:t>
            </w:r>
          </w:p>
        </w:tc>
        <w:tc>
          <w:tcPr>
            <w:tcW w:w="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4,000,235</w:t>
            </w:r>
          </w:p>
        </w:tc>
        <w:tc>
          <w:tcPr>
            <w:tcW w:w="12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1,893,994</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1,020,892</w:t>
            </w:r>
          </w:p>
        </w:tc>
        <w:tc>
          <w:tcPr>
            <w:tcW w:w="148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26,344</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8,144,765</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Borders>
              <w:bottom w:val="single" w:sz="8" w:color="646466"/>
            </w:tcBorders>
          </w:tcPr>
          <w:p>
            <w:pPr>
              <w:ind w:left="140"/>
              <w:spacing w:after="0"/>
              <w:rPr>
                <w:sz w:val="20"/>
                <w:szCs w:val="20"/>
                <w:color w:val="auto"/>
              </w:rPr>
            </w:pPr>
            <w:r>
              <w:rPr>
                <w:rFonts w:ascii="Arial" w:cs="Arial" w:eastAsia="Arial" w:hAnsi="Arial"/>
                <w:sz w:val="16"/>
                <w:szCs w:val="16"/>
                <w:color w:val="auto"/>
              </w:rPr>
              <w:t>the Company and APS</w:t>
            </w:r>
          </w:p>
        </w:tc>
        <w:tc>
          <w:tcPr>
            <w:tcW w:w="80" w:type="dxa"/>
            <w:vAlign w:val="bottom"/>
            <w:tcBorders>
              <w:bottom w:val="single" w:sz="8" w:color="646466"/>
            </w:tcBorders>
          </w:tcPr>
          <w:p>
            <w:pPr>
              <w:spacing w:after="0"/>
              <w:rPr>
                <w:sz w:val="16"/>
                <w:szCs w:val="16"/>
                <w:color w:val="auto"/>
              </w:rPr>
            </w:pPr>
          </w:p>
        </w:tc>
        <w:tc>
          <w:tcPr>
            <w:tcW w:w="40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56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1200" w:type="dxa"/>
            <w:vAlign w:val="bottom"/>
            <w:tcBorders>
              <w:bottom w:val="single" w:sz="8" w:color="646466"/>
            </w:tcBorders>
          </w:tcPr>
          <w:p>
            <w:pPr>
              <w:spacing w:after="0"/>
              <w:rPr>
                <w:sz w:val="16"/>
                <w:szCs w:val="16"/>
                <w:color w:val="auto"/>
              </w:rPr>
            </w:pPr>
          </w:p>
        </w:tc>
        <w:tc>
          <w:tcPr>
            <w:tcW w:w="1140" w:type="dxa"/>
            <w:vAlign w:val="bottom"/>
            <w:tcBorders>
              <w:bottom w:val="single" w:sz="8" w:color="646466"/>
            </w:tcBorders>
          </w:tcPr>
          <w:p>
            <w:pPr>
              <w:spacing w:after="0"/>
              <w:rPr>
                <w:sz w:val="16"/>
                <w:szCs w:val="16"/>
                <w:color w:val="auto"/>
              </w:rPr>
            </w:pPr>
          </w:p>
        </w:tc>
        <w:tc>
          <w:tcPr>
            <w:tcW w:w="148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00" w:type="dxa"/>
            <w:vAlign w:val="bottom"/>
          </w:tcPr>
          <w:p>
            <w:pPr>
              <w:spacing w:after="0" w:line="176" w:lineRule="exact"/>
              <w:rPr>
                <w:sz w:val="20"/>
                <w:szCs w:val="20"/>
                <w:color w:val="auto"/>
              </w:rPr>
            </w:pPr>
            <w:r>
              <w:rPr>
                <w:rFonts w:ascii="Arial" w:cs="Arial" w:eastAsia="Arial" w:hAnsi="Arial"/>
                <w:sz w:val="16"/>
                <w:szCs w:val="16"/>
                <w:b w:val="1"/>
                <w:bCs w:val="1"/>
                <w:color w:val="auto"/>
              </w:rPr>
              <w:t>James R. Hatfield,</w:t>
            </w:r>
          </w:p>
        </w:tc>
        <w:tc>
          <w:tcPr>
            <w:tcW w:w="480" w:type="dxa"/>
            <w:vAlign w:val="bottom"/>
            <w:gridSpan w:val="2"/>
          </w:tcPr>
          <w:p>
            <w:pPr>
              <w:ind w:left="80"/>
              <w:spacing w:after="0" w:line="176" w:lineRule="exact"/>
              <w:rPr>
                <w:sz w:val="20"/>
                <w:szCs w:val="20"/>
                <w:color w:val="auto"/>
              </w:rPr>
            </w:pPr>
            <w:r>
              <w:rPr>
                <w:rFonts w:ascii="Arial" w:cs="Arial" w:eastAsia="Arial" w:hAnsi="Arial"/>
                <w:sz w:val="16"/>
                <w:szCs w:val="16"/>
                <w:color w:val="auto"/>
              </w:rPr>
              <w:t>2015</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593,000</w:t>
            </w:r>
          </w:p>
        </w:tc>
        <w:tc>
          <w:tcPr>
            <w:tcW w:w="560" w:type="dxa"/>
            <w:vAlign w:val="bottom"/>
          </w:tcPr>
          <w:p>
            <w:pPr>
              <w:jc w:val="center"/>
              <w:spacing w:after="0" w:line="176" w:lineRule="exact"/>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750,144</w:t>
            </w:r>
          </w:p>
        </w:tc>
        <w:tc>
          <w:tcPr>
            <w:tcW w:w="1200" w:type="dxa"/>
            <w:vAlign w:val="bottom"/>
          </w:tcPr>
          <w:p>
            <w:pPr>
              <w:jc w:val="center"/>
              <w:spacing w:after="0" w:line="176" w:lineRule="exact"/>
              <w:rPr>
                <w:sz w:val="20"/>
                <w:szCs w:val="20"/>
                <w:color w:val="auto"/>
              </w:rPr>
            </w:pPr>
            <w:r>
              <w:rPr>
                <w:rFonts w:ascii="Arial" w:cs="Arial" w:eastAsia="Arial" w:hAnsi="Arial"/>
                <w:sz w:val="16"/>
                <w:szCs w:val="16"/>
                <w:color w:val="auto"/>
              </w:rPr>
              <w:t>548,572</w:t>
            </w:r>
          </w:p>
        </w:tc>
        <w:tc>
          <w:tcPr>
            <w:tcW w:w="1140" w:type="dxa"/>
            <w:vAlign w:val="bottom"/>
          </w:tcPr>
          <w:p>
            <w:pPr>
              <w:jc w:val="center"/>
              <w:spacing w:after="0" w:line="176" w:lineRule="exact"/>
              <w:rPr>
                <w:sz w:val="20"/>
                <w:szCs w:val="20"/>
                <w:color w:val="auto"/>
              </w:rPr>
            </w:pPr>
            <w:r>
              <w:rPr>
                <w:rFonts w:ascii="Arial" w:cs="Arial" w:eastAsia="Arial" w:hAnsi="Arial"/>
                <w:sz w:val="16"/>
                <w:szCs w:val="16"/>
                <w:color w:val="auto"/>
                <w:w w:val="96"/>
              </w:rPr>
              <w:t>458,772</w:t>
            </w:r>
          </w:p>
        </w:tc>
        <w:tc>
          <w:tcPr>
            <w:tcW w:w="1480" w:type="dxa"/>
            <w:vAlign w:val="bottom"/>
          </w:tcPr>
          <w:p>
            <w:pPr>
              <w:jc w:val="center"/>
              <w:spacing w:after="0" w:line="176" w:lineRule="exact"/>
              <w:rPr>
                <w:sz w:val="20"/>
                <w:szCs w:val="20"/>
                <w:color w:val="auto"/>
              </w:rPr>
            </w:pPr>
            <w:r>
              <w:rPr>
                <w:rFonts w:ascii="Arial" w:cs="Arial" w:eastAsia="Arial" w:hAnsi="Arial"/>
                <w:sz w:val="16"/>
                <w:szCs w:val="16"/>
                <w:color w:val="auto"/>
              </w:rPr>
              <w:t>30,492</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2,380,980</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Executive Vice</w:t>
            </w:r>
          </w:p>
        </w:tc>
        <w:tc>
          <w:tcPr>
            <w:tcW w:w="80" w:type="dxa"/>
            <w:vAlign w:val="bottom"/>
          </w:tcPr>
          <w:p>
            <w:pPr>
              <w:spacing w:after="0"/>
              <w:rPr>
                <w:sz w:val="16"/>
                <w:szCs w:val="16"/>
                <w:color w:val="auto"/>
              </w:rPr>
            </w:pPr>
          </w:p>
        </w:tc>
        <w:tc>
          <w:tcPr>
            <w:tcW w:w="400" w:type="dxa"/>
            <w:vAlign w:val="bottom"/>
            <w:shd w:val="clear" w:color="auto" w:fill="E3E5EB"/>
          </w:tcPr>
          <w:p>
            <w:pPr>
              <w:spacing w:after="0"/>
              <w:rPr>
                <w:sz w:val="20"/>
                <w:szCs w:val="20"/>
                <w:color w:val="auto"/>
              </w:rPr>
            </w:pPr>
            <w:r>
              <w:rPr>
                <w:rFonts w:ascii="Arial" w:cs="Arial" w:eastAsia="Arial" w:hAnsi="Arial"/>
                <w:sz w:val="16"/>
                <w:szCs w:val="16"/>
                <w:color w:val="auto"/>
              </w:rPr>
              <w:t>2014</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570,000</w:t>
            </w:r>
          </w:p>
        </w:tc>
        <w:tc>
          <w:tcPr>
            <w:tcW w:w="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750,320</w:t>
            </w:r>
          </w:p>
        </w:tc>
        <w:tc>
          <w:tcPr>
            <w:tcW w:w="12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502,603</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6"/>
              </w:rPr>
              <w:t>465,143</w:t>
            </w:r>
          </w:p>
        </w:tc>
        <w:tc>
          <w:tcPr>
            <w:tcW w:w="148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24,050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2,312,116</w:t>
            </w: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3000" w:type="dxa"/>
            <w:vAlign w:val="bottom"/>
          </w:tcPr>
          <w:p>
            <w:pPr>
              <w:ind w:left="140"/>
              <w:spacing w:after="0" w:line="167" w:lineRule="exact"/>
              <w:rPr>
                <w:sz w:val="20"/>
                <w:szCs w:val="20"/>
                <w:color w:val="auto"/>
              </w:rPr>
            </w:pPr>
            <w:r>
              <w:rPr>
                <w:rFonts w:ascii="Arial" w:cs="Arial" w:eastAsia="Arial" w:hAnsi="Arial"/>
                <w:sz w:val="16"/>
                <w:szCs w:val="16"/>
                <w:color w:val="auto"/>
              </w:rPr>
              <w:t>President and Chief Financial Officer of</w:t>
            </w:r>
          </w:p>
        </w:tc>
        <w:tc>
          <w:tcPr>
            <w:tcW w:w="80" w:type="dxa"/>
            <w:vAlign w:val="bottom"/>
          </w:tcPr>
          <w:p>
            <w:pPr>
              <w:spacing w:after="0"/>
              <w:rPr>
                <w:sz w:val="14"/>
                <w:szCs w:val="14"/>
                <w:color w:val="auto"/>
              </w:rPr>
            </w:pPr>
          </w:p>
        </w:tc>
        <w:tc>
          <w:tcPr>
            <w:tcW w:w="400" w:type="dxa"/>
            <w:vAlign w:val="bottom"/>
          </w:tcPr>
          <w:p>
            <w:pPr>
              <w:spacing w:after="0" w:line="167" w:lineRule="exact"/>
              <w:rPr>
                <w:sz w:val="20"/>
                <w:szCs w:val="20"/>
                <w:color w:val="auto"/>
              </w:rPr>
            </w:pPr>
            <w:r>
              <w:rPr>
                <w:rFonts w:ascii="Arial" w:cs="Arial" w:eastAsia="Arial" w:hAnsi="Arial"/>
                <w:sz w:val="16"/>
                <w:szCs w:val="16"/>
                <w:color w:val="auto"/>
              </w:rPr>
              <w:t>2013</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540,000</w:t>
            </w:r>
          </w:p>
        </w:tc>
        <w:tc>
          <w:tcPr>
            <w:tcW w:w="560" w:type="dxa"/>
            <w:vAlign w:val="bottom"/>
          </w:tcPr>
          <w:p>
            <w:pPr>
              <w:jc w:val="center"/>
              <w:spacing w:after="0" w:line="167" w:lineRule="exact"/>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700,005</w:t>
            </w:r>
          </w:p>
        </w:tc>
        <w:tc>
          <w:tcPr>
            <w:tcW w:w="1200" w:type="dxa"/>
            <w:vAlign w:val="bottom"/>
          </w:tcPr>
          <w:p>
            <w:pPr>
              <w:jc w:val="center"/>
              <w:spacing w:after="0" w:line="167" w:lineRule="exact"/>
              <w:rPr>
                <w:sz w:val="20"/>
                <w:szCs w:val="20"/>
                <w:color w:val="auto"/>
              </w:rPr>
            </w:pPr>
            <w:r>
              <w:rPr>
                <w:rFonts w:ascii="Arial" w:cs="Arial" w:eastAsia="Arial" w:hAnsi="Arial"/>
                <w:sz w:val="16"/>
                <w:szCs w:val="16"/>
                <w:color w:val="auto"/>
                <w:w w:val="96"/>
              </w:rPr>
              <w:t>485,611</w:t>
            </w:r>
          </w:p>
        </w:tc>
        <w:tc>
          <w:tcPr>
            <w:tcW w:w="1140" w:type="dxa"/>
            <w:vAlign w:val="bottom"/>
          </w:tcPr>
          <w:p>
            <w:pPr>
              <w:jc w:val="center"/>
              <w:spacing w:after="0" w:line="167" w:lineRule="exact"/>
              <w:rPr>
                <w:sz w:val="20"/>
                <w:szCs w:val="20"/>
                <w:color w:val="auto"/>
              </w:rPr>
            </w:pPr>
            <w:r>
              <w:rPr>
                <w:rFonts w:ascii="Arial" w:cs="Arial" w:eastAsia="Arial" w:hAnsi="Arial"/>
                <w:sz w:val="16"/>
                <w:szCs w:val="16"/>
                <w:color w:val="auto"/>
                <w:w w:val="96"/>
              </w:rPr>
              <w:t>347,743</w:t>
            </w:r>
          </w:p>
        </w:tc>
        <w:tc>
          <w:tcPr>
            <w:tcW w:w="1480" w:type="dxa"/>
            <w:vAlign w:val="bottom"/>
          </w:tcPr>
          <w:p>
            <w:pPr>
              <w:jc w:val="center"/>
              <w:spacing w:after="0" w:line="167" w:lineRule="exact"/>
              <w:rPr>
                <w:sz w:val="20"/>
                <w:szCs w:val="20"/>
                <w:color w:val="auto"/>
              </w:rPr>
            </w:pPr>
            <w:r>
              <w:rPr>
                <w:rFonts w:ascii="Arial" w:cs="Arial" w:eastAsia="Arial" w:hAnsi="Arial"/>
                <w:sz w:val="16"/>
                <w:szCs w:val="16"/>
                <w:color w:val="auto"/>
              </w:rPr>
              <w:t>23,621</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2,096,980</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3000" w:type="dxa"/>
            <w:vAlign w:val="bottom"/>
            <w:tcBorders>
              <w:bottom w:val="single" w:sz="8" w:color="646466"/>
            </w:tcBorders>
          </w:tcPr>
          <w:p>
            <w:pPr>
              <w:ind w:left="140"/>
              <w:spacing w:after="0"/>
              <w:rPr>
                <w:sz w:val="20"/>
                <w:szCs w:val="20"/>
                <w:color w:val="auto"/>
              </w:rPr>
            </w:pPr>
            <w:r>
              <w:rPr>
                <w:rFonts w:ascii="Arial" w:cs="Arial" w:eastAsia="Arial" w:hAnsi="Arial"/>
                <w:sz w:val="16"/>
                <w:szCs w:val="16"/>
                <w:color w:val="auto"/>
              </w:rPr>
              <w:t>the Company and APS</w:t>
            </w:r>
          </w:p>
        </w:tc>
        <w:tc>
          <w:tcPr>
            <w:tcW w:w="80" w:type="dxa"/>
            <w:vAlign w:val="bottom"/>
            <w:tcBorders>
              <w:bottom w:val="single" w:sz="8" w:color="646466"/>
            </w:tcBorders>
          </w:tcPr>
          <w:p>
            <w:pPr>
              <w:spacing w:after="0"/>
              <w:rPr>
                <w:sz w:val="17"/>
                <w:szCs w:val="17"/>
                <w:color w:val="auto"/>
              </w:rPr>
            </w:pPr>
          </w:p>
        </w:tc>
        <w:tc>
          <w:tcPr>
            <w:tcW w:w="40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56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1200" w:type="dxa"/>
            <w:vAlign w:val="bottom"/>
            <w:tcBorders>
              <w:bottom w:val="single" w:sz="8" w:color="646466"/>
            </w:tcBorders>
          </w:tcPr>
          <w:p>
            <w:pPr>
              <w:spacing w:after="0"/>
              <w:rPr>
                <w:sz w:val="17"/>
                <w:szCs w:val="17"/>
                <w:color w:val="auto"/>
              </w:rPr>
            </w:pPr>
          </w:p>
        </w:tc>
        <w:tc>
          <w:tcPr>
            <w:tcW w:w="1140" w:type="dxa"/>
            <w:vAlign w:val="bottom"/>
            <w:tcBorders>
              <w:bottom w:val="single" w:sz="8" w:color="646466"/>
            </w:tcBorders>
          </w:tcPr>
          <w:p>
            <w:pPr>
              <w:spacing w:after="0"/>
              <w:rPr>
                <w:sz w:val="17"/>
                <w:szCs w:val="17"/>
                <w:color w:val="auto"/>
              </w:rPr>
            </w:pPr>
          </w:p>
        </w:tc>
        <w:tc>
          <w:tcPr>
            <w:tcW w:w="148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00" w:type="dxa"/>
            <w:vAlign w:val="bottom"/>
          </w:tcPr>
          <w:p>
            <w:pPr>
              <w:spacing w:after="0" w:line="176" w:lineRule="exact"/>
              <w:rPr>
                <w:sz w:val="20"/>
                <w:szCs w:val="20"/>
                <w:color w:val="auto"/>
              </w:rPr>
            </w:pPr>
            <w:r>
              <w:rPr>
                <w:rFonts w:ascii="Arial" w:cs="Arial" w:eastAsia="Arial" w:hAnsi="Arial"/>
                <w:sz w:val="16"/>
                <w:szCs w:val="16"/>
                <w:b w:val="1"/>
                <w:bCs w:val="1"/>
                <w:color w:val="auto"/>
              </w:rPr>
              <w:t>Randall K. Edington,</w:t>
            </w:r>
          </w:p>
        </w:tc>
        <w:tc>
          <w:tcPr>
            <w:tcW w:w="80" w:type="dxa"/>
            <w:vAlign w:val="bottom"/>
          </w:tcPr>
          <w:p>
            <w:pPr>
              <w:spacing w:after="0"/>
              <w:rPr>
                <w:sz w:val="15"/>
                <w:szCs w:val="15"/>
                <w:color w:val="auto"/>
              </w:rPr>
            </w:pPr>
          </w:p>
        </w:tc>
        <w:tc>
          <w:tcPr>
            <w:tcW w:w="40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2015</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1,050,000</w:t>
            </w:r>
          </w:p>
        </w:tc>
        <w:tc>
          <w:tcPr>
            <w:tcW w:w="56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600,063</w:t>
            </w:r>
          </w:p>
        </w:tc>
        <w:tc>
          <w:tcPr>
            <w:tcW w:w="12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8"/>
              </w:rPr>
              <w:t>1,228,738</w:t>
            </w:r>
          </w:p>
        </w:tc>
        <w:tc>
          <w:tcPr>
            <w:tcW w:w="114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1,164,712</w:t>
            </w:r>
          </w:p>
        </w:tc>
        <w:tc>
          <w:tcPr>
            <w:tcW w:w="148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28,593</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4,072,106</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Executive Vice</w:t>
            </w:r>
          </w:p>
        </w:tc>
        <w:tc>
          <w:tcPr>
            <w:tcW w:w="80" w:type="dxa"/>
            <w:vAlign w:val="bottom"/>
          </w:tcPr>
          <w:p>
            <w:pPr>
              <w:spacing w:after="0"/>
              <w:rPr>
                <w:sz w:val="16"/>
                <w:szCs w:val="16"/>
                <w:color w:val="auto"/>
              </w:rPr>
            </w:pPr>
          </w:p>
        </w:tc>
        <w:tc>
          <w:tcPr>
            <w:tcW w:w="400" w:type="dxa"/>
            <w:vAlign w:val="bottom"/>
          </w:tcPr>
          <w:p>
            <w:pPr>
              <w:spacing w:after="0"/>
              <w:rPr>
                <w:sz w:val="20"/>
                <w:szCs w:val="20"/>
                <w:color w:val="auto"/>
              </w:rPr>
            </w:pPr>
            <w:r>
              <w:rPr>
                <w:rFonts w:ascii="Arial" w:cs="Arial" w:eastAsia="Arial" w:hAnsi="Arial"/>
                <w:sz w:val="16"/>
                <w:szCs w:val="16"/>
                <w:color w:val="auto"/>
              </w:rPr>
              <w:t>2014</w:t>
            </w:r>
          </w:p>
        </w:tc>
        <w:tc>
          <w:tcPr>
            <w:tcW w:w="800" w:type="dxa"/>
            <w:vAlign w:val="bottom"/>
          </w:tcPr>
          <w:p>
            <w:pPr>
              <w:jc w:val="center"/>
              <w:spacing w:after="0"/>
              <w:rPr>
                <w:sz w:val="20"/>
                <w:szCs w:val="20"/>
                <w:color w:val="auto"/>
              </w:rPr>
            </w:pPr>
            <w:r>
              <w:rPr>
                <w:rFonts w:ascii="Arial" w:cs="Arial" w:eastAsia="Arial" w:hAnsi="Arial"/>
                <w:sz w:val="16"/>
                <w:szCs w:val="16"/>
                <w:color w:val="auto"/>
                <w:w w:val="96"/>
              </w:rPr>
              <w:t>960,511</w:t>
            </w:r>
          </w:p>
        </w:tc>
        <w:tc>
          <w:tcPr>
            <w:tcW w:w="56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rPr>
                <w:sz w:val="20"/>
                <w:szCs w:val="20"/>
                <w:color w:val="auto"/>
              </w:rPr>
            </w:pPr>
            <w:r>
              <w:rPr>
                <w:rFonts w:ascii="Arial" w:cs="Arial" w:eastAsia="Arial" w:hAnsi="Arial"/>
                <w:sz w:val="16"/>
                <w:szCs w:val="16"/>
                <w:color w:val="auto"/>
              </w:rPr>
              <w:t>500,031</w:t>
            </w:r>
          </w:p>
        </w:tc>
        <w:tc>
          <w:tcPr>
            <w:tcW w:w="1200" w:type="dxa"/>
            <w:vAlign w:val="bottom"/>
          </w:tcPr>
          <w:p>
            <w:pPr>
              <w:jc w:val="center"/>
              <w:spacing w:after="0"/>
              <w:rPr>
                <w:sz w:val="20"/>
                <w:szCs w:val="20"/>
                <w:color w:val="auto"/>
              </w:rPr>
            </w:pPr>
            <w:r>
              <w:rPr>
                <w:rFonts w:ascii="Arial" w:cs="Arial" w:eastAsia="Arial" w:hAnsi="Arial"/>
                <w:sz w:val="16"/>
                <w:szCs w:val="16"/>
                <w:color w:val="auto"/>
                <w:w w:val="98"/>
              </w:rPr>
              <w:t>1,050,775</w:t>
            </w:r>
          </w:p>
        </w:tc>
        <w:tc>
          <w:tcPr>
            <w:tcW w:w="1140" w:type="dxa"/>
            <w:vAlign w:val="bottom"/>
          </w:tcPr>
          <w:p>
            <w:pPr>
              <w:jc w:val="center"/>
              <w:spacing w:after="0"/>
              <w:rPr>
                <w:sz w:val="20"/>
                <w:szCs w:val="20"/>
                <w:color w:val="auto"/>
              </w:rPr>
            </w:pPr>
            <w:r>
              <w:rPr>
                <w:rFonts w:ascii="Arial" w:cs="Arial" w:eastAsia="Arial" w:hAnsi="Arial"/>
                <w:sz w:val="16"/>
                <w:szCs w:val="16"/>
                <w:color w:val="auto"/>
              </w:rPr>
              <w:t>2,130,198</w:t>
            </w:r>
          </w:p>
        </w:tc>
        <w:tc>
          <w:tcPr>
            <w:tcW w:w="1480" w:type="dxa"/>
            <w:vAlign w:val="bottom"/>
          </w:tcPr>
          <w:p>
            <w:pPr>
              <w:jc w:val="center"/>
              <w:spacing w:after="0"/>
              <w:rPr>
                <w:sz w:val="20"/>
                <w:szCs w:val="20"/>
                <w:color w:val="auto"/>
              </w:rPr>
            </w:pPr>
            <w:r>
              <w:rPr>
                <w:rFonts w:ascii="Arial" w:cs="Arial" w:eastAsia="Arial" w:hAnsi="Arial"/>
                <w:sz w:val="16"/>
                <w:szCs w:val="16"/>
                <w:color w:val="auto"/>
                <w:w w:val="98"/>
              </w:rPr>
              <w:t>1,072,586</w:t>
            </w:r>
          </w:p>
        </w:tc>
        <w:tc>
          <w:tcPr>
            <w:tcW w:w="800" w:type="dxa"/>
            <w:vAlign w:val="bottom"/>
          </w:tcPr>
          <w:p>
            <w:pPr>
              <w:jc w:val="center"/>
              <w:spacing w:after="0"/>
              <w:rPr>
                <w:sz w:val="20"/>
                <w:szCs w:val="20"/>
                <w:color w:val="auto"/>
              </w:rPr>
            </w:pPr>
            <w:r>
              <w:rPr>
                <w:rFonts w:ascii="Arial" w:cs="Arial" w:eastAsia="Arial" w:hAnsi="Arial"/>
                <w:sz w:val="16"/>
                <w:szCs w:val="16"/>
                <w:color w:val="auto"/>
              </w:rPr>
              <w:t>5,714,101</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President and Chief</w:t>
            </w:r>
          </w:p>
        </w:tc>
        <w:tc>
          <w:tcPr>
            <w:tcW w:w="80" w:type="dxa"/>
            <w:vAlign w:val="bottom"/>
          </w:tcPr>
          <w:p>
            <w:pPr>
              <w:spacing w:after="0"/>
              <w:rPr>
                <w:sz w:val="16"/>
                <w:szCs w:val="16"/>
                <w:color w:val="auto"/>
              </w:rPr>
            </w:pPr>
          </w:p>
        </w:tc>
        <w:tc>
          <w:tcPr>
            <w:tcW w:w="400" w:type="dxa"/>
            <w:vAlign w:val="bottom"/>
            <w:shd w:val="clear" w:color="auto" w:fill="E3E5EB"/>
          </w:tcPr>
          <w:p>
            <w:pPr>
              <w:spacing w:after="0"/>
              <w:rPr>
                <w:sz w:val="20"/>
                <w:szCs w:val="20"/>
                <w:color w:val="auto"/>
              </w:rPr>
            </w:pPr>
            <w:r>
              <w:rPr>
                <w:rFonts w:ascii="Arial" w:cs="Arial" w:eastAsia="Arial" w:hAnsi="Arial"/>
                <w:sz w:val="16"/>
                <w:szCs w:val="16"/>
                <w:color w:val="auto"/>
              </w:rPr>
              <w:t>2013</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925,000</w:t>
            </w:r>
          </w:p>
        </w:tc>
        <w:tc>
          <w:tcPr>
            <w:tcW w:w="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500,208</w:t>
            </w:r>
          </w:p>
        </w:tc>
        <w:tc>
          <w:tcPr>
            <w:tcW w:w="12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814,505</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96,488</w:t>
            </w:r>
          </w:p>
        </w:tc>
        <w:tc>
          <w:tcPr>
            <w:tcW w:w="148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21,708</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2,357,909</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Borders>
              <w:bottom w:val="single" w:sz="8" w:color="646466"/>
            </w:tcBorders>
          </w:tcPr>
          <w:p>
            <w:pPr>
              <w:ind w:left="140"/>
              <w:spacing w:after="0"/>
              <w:rPr>
                <w:sz w:val="20"/>
                <w:szCs w:val="20"/>
                <w:color w:val="auto"/>
              </w:rPr>
            </w:pPr>
            <w:r>
              <w:rPr>
                <w:rFonts w:ascii="Arial" w:cs="Arial" w:eastAsia="Arial" w:hAnsi="Arial"/>
                <w:sz w:val="16"/>
                <w:szCs w:val="16"/>
                <w:color w:val="auto"/>
              </w:rPr>
              <w:t>Nuclear Officer, APS</w:t>
            </w:r>
          </w:p>
        </w:tc>
        <w:tc>
          <w:tcPr>
            <w:tcW w:w="80" w:type="dxa"/>
            <w:vAlign w:val="bottom"/>
            <w:tcBorders>
              <w:bottom w:val="single" w:sz="8" w:color="646466"/>
            </w:tcBorders>
          </w:tcPr>
          <w:p>
            <w:pPr>
              <w:spacing w:after="0"/>
              <w:rPr>
                <w:sz w:val="16"/>
                <w:szCs w:val="16"/>
                <w:color w:val="auto"/>
              </w:rPr>
            </w:pPr>
          </w:p>
        </w:tc>
        <w:tc>
          <w:tcPr>
            <w:tcW w:w="40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56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1200" w:type="dxa"/>
            <w:vAlign w:val="bottom"/>
            <w:tcBorders>
              <w:bottom w:val="single" w:sz="8" w:color="646466"/>
            </w:tcBorders>
          </w:tcPr>
          <w:p>
            <w:pPr>
              <w:spacing w:after="0"/>
              <w:rPr>
                <w:sz w:val="16"/>
                <w:szCs w:val="16"/>
                <w:color w:val="auto"/>
              </w:rPr>
            </w:pPr>
          </w:p>
        </w:tc>
        <w:tc>
          <w:tcPr>
            <w:tcW w:w="1140" w:type="dxa"/>
            <w:vAlign w:val="bottom"/>
            <w:tcBorders>
              <w:bottom w:val="single" w:sz="8" w:color="646466"/>
            </w:tcBorders>
          </w:tcPr>
          <w:p>
            <w:pPr>
              <w:spacing w:after="0"/>
              <w:rPr>
                <w:sz w:val="16"/>
                <w:szCs w:val="16"/>
                <w:color w:val="auto"/>
              </w:rPr>
            </w:pPr>
          </w:p>
        </w:tc>
        <w:tc>
          <w:tcPr>
            <w:tcW w:w="1480" w:type="dxa"/>
            <w:vAlign w:val="bottom"/>
            <w:tcBorders>
              <w:bottom w:val="single" w:sz="8" w:color="646466"/>
            </w:tcBorders>
          </w:tcPr>
          <w:p>
            <w:pPr>
              <w:spacing w:after="0"/>
              <w:rPr>
                <w:sz w:val="16"/>
                <w:szCs w:val="16"/>
                <w:color w:val="auto"/>
              </w:rPr>
            </w:pPr>
          </w:p>
        </w:tc>
        <w:tc>
          <w:tcPr>
            <w:tcW w:w="800" w:type="dxa"/>
            <w:vAlign w:val="bottom"/>
            <w:tcBorders>
              <w:bottom w:val="single" w:sz="8" w:color="646466"/>
            </w:tcBorders>
          </w:tcPr>
          <w:p>
            <w:pPr>
              <w:spacing w:after="0"/>
              <w:rPr>
                <w:sz w:val="16"/>
                <w:szCs w:val="16"/>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00" w:type="dxa"/>
            <w:vAlign w:val="bottom"/>
          </w:tcPr>
          <w:p>
            <w:pPr>
              <w:spacing w:after="0" w:line="176" w:lineRule="exact"/>
              <w:rPr>
                <w:sz w:val="20"/>
                <w:szCs w:val="20"/>
                <w:color w:val="auto"/>
              </w:rPr>
            </w:pPr>
            <w:r>
              <w:rPr>
                <w:rFonts w:ascii="Arial" w:cs="Arial" w:eastAsia="Arial" w:hAnsi="Arial"/>
                <w:sz w:val="16"/>
                <w:szCs w:val="16"/>
                <w:b w:val="1"/>
                <w:bCs w:val="1"/>
                <w:color w:val="auto"/>
              </w:rPr>
              <w:t>David P. Falck,</w:t>
            </w:r>
          </w:p>
        </w:tc>
        <w:tc>
          <w:tcPr>
            <w:tcW w:w="480" w:type="dxa"/>
            <w:vAlign w:val="bottom"/>
            <w:gridSpan w:val="2"/>
          </w:tcPr>
          <w:p>
            <w:pPr>
              <w:ind w:left="80"/>
              <w:spacing w:after="0" w:line="176" w:lineRule="exact"/>
              <w:rPr>
                <w:sz w:val="20"/>
                <w:szCs w:val="20"/>
                <w:color w:val="auto"/>
              </w:rPr>
            </w:pPr>
            <w:r>
              <w:rPr>
                <w:rFonts w:ascii="Arial" w:cs="Arial" w:eastAsia="Arial" w:hAnsi="Arial"/>
                <w:sz w:val="16"/>
                <w:szCs w:val="16"/>
                <w:color w:val="auto"/>
              </w:rPr>
              <w:t>2015</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544,000</w:t>
            </w:r>
          </w:p>
        </w:tc>
        <w:tc>
          <w:tcPr>
            <w:tcW w:w="560" w:type="dxa"/>
            <w:vAlign w:val="bottom"/>
          </w:tcPr>
          <w:p>
            <w:pPr>
              <w:jc w:val="center"/>
              <w:spacing w:after="0" w:line="176" w:lineRule="exact"/>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750,144</w:t>
            </w:r>
          </w:p>
        </w:tc>
        <w:tc>
          <w:tcPr>
            <w:tcW w:w="1200" w:type="dxa"/>
            <w:vAlign w:val="bottom"/>
          </w:tcPr>
          <w:p>
            <w:pPr>
              <w:jc w:val="center"/>
              <w:spacing w:after="0" w:line="176" w:lineRule="exact"/>
              <w:rPr>
                <w:sz w:val="20"/>
                <w:szCs w:val="20"/>
                <w:color w:val="auto"/>
              </w:rPr>
            </w:pPr>
            <w:r>
              <w:rPr>
                <w:rFonts w:ascii="Arial" w:cs="Arial" w:eastAsia="Arial" w:hAnsi="Arial"/>
                <w:sz w:val="16"/>
                <w:szCs w:val="16"/>
                <w:color w:val="auto"/>
              </w:rPr>
              <w:t>478,437</w:t>
            </w:r>
          </w:p>
        </w:tc>
        <w:tc>
          <w:tcPr>
            <w:tcW w:w="1140" w:type="dxa"/>
            <w:vAlign w:val="bottom"/>
          </w:tcPr>
          <w:p>
            <w:pPr>
              <w:jc w:val="center"/>
              <w:spacing w:after="0" w:line="176" w:lineRule="exact"/>
              <w:rPr>
                <w:sz w:val="20"/>
                <w:szCs w:val="20"/>
                <w:color w:val="auto"/>
              </w:rPr>
            </w:pPr>
            <w:r>
              <w:rPr>
                <w:rFonts w:ascii="Arial" w:cs="Arial" w:eastAsia="Arial" w:hAnsi="Arial"/>
                <w:sz w:val="16"/>
                <w:szCs w:val="16"/>
                <w:color w:val="auto"/>
                <w:w w:val="96"/>
              </w:rPr>
              <w:t>368,182</w:t>
            </w:r>
          </w:p>
        </w:tc>
        <w:tc>
          <w:tcPr>
            <w:tcW w:w="1480" w:type="dxa"/>
            <w:vAlign w:val="bottom"/>
          </w:tcPr>
          <w:p>
            <w:pPr>
              <w:jc w:val="center"/>
              <w:spacing w:after="0" w:line="176" w:lineRule="exact"/>
              <w:rPr>
                <w:sz w:val="20"/>
                <w:szCs w:val="20"/>
                <w:color w:val="auto"/>
              </w:rPr>
            </w:pPr>
            <w:r>
              <w:rPr>
                <w:rFonts w:ascii="Arial" w:cs="Arial" w:eastAsia="Arial" w:hAnsi="Arial"/>
                <w:sz w:val="16"/>
                <w:szCs w:val="16"/>
                <w:color w:val="auto"/>
              </w:rPr>
              <w:t>25,675</w:t>
            </w:r>
          </w:p>
        </w:tc>
        <w:tc>
          <w:tcPr>
            <w:tcW w:w="800" w:type="dxa"/>
            <w:vAlign w:val="bottom"/>
          </w:tcPr>
          <w:p>
            <w:pPr>
              <w:jc w:val="center"/>
              <w:spacing w:after="0" w:line="176" w:lineRule="exact"/>
              <w:rPr>
                <w:sz w:val="20"/>
                <w:szCs w:val="20"/>
                <w:color w:val="auto"/>
              </w:rPr>
            </w:pPr>
            <w:r>
              <w:rPr>
                <w:rFonts w:ascii="Arial" w:cs="Arial" w:eastAsia="Arial" w:hAnsi="Arial"/>
                <w:sz w:val="16"/>
                <w:szCs w:val="16"/>
                <w:color w:val="auto"/>
              </w:rPr>
              <w:t>2,166,438</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Executive Vice</w:t>
            </w:r>
          </w:p>
        </w:tc>
        <w:tc>
          <w:tcPr>
            <w:tcW w:w="80" w:type="dxa"/>
            <w:vAlign w:val="bottom"/>
          </w:tcPr>
          <w:p>
            <w:pPr>
              <w:spacing w:after="0"/>
              <w:rPr>
                <w:sz w:val="16"/>
                <w:szCs w:val="16"/>
                <w:color w:val="auto"/>
              </w:rPr>
            </w:pPr>
          </w:p>
        </w:tc>
        <w:tc>
          <w:tcPr>
            <w:tcW w:w="400" w:type="dxa"/>
            <w:vAlign w:val="bottom"/>
            <w:shd w:val="clear" w:color="auto" w:fill="E3E5EB"/>
          </w:tcPr>
          <w:p>
            <w:pPr>
              <w:spacing w:after="0"/>
              <w:rPr>
                <w:sz w:val="20"/>
                <w:szCs w:val="20"/>
                <w:color w:val="auto"/>
              </w:rPr>
            </w:pPr>
            <w:r>
              <w:rPr>
                <w:rFonts w:ascii="Arial" w:cs="Arial" w:eastAsia="Arial" w:hAnsi="Arial"/>
                <w:sz w:val="16"/>
                <w:szCs w:val="16"/>
                <w:color w:val="auto"/>
              </w:rPr>
              <w:t>2014</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522,000</w:t>
            </w:r>
          </w:p>
        </w:tc>
        <w:tc>
          <w:tcPr>
            <w:tcW w:w="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750,320</w:t>
            </w:r>
          </w:p>
        </w:tc>
        <w:tc>
          <w:tcPr>
            <w:tcW w:w="12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423,697</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6"/>
              </w:rPr>
              <w:t>419,745</w:t>
            </w:r>
          </w:p>
        </w:tc>
        <w:tc>
          <w:tcPr>
            <w:tcW w:w="148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278,991</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2,394,753</w:t>
            </w: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3000" w:type="dxa"/>
            <w:vAlign w:val="bottom"/>
          </w:tcPr>
          <w:p>
            <w:pPr>
              <w:ind w:left="140"/>
              <w:spacing w:after="0" w:line="167" w:lineRule="exact"/>
              <w:rPr>
                <w:sz w:val="20"/>
                <w:szCs w:val="20"/>
                <w:color w:val="auto"/>
              </w:rPr>
            </w:pPr>
            <w:r>
              <w:rPr>
                <w:rFonts w:ascii="Arial" w:cs="Arial" w:eastAsia="Arial" w:hAnsi="Arial"/>
                <w:sz w:val="16"/>
                <w:szCs w:val="16"/>
                <w:color w:val="auto"/>
              </w:rPr>
              <w:t>President and General Counsel of the</w:t>
            </w:r>
          </w:p>
        </w:tc>
        <w:tc>
          <w:tcPr>
            <w:tcW w:w="80" w:type="dxa"/>
            <w:vAlign w:val="bottom"/>
          </w:tcPr>
          <w:p>
            <w:pPr>
              <w:spacing w:after="0"/>
              <w:rPr>
                <w:sz w:val="14"/>
                <w:szCs w:val="14"/>
                <w:color w:val="auto"/>
              </w:rPr>
            </w:pPr>
          </w:p>
        </w:tc>
        <w:tc>
          <w:tcPr>
            <w:tcW w:w="400" w:type="dxa"/>
            <w:vAlign w:val="bottom"/>
          </w:tcPr>
          <w:p>
            <w:pPr>
              <w:spacing w:after="0" w:line="167" w:lineRule="exact"/>
              <w:rPr>
                <w:sz w:val="20"/>
                <w:szCs w:val="20"/>
                <w:color w:val="auto"/>
              </w:rPr>
            </w:pPr>
            <w:r>
              <w:rPr>
                <w:rFonts w:ascii="Arial" w:cs="Arial" w:eastAsia="Arial" w:hAnsi="Arial"/>
                <w:sz w:val="16"/>
                <w:szCs w:val="16"/>
                <w:color w:val="auto"/>
              </w:rPr>
              <w:t>2013</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502,000</w:t>
            </w:r>
          </w:p>
        </w:tc>
        <w:tc>
          <w:tcPr>
            <w:tcW w:w="560" w:type="dxa"/>
            <w:vAlign w:val="bottom"/>
          </w:tcPr>
          <w:p>
            <w:pPr>
              <w:jc w:val="center"/>
              <w:spacing w:after="0" w:line="167" w:lineRule="exact"/>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700,005</w:t>
            </w:r>
          </w:p>
        </w:tc>
        <w:tc>
          <w:tcPr>
            <w:tcW w:w="1200" w:type="dxa"/>
            <w:vAlign w:val="bottom"/>
          </w:tcPr>
          <w:p>
            <w:pPr>
              <w:jc w:val="center"/>
              <w:spacing w:after="0" w:line="167" w:lineRule="exact"/>
              <w:rPr>
                <w:sz w:val="20"/>
                <w:szCs w:val="20"/>
                <w:color w:val="auto"/>
              </w:rPr>
            </w:pPr>
            <w:r>
              <w:rPr>
                <w:rFonts w:ascii="Arial" w:cs="Arial" w:eastAsia="Arial" w:hAnsi="Arial"/>
                <w:sz w:val="16"/>
                <w:szCs w:val="16"/>
                <w:color w:val="auto"/>
              </w:rPr>
              <w:t>454,059</w:t>
            </w:r>
          </w:p>
        </w:tc>
        <w:tc>
          <w:tcPr>
            <w:tcW w:w="1140" w:type="dxa"/>
            <w:vAlign w:val="bottom"/>
          </w:tcPr>
          <w:p>
            <w:pPr>
              <w:jc w:val="center"/>
              <w:spacing w:after="0" w:line="167" w:lineRule="exact"/>
              <w:rPr>
                <w:sz w:val="20"/>
                <w:szCs w:val="20"/>
                <w:color w:val="auto"/>
              </w:rPr>
            </w:pPr>
            <w:r>
              <w:rPr>
                <w:rFonts w:ascii="Arial" w:cs="Arial" w:eastAsia="Arial" w:hAnsi="Arial"/>
                <w:sz w:val="16"/>
                <w:szCs w:val="16"/>
                <w:color w:val="auto"/>
                <w:w w:val="96"/>
              </w:rPr>
              <w:t>303,367</w:t>
            </w:r>
          </w:p>
        </w:tc>
        <w:tc>
          <w:tcPr>
            <w:tcW w:w="1480" w:type="dxa"/>
            <w:vAlign w:val="bottom"/>
          </w:tcPr>
          <w:p>
            <w:pPr>
              <w:jc w:val="center"/>
              <w:spacing w:after="0" w:line="167" w:lineRule="exact"/>
              <w:rPr>
                <w:sz w:val="20"/>
                <w:szCs w:val="20"/>
                <w:color w:val="auto"/>
              </w:rPr>
            </w:pPr>
            <w:r>
              <w:rPr>
                <w:rFonts w:ascii="Arial" w:cs="Arial" w:eastAsia="Arial" w:hAnsi="Arial"/>
                <w:sz w:val="16"/>
                <w:szCs w:val="16"/>
                <w:color w:val="auto"/>
              </w:rPr>
              <w:t>28,764</w:t>
            </w:r>
          </w:p>
        </w:tc>
        <w:tc>
          <w:tcPr>
            <w:tcW w:w="800" w:type="dxa"/>
            <w:vAlign w:val="bottom"/>
          </w:tcPr>
          <w:p>
            <w:pPr>
              <w:jc w:val="center"/>
              <w:spacing w:after="0" w:line="167" w:lineRule="exact"/>
              <w:rPr>
                <w:sz w:val="20"/>
                <w:szCs w:val="20"/>
                <w:color w:val="auto"/>
              </w:rPr>
            </w:pPr>
            <w:r>
              <w:rPr>
                <w:rFonts w:ascii="Arial" w:cs="Arial" w:eastAsia="Arial" w:hAnsi="Arial"/>
                <w:sz w:val="16"/>
                <w:szCs w:val="16"/>
                <w:color w:val="auto"/>
              </w:rPr>
              <w:t>1,988,195</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3000" w:type="dxa"/>
            <w:vAlign w:val="bottom"/>
            <w:tcBorders>
              <w:bottom w:val="single" w:sz="8" w:color="646466"/>
            </w:tcBorders>
          </w:tcPr>
          <w:p>
            <w:pPr>
              <w:ind w:left="140"/>
              <w:spacing w:after="0"/>
              <w:rPr>
                <w:sz w:val="20"/>
                <w:szCs w:val="20"/>
                <w:color w:val="auto"/>
              </w:rPr>
            </w:pPr>
            <w:r>
              <w:rPr>
                <w:rFonts w:ascii="Arial" w:cs="Arial" w:eastAsia="Arial" w:hAnsi="Arial"/>
                <w:sz w:val="16"/>
                <w:szCs w:val="16"/>
                <w:color w:val="auto"/>
              </w:rPr>
              <w:t>Company and APS</w:t>
            </w:r>
          </w:p>
        </w:tc>
        <w:tc>
          <w:tcPr>
            <w:tcW w:w="80" w:type="dxa"/>
            <w:vAlign w:val="bottom"/>
            <w:tcBorders>
              <w:bottom w:val="single" w:sz="8" w:color="646466"/>
            </w:tcBorders>
          </w:tcPr>
          <w:p>
            <w:pPr>
              <w:spacing w:after="0"/>
              <w:rPr>
                <w:sz w:val="17"/>
                <w:szCs w:val="17"/>
                <w:color w:val="auto"/>
              </w:rPr>
            </w:pPr>
          </w:p>
        </w:tc>
        <w:tc>
          <w:tcPr>
            <w:tcW w:w="40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56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1200" w:type="dxa"/>
            <w:vAlign w:val="bottom"/>
            <w:tcBorders>
              <w:bottom w:val="single" w:sz="8" w:color="646466"/>
            </w:tcBorders>
          </w:tcPr>
          <w:p>
            <w:pPr>
              <w:spacing w:after="0"/>
              <w:rPr>
                <w:sz w:val="17"/>
                <w:szCs w:val="17"/>
                <w:color w:val="auto"/>
              </w:rPr>
            </w:pPr>
          </w:p>
        </w:tc>
        <w:tc>
          <w:tcPr>
            <w:tcW w:w="1140" w:type="dxa"/>
            <w:vAlign w:val="bottom"/>
            <w:tcBorders>
              <w:bottom w:val="single" w:sz="8" w:color="646466"/>
            </w:tcBorders>
          </w:tcPr>
          <w:p>
            <w:pPr>
              <w:spacing w:after="0"/>
              <w:rPr>
                <w:sz w:val="17"/>
                <w:szCs w:val="17"/>
                <w:color w:val="auto"/>
              </w:rPr>
            </w:pPr>
          </w:p>
        </w:tc>
        <w:tc>
          <w:tcPr>
            <w:tcW w:w="148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00" w:type="dxa"/>
            <w:vAlign w:val="bottom"/>
          </w:tcPr>
          <w:p>
            <w:pPr>
              <w:spacing w:after="0" w:line="176" w:lineRule="exact"/>
              <w:rPr>
                <w:sz w:val="20"/>
                <w:szCs w:val="20"/>
                <w:color w:val="auto"/>
              </w:rPr>
            </w:pPr>
            <w:r>
              <w:rPr>
                <w:rFonts w:ascii="Arial" w:cs="Arial" w:eastAsia="Arial" w:hAnsi="Arial"/>
                <w:sz w:val="16"/>
                <w:szCs w:val="16"/>
                <w:b w:val="1"/>
                <w:bCs w:val="1"/>
                <w:color w:val="auto"/>
              </w:rPr>
              <w:t>Mark A. Schiavoni,</w:t>
            </w:r>
          </w:p>
        </w:tc>
        <w:tc>
          <w:tcPr>
            <w:tcW w:w="80" w:type="dxa"/>
            <w:vAlign w:val="bottom"/>
          </w:tcPr>
          <w:p>
            <w:pPr>
              <w:spacing w:after="0"/>
              <w:rPr>
                <w:sz w:val="15"/>
                <w:szCs w:val="15"/>
                <w:color w:val="auto"/>
              </w:rPr>
            </w:pPr>
          </w:p>
        </w:tc>
        <w:tc>
          <w:tcPr>
            <w:tcW w:w="40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2015</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640,000</w:t>
            </w:r>
          </w:p>
        </w:tc>
        <w:tc>
          <w:tcPr>
            <w:tcW w:w="56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8"/>
              </w:rPr>
              <w:t>1,000,148</w:t>
            </w:r>
          </w:p>
        </w:tc>
        <w:tc>
          <w:tcPr>
            <w:tcW w:w="12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668,416</w:t>
            </w:r>
          </w:p>
        </w:tc>
        <w:tc>
          <w:tcPr>
            <w:tcW w:w="114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w w:val="96"/>
              </w:rPr>
              <w:t>432,764</w:t>
            </w:r>
          </w:p>
        </w:tc>
        <w:tc>
          <w:tcPr>
            <w:tcW w:w="148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25,675</w:t>
            </w:r>
          </w:p>
        </w:tc>
        <w:tc>
          <w:tcPr>
            <w:tcW w:w="800" w:type="dxa"/>
            <w:vAlign w:val="bottom"/>
            <w:shd w:val="clear" w:color="auto" w:fill="E3E5EB"/>
          </w:tcPr>
          <w:p>
            <w:pPr>
              <w:jc w:val="center"/>
              <w:spacing w:after="0" w:line="176" w:lineRule="exact"/>
              <w:rPr>
                <w:sz w:val="20"/>
                <w:szCs w:val="20"/>
                <w:color w:val="auto"/>
              </w:rPr>
            </w:pPr>
            <w:r>
              <w:rPr>
                <w:rFonts w:ascii="Arial" w:cs="Arial" w:eastAsia="Arial" w:hAnsi="Arial"/>
                <w:sz w:val="16"/>
                <w:szCs w:val="16"/>
                <w:color w:val="auto"/>
              </w:rPr>
              <w:t>2,767,003</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Executive Vice President</w:t>
            </w:r>
          </w:p>
        </w:tc>
        <w:tc>
          <w:tcPr>
            <w:tcW w:w="80" w:type="dxa"/>
            <w:vAlign w:val="bottom"/>
          </w:tcPr>
          <w:p>
            <w:pPr>
              <w:spacing w:after="0"/>
              <w:rPr>
                <w:sz w:val="16"/>
                <w:szCs w:val="16"/>
                <w:color w:val="auto"/>
              </w:rPr>
            </w:pPr>
          </w:p>
        </w:tc>
        <w:tc>
          <w:tcPr>
            <w:tcW w:w="400" w:type="dxa"/>
            <w:vAlign w:val="bottom"/>
          </w:tcPr>
          <w:p>
            <w:pPr>
              <w:spacing w:after="0"/>
              <w:rPr>
                <w:sz w:val="20"/>
                <w:szCs w:val="20"/>
                <w:color w:val="auto"/>
              </w:rPr>
            </w:pPr>
            <w:r>
              <w:rPr>
                <w:rFonts w:ascii="Arial" w:cs="Arial" w:eastAsia="Arial" w:hAnsi="Arial"/>
                <w:sz w:val="16"/>
                <w:szCs w:val="16"/>
                <w:color w:val="auto"/>
              </w:rPr>
              <w:t>2014</w:t>
            </w:r>
          </w:p>
        </w:tc>
        <w:tc>
          <w:tcPr>
            <w:tcW w:w="800" w:type="dxa"/>
            <w:vAlign w:val="bottom"/>
          </w:tcPr>
          <w:p>
            <w:pPr>
              <w:jc w:val="center"/>
              <w:spacing w:after="0"/>
              <w:rPr>
                <w:sz w:val="20"/>
                <w:szCs w:val="20"/>
                <w:color w:val="auto"/>
              </w:rPr>
            </w:pPr>
            <w:r>
              <w:rPr>
                <w:rFonts w:ascii="Arial" w:cs="Arial" w:eastAsia="Arial" w:hAnsi="Arial"/>
                <w:sz w:val="16"/>
                <w:szCs w:val="16"/>
                <w:color w:val="auto"/>
              </w:rPr>
              <w:t>563,958</w:t>
            </w:r>
          </w:p>
        </w:tc>
        <w:tc>
          <w:tcPr>
            <w:tcW w:w="560" w:type="dxa"/>
            <w:vAlign w:val="bottom"/>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tcPr>
          <w:p>
            <w:pPr>
              <w:jc w:val="center"/>
              <w:spacing w:after="0"/>
              <w:rPr>
                <w:sz w:val="20"/>
                <w:szCs w:val="20"/>
                <w:color w:val="auto"/>
              </w:rPr>
            </w:pPr>
            <w:r>
              <w:rPr>
                <w:rFonts w:ascii="Arial" w:cs="Arial" w:eastAsia="Arial" w:hAnsi="Arial"/>
                <w:sz w:val="16"/>
                <w:szCs w:val="16"/>
                <w:color w:val="auto"/>
              </w:rPr>
              <w:t>750,320</w:t>
            </w:r>
          </w:p>
        </w:tc>
        <w:tc>
          <w:tcPr>
            <w:tcW w:w="1200" w:type="dxa"/>
            <w:vAlign w:val="bottom"/>
          </w:tcPr>
          <w:p>
            <w:pPr>
              <w:jc w:val="center"/>
              <w:spacing w:after="0"/>
              <w:rPr>
                <w:sz w:val="20"/>
                <w:szCs w:val="20"/>
                <w:color w:val="auto"/>
              </w:rPr>
            </w:pPr>
            <w:r>
              <w:rPr>
                <w:rFonts w:ascii="Arial" w:cs="Arial" w:eastAsia="Arial" w:hAnsi="Arial"/>
                <w:sz w:val="16"/>
                <w:szCs w:val="16"/>
                <w:color w:val="auto"/>
              </w:rPr>
              <w:t>558,031</w:t>
            </w:r>
          </w:p>
        </w:tc>
        <w:tc>
          <w:tcPr>
            <w:tcW w:w="1140" w:type="dxa"/>
            <w:vAlign w:val="bottom"/>
          </w:tcPr>
          <w:p>
            <w:pPr>
              <w:jc w:val="center"/>
              <w:spacing w:after="0"/>
              <w:rPr>
                <w:sz w:val="20"/>
                <w:szCs w:val="20"/>
                <w:color w:val="auto"/>
              </w:rPr>
            </w:pPr>
            <w:r>
              <w:rPr>
                <w:rFonts w:ascii="Arial" w:cs="Arial" w:eastAsia="Arial" w:hAnsi="Arial"/>
                <w:sz w:val="16"/>
                <w:szCs w:val="16"/>
                <w:color w:val="auto"/>
                <w:w w:val="96"/>
              </w:rPr>
              <w:t>424,749</w:t>
            </w:r>
          </w:p>
        </w:tc>
        <w:tc>
          <w:tcPr>
            <w:tcW w:w="1480" w:type="dxa"/>
            <w:vAlign w:val="bottom"/>
          </w:tcPr>
          <w:p>
            <w:pPr>
              <w:jc w:val="center"/>
              <w:spacing w:after="0"/>
              <w:rPr>
                <w:sz w:val="20"/>
                <w:szCs w:val="20"/>
                <w:color w:val="auto"/>
              </w:rPr>
            </w:pPr>
            <w:r>
              <w:rPr>
                <w:rFonts w:ascii="Arial" w:cs="Arial" w:eastAsia="Arial" w:hAnsi="Arial"/>
                <w:sz w:val="16"/>
                <w:szCs w:val="16"/>
                <w:color w:val="auto"/>
              </w:rPr>
              <w:t>27,419</w:t>
            </w:r>
          </w:p>
        </w:tc>
        <w:tc>
          <w:tcPr>
            <w:tcW w:w="800" w:type="dxa"/>
            <w:vAlign w:val="bottom"/>
          </w:tcPr>
          <w:p>
            <w:pPr>
              <w:jc w:val="center"/>
              <w:spacing w:after="0"/>
              <w:rPr>
                <w:sz w:val="20"/>
                <w:szCs w:val="20"/>
                <w:color w:val="auto"/>
              </w:rPr>
            </w:pPr>
            <w:r>
              <w:rPr>
                <w:rFonts w:ascii="Arial" w:cs="Arial" w:eastAsia="Arial" w:hAnsi="Arial"/>
                <w:sz w:val="16"/>
                <w:szCs w:val="16"/>
                <w:color w:val="auto"/>
              </w:rPr>
              <w:t>2,324,477</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Pr>
          <w:p>
            <w:pPr>
              <w:ind w:left="140"/>
              <w:spacing w:after="0"/>
              <w:rPr>
                <w:sz w:val="20"/>
                <w:szCs w:val="20"/>
                <w:color w:val="auto"/>
              </w:rPr>
            </w:pPr>
            <w:r>
              <w:rPr>
                <w:rFonts w:ascii="Arial" w:cs="Arial" w:eastAsia="Arial" w:hAnsi="Arial"/>
                <w:sz w:val="16"/>
                <w:szCs w:val="16"/>
                <w:color w:val="auto"/>
              </w:rPr>
              <w:t>and Chief Operating</w:t>
            </w:r>
          </w:p>
        </w:tc>
        <w:tc>
          <w:tcPr>
            <w:tcW w:w="80" w:type="dxa"/>
            <w:vAlign w:val="bottom"/>
          </w:tcPr>
          <w:p>
            <w:pPr>
              <w:spacing w:after="0"/>
              <w:rPr>
                <w:sz w:val="16"/>
                <w:szCs w:val="16"/>
                <w:color w:val="auto"/>
              </w:rPr>
            </w:pPr>
          </w:p>
        </w:tc>
        <w:tc>
          <w:tcPr>
            <w:tcW w:w="400" w:type="dxa"/>
            <w:vAlign w:val="bottom"/>
            <w:shd w:val="clear" w:color="auto" w:fill="E3E5EB"/>
          </w:tcPr>
          <w:p>
            <w:pPr>
              <w:spacing w:after="0"/>
              <w:rPr>
                <w:sz w:val="20"/>
                <w:szCs w:val="20"/>
                <w:color w:val="auto"/>
              </w:rPr>
            </w:pPr>
            <w:r>
              <w:rPr>
                <w:rFonts w:ascii="Arial" w:cs="Arial" w:eastAsia="Arial" w:hAnsi="Arial"/>
                <w:sz w:val="16"/>
                <w:szCs w:val="16"/>
                <w:color w:val="auto"/>
              </w:rPr>
              <w:t>2013</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485,000</w:t>
            </w:r>
          </w:p>
        </w:tc>
        <w:tc>
          <w:tcPr>
            <w:tcW w:w="56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700,005</w:t>
            </w:r>
          </w:p>
        </w:tc>
        <w:tc>
          <w:tcPr>
            <w:tcW w:w="12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446,219</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6"/>
              </w:rPr>
              <w:t>275,670</w:t>
            </w:r>
          </w:p>
        </w:tc>
        <w:tc>
          <w:tcPr>
            <w:tcW w:w="148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25,373</w:t>
            </w:r>
          </w:p>
        </w:tc>
        <w:tc>
          <w:tcPr>
            <w:tcW w:w="80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1,932,267</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3000" w:type="dxa"/>
            <w:vAlign w:val="bottom"/>
            <w:tcBorders>
              <w:bottom w:val="single" w:sz="8" w:color="888992"/>
            </w:tcBorders>
          </w:tcPr>
          <w:p>
            <w:pPr>
              <w:ind w:left="140"/>
              <w:spacing w:after="0"/>
              <w:rPr>
                <w:sz w:val="20"/>
                <w:szCs w:val="20"/>
                <w:color w:val="auto"/>
              </w:rPr>
            </w:pPr>
            <w:r>
              <w:rPr>
                <w:rFonts w:ascii="Arial" w:cs="Arial" w:eastAsia="Arial" w:hAnsi="Arial"/>
                <w:sz w:val="16"/>
                <w:szCs w:val="16"/>
                <w:color w:val="auto"/>
              </w:rPr>
              <w:t>Officer, APS</w:t>
            </w:r>
          </w:p>
        </w:tc>
        <w:tc>
          <w:tcPr>
            <w:tcW w:w="80" w:type="dxa"/>
            <w:vAlign w:val="bottom"/>
            <w:tcBorders>
              <w:bottom w:val="single" w:sz="8" w:color="888992"/>
            </w:tcBorders>
          </w:tcPr>
          <w:p>
            <w:pPr>
              <w:spacing w:after="0"/>
              <w:rPr>
                <w:sz w:val="16"/>
                <w:szCs w:val="16"/>
                <w:color w:val="auto"/>
              </w:rPr>
            </w:pPr>
          </w:p>
        </w:tc>
        <w:tc>
          <w:tcPr>
            <w:tcW w:w="400" w:type="dxa"/>
            <w:vAlign w:val="bottom"/>
            <w:tcBorders>
              <w:bottom w:val="single" w:sz="8" w:color="888992"/>
            </w:tcBorders>
          </w:tcPr>
          <w:p>
            <w:pPr>
              <w:spacing w:after="0"/>
              <w:rPr>
                <w:sz w:val="16"/>
                <w:szCs w:val="16"/>
                <w:color w:val="auto"/>
              </w:rPr>
            </w:pPr>
          </w:p>
        </w:tc>
        <w:tc>
          <w:tcPr>
            <w:tcW w:w="800" w:type="dxa"/>
            <w:vAlign w:val="bottom"/>
            <w:tcBorders>
              <w:bottom w:val="single" w:sz="8" w:color="888992"/>
            </w:tcBorders>
          </w:tcPr>
          <w:p>
            <w:pPr>
              <w:spacing w:after="0"/>
              <w:rPr>
                <w:sz w:val="16"/>
                <w:szCs w:val="16"/>
                <w:color w:val="auto"/>
              </w:rPr>
            </w:pPr>
          </w:p>
        </w:tc>
        <w:tc>
          <w:tcPr>
            <w:tcW w:w="560" w:type="dxa"/>
            <w:vAlign w:val="bottom"/>
            <w:tcBorders>
              <w:bottom w:val="single" w:sz="8" w:color="888992"/>
            </w:tcBorders>
          </w:tcPr>
          <w:p>
            <w:pPr>
              <w:spacing w:after="0"/>
              <w:rPr>
                <w:sz w:val="16"/>
                <w:szCs w:val="16"/>
                <w:color w:val="auto"/>
              </w:rPr>
            </w:pPr>
          </w:p>
        </w:tc>
        <w:tc>
          <w:tcPr>
            <w:tcW w:w="800" w:type="dxa"/>
            <w:vAlign w:val="bottom"/>
            <w:tcBorders>
              <w:bottom w:val="single" w:sz="8" w:color="888992"/>
            </w:tcBorders>
          </w:tcPr>
          <w:p>
            <w:pPr>
              <w:spacing w:after="0"/>
              <w:rPr>
                <w:sz w:val="16"/>
                <w:szCs w:val="16"/>
                <w:color w:val="auto"/>
              </w:rPr>
            </w:pPr>
          </w:p>
        </w:tc>
        <w:tc>
          <w:tcPr>
            <w:tcW w:w="1200" w:type="dxa"/>
            <w:vAlign w:val="bottom"/>
            <w:tcBorders>
              <w:bottom w:val="single" w:sz="8" w:color="888992"/>
            </w:tcBorders>
          </w:tcPr>
          <w:p>
            <w:pPr>
              <w:spacing w:after="0"/>
              <w:rPr>
                <w:sz w:val="16"/>
                <w:szCs w:val="16"/>
                <w:color w:val="auto"/>
              </w:rPr>
            </w:pPr>
          </w:p>
        </w:tc>
        <w:tc>
          <w:tcPr>
            <w:tcW w:w="1140" w:type="dxa"/>
            <w:vAlign w:val="bottom"/>
            <w:tcBorders>
              <w:bottom w:val="single" w:sz="8" w:color="888992"/>
            </w:tcBorders>
          </w:tcPr>
          <w:p>
            <w:pPr>
              <w:spacing w:after="0"/>
              <w:rPr>
                <w:sz w:val="16"/>
                <w:szCs w:val="16"/>
                <w:color w:val="auto"/>
              </w:rPr>
            </w:pPr>
          </w:p>
        </w:tc>
        <w:tc>
          <w:tcPr>
            <w:tcW w:w="1480" w:type="dxa"/>
            <w:vAlign w:val="bottom"/>
            <w:tcBorders>
              <w:bottom w:val="single" w:sz="8" w:color="888992"/>
            </w:tcBorders>
          </w:tcPr>
          <w:p>
            <w:pPr>
              <w:spacing w:after="0"/>
              <w:rPr>
                <w:sz w:val="16"/>
                <w:szCs w:val="16"/>
                <w:color w:val="auto"/>
              </w:rPr>
            </w:pPr>
          </w:p>
        </w:tc>
        <w:tc>
          <w:tcPr>
            <w:tcW w:w="800" w:type="dxa"/>
            <w:vAlign w:val="bottom"/>
            <w:tcBorders>
              <w:bottom w:val="single" w:sz="8" w:color="888992"/>
            </w:tcBorders>
          </w:tcPr>
          <w:p>
            <w:pPr>
              <w:spacing w:after="0"/>
              <w:rPr>
                <w:sz w:val="16"/>
                <w:szCs w:val="16"/>
                <w:color w:val="auto"/>
              </w:rPr>
            </w:pPr>
          </w:p>
        </w:tc>
        <w:tc>
          <w:tcPr>
            <w:tcW w:w="0" w:type="dxa"/>
            <w:vAlign w:val="bottom"/>
          </w:tcPr>
          <w:p>
            <w:pPr>
              <w:spacing w:after="0"/>
              <w:rPr>
                <w:sz w:val="1"/>
                <w:szCs w:val="1"/>
                <w:color w:val="auto"/>
              </w:rPr>
            </w:pPr>
          </w:p>
        </w:tc>
      </w:tr>
    </w:tbl>
    <w:p>
      <w:pPr>
        <w:spacing w:after="0" w:line="302" w:lineRule="exact"/>
        <w:rPr>
          <w:sz w:val="20"/>
          <w:szCs w:val="20"/>
          <w:color w:val="auto"/>
        </w:rPr>
      </w:pPr>
    </w:p>
    <w:p>
      <w:pPr>
        <w:ind w:left="1640" w:right="160" w:hanging="499"/>
        <w:spacing w:after="0" w:line="249" w:lineRule="auto"/>
        <w:tabs>
          <w:tab w:leader="none" w:pos="1640" w:val="left"/>
        </w:tabs>
        <w:numPr>
          <w:ilvl w:val="0"/>
          <w:numId w:val="78"/>
        </w:numPr>
        <w:rPr>
          <w:rFonts w:ascii="Arial" w:cs="Arial" w:eastAsia="Arial" w:hAnsi="Arial"/>
          <w:sz w:val="16"/>
          <w:szCs w:val="16"/>
          <w:color w:val="auto"/>
        </w:rPr>
      </w:pPr>
      <w:r>
        <w:rPr>
          <w:rFonts w:ascii="Arial" w:cs="Arial" w:eastAsia="Arial" w:hAnsi="Arial"/>
          <w:sz w:val="16"/>
          <w:szCs w:val="16"/>
          <w:color w:val="auto"/>
        </w:rPr>
        <w:t>This column reflects the aggregate grants of performance shares and RSUs, which are discussed under "2015 Compensation — Long-Term Incentives" in the CD&amp;A and which are shown by individual grant on the Grants of Plan-Based Awards table. This column represents the grant date fair value computed in accordance with FASB ASC Topic 718. The assumptions made in our valuations are set forth in Note 15 of the Notes to Consolidated Financial Statements in the Pinnacle West/APS Annual Report on Form 10-K for the fiscal year ended December 31, 2015 (the "2015 Form 10-K"). These amounts are allocated between the various equity grants as follows:</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80" w:type="dxa"/>
            <w:vAlign w:val="bottom"/>
          </w:tcPr>
          <w:p>
            <w:pPr>
              <w:spacing w:after="0"/>
              <w:rPr>
                <w:sz w:val="16"/>
                <w:szCs w:val="16"/>
                <w:color w:val="auto"/>
              </w:rPr>
            </w:pPr>
          </w:p>
        </w:tc>
        <w:tc>
          <w:tcPr>
            <w:tcW w:w="3180" w:type="dxa"/>
            <w:vAlign w:val="bottom"/>
          </w:tcPr>
          <w:p>
            <w:pPr>
              <w:jc w:val="right"/>
              <w:ind w:right="200"/>
              <w:spacing w:after="0"/>
              <w:rPr>
                <w:sz w:val="20"/>
                <w:szCs w:val="20"/>
                <w:color w:val="auto"/>
              </w:rPr>
            </w:pPr>
            <w:r>
              <w:rPr>
                <w:rFonts w:ascii="Arial" w:cs="Arial" w:eastAsia="Arial" w:hAnsi="Arial"/>
                <w:sz w:val="16"/>
                <w:szCs w:val="16"/>
                <w:b w:val="1"/>
                <w:bCs w:val="1"/>
                <w:color w:val="3A5575"/>
              </w:rPr>
              <w:t>RSUs</w:t>
            </w:r>
          </w:p>
        </w:tc>
        <w:tc>
          <w:tcPr>
            <w:tcW w:w="2100" w:type="dxa"/>
            <w:vAlign w:val="bottom"/>
          </w:tcPr>
          <w:p>
            <w:pPr>
              <w:jc w:val="right"/>
              <w:spacing w:after="0"/>
              <w:rPr>
                <w:sz w:val="20"/>
                <w:szCs w:val="20"/>
                <w:color w:val="auto"/>
              </w:rPr>
            </w:pPr>
            <w:r>
              <w:rPr>
                <w:rFonts w:ascii="Arial" w:cs="Arial" w:eastAsia="Arial" w:hAnsi="Arial"/>
                <w:sz w:val="16"/>
                <w:szCs w:val="16"/>
                <w:b w:val="1"/>
                <w:bCs w:val="1"/>
                <w:color w:val="3A5575"/>
              </w:rPr>
              <w:t>PERFORMANCE SHARES</w:t>
            </w:r>
          </w:p>
        </w:tc>
        <w:tc>
          <w:tcPr>
            <w:tcW w:w="1500" w:type="dxa"/>
            <w:vAlign w:val="bottom"/>
          </w:tcPr>
          <w:p>
            <w:pPr>
              <w:spacing w:after="0"/>
              <w:rPr>
                <w:sz w:val="16"/>
                <w:szCs w:val="16"/>
                <w:color w:val="auto"/>
              </w:rPr>
            </w:pPr>
          </w:p>
        </w:tc>
      </w:tr>
      <w:tr>
        <w:trPr>
          <w:trHeight w:val="203"/>
        </w:trPr>
        <w:tc>
          <w:tcPr>
            <w:tcW w:w="1360" w:type="dxa"/>
            <w:vAlign w:val="bottom"/>
          </w:tcPr>
          <w:p>
            <w:pPr>
              <w:spacing w:after="0"/>
              <w:rPr>
                <w:sz w:val="17"/>
                <w:szCs w:val="17"/>
                <w:color w:val="auto"/>
              </w:rPr>
            </w:pPr>
          </w:p>
        </w:tc>
        <w:tc>
          <w:tcPr>
            <w:tcW w:w="3300" w:type="dxa"/>
            <w:vAlign w:val="bottom"/>
            <w:tcBorders>
              <w:bottom w:val="single" w:sz="8" w:color="646466"/>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3180" w:type="dxa"/>
            <w:vAlign w:val="bottom"/>
            <w:tcBorders>
              <w:bottom w:val="single" w:sz="8" w:color="646466"/>
            </w:tcBorders>
          </w:tcPr>
          <w:p>
            <w:pPr>
              <w:jc w:val="right"/>
              <w:ind w:right="300"/>
              <w:spacing w:after="0"/>
              <w:rPr>
                <w:sz w:val="20"/>
                <w:szCs w:val="20"/>
                <w:color w:val="auto"/>
              </w:rPr>
            </w:pPr>
            <w:r>
              <w:rPr>
                <w:rFonts w:ascii="Arial" w:cs="Arial" w:eastAsia="Arial" w:hAnsi="Arial"/>
                <w:sz w:val="16"/>
                <w:szCs w:val="16"/>
                <w:b w:val="1"/>
                <w:bCs w:val="1"/>
                <w:color w:val="3A5575"/>
              </w:rPr>
              <w:t>($)</w:t>
            </w:r>
          </w:p>
        </w:tc>
        <w:tc>
          <w:tcPr>
            <w:tcW w:w="2100" w:type="dxa"/>
            <w:vAlign w:val="bottom"/>
            <w:tcBorders>
              <w:bottom w:val="single" w:sz="8" w:color="646466"/>
            </w:tcBorders>
          </w:tcPr>
          <w:p>
            <w:pPr>
              <w:jc w:val="right"/>
              <w:ind w:right="840"/>
              <w:spacing w:after="0"/>
              <w:rPr>
                <w:sz w:val="20"/>
                <w:szCs w:val="20"/>
                <w:color w:val="auto"/>
              </w:rPr>
            </w:pPr>
            <w:r>
              <w:rPr>
                <w:rFonts w:ascii="Arial" w:cs="Arial" w:eastAsia="Arial" w:hAnsi="Arial"/>
                <w:sz w:val="16"/>
                <w:szCs w:val="16"/>
                <w:b w:val="1"/>
                <w:bCs w:val="1"/>
                <w:color w:val="3A5575"/>
              </w:rPr>
              <w:t>($)</w:t>
            </w:r>
          </w:p>
        </w:tc>
        <w:tc>
          <w:tcPr>
            <w:tcW w:w="1500" w:type="dxa"/>
            <w:vAlign w:val="bottom"/>
          </w:tcPr>
          <w:p>
            <w:pPr>
              <w:spacing w:after="0"/>
              <w:rPr>
                <w:sz w:val="17"/>
                <w:szCs w:val="17"/>
                <w:color w:val="auto"/>
              </w:rPr>
            </w:pPr>
          </w:p>
        </w:tc>
      </w:tr>
      <w:tr>
        <w:trPr>
          <w:trHeight w:val="176"/>
        </w:trPr>
        <w:tc>
          <w:tcPr>
            <w:tcW w:w="13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328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Mr. Brandt</w:t>
            </w:r>
          </w:p>
        </w:tc>
        <w:tc>
          <w:tcPr>
            <w:tcW w:w="3180" w:type="dxa"/>
            <w:vAlign w:val="bottom"/>
            <w:shd w:val="clear" w:color="auto" w:fill="E3E5EB"/>
          </w:tcPr>
          <w:p>
            <w:pPr>
              <w:jc w:val="right"/>
              <w:ind w:right="40"/>
              <w:spacing w:after="0" w:line="176" w:lineRule="exact"/>
              <w:rPr>
                <w:sz w:val="20"/>
                <w:szCs w:val="20"/>
                <w:color w:val="auto"/>
              </w:rPr>
            </w:pPr>
            <w:r>
              <w:rPr>
                <w:rFonts w:ascii="Arial" w:cs="Arial" w:eastAsia="Arial" w:hAnsi="Arial"/>
                <w:sz w:val="16"/>
                <w:szCs w:val="16"/>
                <w:color w:val="auto"/>
              </w:rPr>
              <w:t>1,980,026</w:t>
            </w:r>
          </w:p>
        </w:tc>
        <w:tc>
          <w:tcPr>
            <w:tcW w:w="2100" w:type="dxa"/>
            <w:vAlign w:val="bottom"/>
            <w:shd w:val="clear" w:color="auto" w:fill="E3E5EB"/>
          </w:tcPr>
          <w:p>
            <w:pPr>
              <w:jc w:val="right"/>
              <w:ind w:right="580"/>
              <w:spacing w:after="0" w:line="176" w:lineRule="exact"/>
              <w:rPr>
                <w:sz w:val="20"/>
                <w:szCs w:val="20"/>
                <w:color w:val="auto"/>
              </w:rPr>
            </w:pPr>
            <w:r>
              <w:rPr>
                <w:rFonts w:ascii="Arial" w:cs="Arial" w:eastAsia="Arial" w:hAnsi="Arial"/>
                <w:sz w:val="16"/>
                <w:szCs w:val="16"/>
                <w:color w:val="auto"/>
              </w:rPr>
              <w:t>2,420,003</w:t>
            </w:r>
          </w:p>
        </w:tc>
        <w:tc>
          <w:tcPr>
            <w:tcW w:w="1500" w:type="dxa"/>
            <w:vAlign w:val="bottom"/>
          </w:tcPr>
          <w:p>
            <w:pPr>
              <w:spacing w:after="0"/>
              <w:rPr>
                <w:sz w:val="15"/>
                <w:szCs w:val="15"/>
                <w:color w:val="auto"/>
              </w:rPr>
            </w:pPr>
          </w:p>
        </w:tc>
      </w:tr>
      <w:tr>
        <w:trPr>
          <w:trHeight w:val="184"/>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80" w:type="dxa"/>
            <w:vAlign w:val="bottom"/>
          </w:tcPr>
          <w:p>
            <w:pPr>
              <w:spacing w:after="0"/>
              <w:rPr>
                <w:sz w:val="20"/>
                <w:szCs w:val="20"/>
                <w:color w:val="auto"/>
              </w:rPr>
            </w:pPr>
            <w:r>
              <w:rPr>
                <w:rFonts w:ascii="Arial" w:cs="Arial" w:eastAsia="Arial" w:hAnsi="Arial"/>
                <w:sz w:val="16"/>
                <w:szCs w:val="16"/>
                <w:color w:val="auto"/>
              </w:rPr>
              <w:t>Mr. Hatfield</w:t>
            </w:r>
          </w:p>
        </w:tc>
        <w:tc>
          <w:tcPr>
            <w:tcW w:w="3180" w:type="dxa"/>
            <w:vAlign w:val="bottom"/>
          </w:tcPr>
          <w:p>
            <w:pPr>
              <w:jc w:val="right"/>
              <w:ind w:right="40"/>
              <w:spacing w:after="0"/>
              <w:rPr>
                <w:sz w:val="20"/>
                <w:szCs w:val="20"/>
                <w:color w:val="auto"/>
              </w:rPr>
            </w:pPr>
            <w:r>
              <w:rPr>
                <w:rFonts w:ascii="Arial" w:cs="Arial" w:eastAsia="Arial" w:hAnsi="Arial"/>
                <w:sz w:val="16"/>
                <w:szCs w:val="16"/>
                <w:color w:val="auto"/>
              </w:rPr>
              <w:t>337,584</w:t>
            </w:r>
          </w:p>
        </w:tc>
        <w:tc>
          <w:tcPr>
            <w:tcW w:w="2100" w:type="dxa"/>
            <w:vAlign w:val="bottom"/>
          </w:tcPr>
          <w:p>
            <w:pPr>
              <w:jc w:val="right"/>
              <w:ind w:right="580"/>
              <w:spacing w:after="0"/>
              <w:rPr>
                <w:sz w:val="20"/>
                <w:szCs w:val="20"/>
                <w:color w:val="auto"/>
              </w:rPr>
            </w:pPr>
            <w:r>
              <w:rPr>
                <w:rFonts w:ascii="Arial" w:cs="Arial" w:eastAsia="Arial" w:hAnsi="Arial"/>
                <w:sz w:val="16"/>
                <w:szCs w:val="16"/>
                <w:color w:val="auto"/>
              </w:rPr>
              <w:t>412,560</w:t>
            </w:r>
          </w:p>
        </w:tc>
        <w:tc>
          <w:tcPr>
            <w:tcW w:w="1500" w:type="dxa"/>
            <w:vAlign w:val="bottom"/>
          </w:tcPr>
          <w:p>
            <w:pPr>
              <w:spacing w:after="0"/>
              <w:rPr>
                <w:sz w:val="16"/>
                <w:szCs w:val="16"/>
                <w:color w:val="auto"/>
              </w:rPr>
            </w:pPr>
          </w:p>
        </w:tc>
      </w:tr>
      <w:tr>
        <w:trPr>
          <w:trHeight w:val="184"/>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80" w:type="dxa"/>
            <w:vAlign w:val="bottom"/>
            <w:shd w:val="clear" w:color="auto" w:fill="E3E5EB"/>
          </w:tcPr>
          <w:p>
            <w:pPr>
              <w:spacing w:after="0"/>
              <w:rPr>
                <w:sz w:val="20"/>
                <w:szCs w:val="20"/>
                <w:color w:val="auto"/>
              </w:rPr>
            </w:pPr>
            <w:r>
              <w:rPr>
                <w:rFonts w:ascii="Arial" w:cs="Arial" w:eastAsia="Arial" w:hAnsi="Arial"/>
                <w:sz w:val="16"/>
                <w:szCs w:val="16"/>
                <w:color w:val="auto"/>
              </w:rPr>
              <w:t>Mr. Edington</w:t>
            </w:r>
          </w:p>
        </w:tc>
        <w:tc>
          <w:tcPr>
            <w:tcW w:w="3180" w:type="dxa"/>
            <w:vAlign w:val="bottom"/>
            <w:shd w:val="clear" w:color="auto" w:fill="E3E5EB"/>
          </w:tcPr>
          <w:p>
            <w:pPr>
              <w:jc w:val="right"/>
              <w:ind w:right="40"/>
              <w:spacing w:after="0"/>
              <w:rPr>
                <w:sz w:val="20"/>
                <w:szCs w:val="20"/>
                <w:color w:val="auto"/>
              </w:rPr>
            </w:pPr>
            <w:r>
              <w:rPr>
                <w:rFonts w:ascii="Arial" w:cs="Arial" w:eastAsia="Arial" w:hAnsi="Arial"/>
                <w:sz w:val="16"/>
                <w:szCs w:val="16"/>
                <w:color w:val="auto"/>
              </w:rPr>
              <w:t>270,015</w:t>
            </w:r>
          </w:p>
        </w:tc>
        <w:tc>
          <w:tcPr>
            <w:tcW w:w="2100" w:type="dxa"/>
            <w:vAlign w:val="bottom"/>
            <w:shd w:val="clear" w:color="auto" w:fill="E3E5EB"/>
          </w:tcPr>
          <w:p>
            <w:pPr>
              <w:jc w:val="right"/>
              <w:ind w:right="580"/>
              <w:spacing w:after="0"/>
              <w:rPr>
                <w:sz w:val="20"/>
                <w:szCs w:val="20"/>
                <w:color w:val="auto"/>
              </w:rPr>
            </w:pPr>
            <w:r>
              <w:rPr>
                <w:rFonts w:ascii="Arial" w:cs="Arial" w:eastAsia="Arial" w:hAnsi="Arial"/>
                <w:sz w:val="16"/>
                <w:szCs w:val="16"/>
                <w:color w:val="auto"/>
              </w:rPr>
              <w:t>330,048</w:t>
            </w:r>
          </w:p>
        </w:tc>
        <w:tc>
          <w:tcPr>
            <w:tcW w:w="1500" w:type="dxa"/>
            <w:vAlign w:val="bottom"/>
          </w:tcPr>
          <w:p>
            <w:pPr>
              <w:spacing w:after="0"/>
              <w:rPr>
                <w:sz w:val="16"/>
                <w:szCs w:val="16"/>
                <w:color w:val="auto"/>
              </w:rPr>
            </w:pPr>
          </w:p>
        </w:tc>
      </w:tr>
      <w:tr>
        <w:trPr>
          <w:trHeight w:val="184"/>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80" w:type="dxa"/>
            <w:vAlign w:val="bottom"/>
          </w:tcPr>
          <w:p>
            <w:pPr>
              <w:spacing w:after="0"/>
              <w:rPr>
                <w:sz w:val="20"/>
                <w:szCs w:val="20"/>
                <w:color w:val="auto"/>
              </w:rPr>
            </w:pPr>
            <w:r>
              <w:rPr>
                <w:rFonts w:ascii="Arial" w:cs="Arial" w:eastAsia="Arial" w:hAnsi="Arial"/>
                <w:sz w:val="16"/>
                <w:szCs w:val="16"/>
                <w:color w:val="auto"/>
              </w:rPr>
              <w:t>Mr. Falck</w:t>
            </w:r>
          </w:p>
        </w:tc>
        <w:tc>
          <w:tcPr>
            <w:tcW w:w="3180" w:type="dxa"/>
            <w:vAlign w:val="bottom"/>
          </w:tcPr>
          <w:p>
            <w:pPr>
              <w:jc w:val="right"/>
              <w:ind w:right="40"/>
              <w:spacing w:after="0"/>
              <w:rPr>
                <w:sz w:val="20"/>
                <w:szCs w:val="20"/>
                <w:color w:val="auto"/>
              </w:rPr>
            </w:pPr>
            <w:r>
              <w:rPr>
                <w:rFonts w:ascii="Arial" w:cs="Arial" w:eastAsia="Arial" w:hAnsi="Arial"/>
                <w:sz w:val="16"/>
                <w:szCs w:val="16"/>
                <w:color w:val="auto"/>
              </w:rPr>
              <w:t>337,584</w:t>
            </w:r>
          </w:p>
        </w:tc>
        <w:tc>
          <w:tcPr>
            <w:tcW w:w="2100" w:type="dxa"/>
            <w:vAlign w:val="bottom"/>
          </w:tcPr>
          <w:p>
            <w:pPr>
              <w:jc w:val="right"/>
              <w:ind w:right="580"/>
              <w:spacing w:after="0"/>
              <w:rPr>
                <w:sz w:val="20"/>
                <w:szCs w:val="20"/>
                <w:color w:val="auto"/>
              </w:rPr>
            </w:pPr>
            <w:r>
              <w:rPr>
                <w:rFonts w:ascii="Arial" w:cs="Arial" w:eastAsia="Arial" w:hAnsi="Arial"/>
                <w:sz w:val="16"/>
                <w:szCs w:val="16"/>
                <w:color w:val="auto"/>
              </w:rPr>
              <w:t>412,560</w:t>
            </w:r>
          </w:p>
        </w:tc>
        <w:tc>
          <w:tcPr>
            <w:tcW w:w="1500" w:type="dxa"/>
            <w:vAlign w:val="bottom"/>
          </w:tcPr>
          <w:p>
            <w:pPr>
              <w:spacing w:after="0"/>
              <w:rPr>
                <w:sz w:val="16"/>
                <w:szCs w:val="16"/>
                <w:color w:val="auto"/>
              </w:rPr>
            </w:pPr>
          </w:p>
        </w:tc>
      </w:tr>
      <w:tr>
        <w:trPr>
          <w:trHeight w:val="184"/>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280" w:type="dxa"/>
            <w:vAlign w:val="bottom"/>
            <w:tcBorders>
              <w:bottom w:val="single" w:sz="8" w:color="395775"/>
            </w:tcBorders>
            <w:shd w:val="clear" w:color="auto" w:fill="E3E5EB"/>
          </w:tcPr>
          <w:p>
            <w:pPr>
              <w:spacing w:after="0"/>
              <w:rPr>
                <w:sz w:val="20"/>
                <w:szCs w:val="20"/>
                <w:color w:val="auto"/>
              </w:rPr>
            </w:pPr>
            <w:r>
              <w:rPr>
                <w:rFonts w:ascii="Arial" w:cs="Arial" w:eastAsia="Arial" w:hAnsi="Arial"/>
                <w:sz w:val="16"/>
                <w:szCs w:val="16"/>
                <w:color w:val="auto"/>
              </w:rPr>
              <w:t>Mr. Schiavoni</w:t>
            </w:r>
          </w:p>
        </w:tc>
        <w:tc>
          <w:tcPr>
            <w:tcW w:w="3180" w:type="dxa"/>
            <w:vAlign w:val="bottom"/>
            <w:tcBorders>
              <w:bottom w:val="single" w:sz="8" w:color="395775"/>
            </w:tcBorders>
            <w:shd w:val="clear" w:color="auto" w:fill="E3E5EB"/>
          </w:tcPr>
          <w:p>
            <w:pPr>
              <w:jc w:val="right"/>
              <w:ind w:right="60"/>
              <w:spacing w:after="0"/>
              <w:rPr>
                <w:sz w:val="20"/>
                <w:szCs w:val="20"/>
                <w:color w:val="auto"/>
              </w:rPr>
            </w:pPr>
            <w:r>
              <w:rPr>
                <w:rFonts w:ascii="Arial" w:cs="Arial" w:eastAsia="Arial" w:hAnsi="Arial"/>
                <w:sz w:val="16"/>
                <w:szCs w:val="16"/>
                <w:color w:val="auto"/>
              </w:rPr>
              <w:t>450,112</w:t>
            </w:r>
          </w:p>
        </w:tc>
        <w:tc>
          <w:tcPr>
            <w:tcW w:w="2100" w:type="dxa"/>
            <w:vAlign w:val="bottom"/>
            <w:tcBorders>
              <w:bottom w:val="single" w:sz="8" w:color="395775"/>
            </w:tcBorders>
            <w:shd w:val="clear" w:color="auto" w:fill="E3E5EB"/>
          </w:tcPr>
          <w:p>
            <w:pPr>
              <w:jc w:val="right"/>
              <w:ind w:right="580"/>
              <w:spacing w:after="0"/>
              <w:rPr>
                <w:sz w:val="20"/>
                <w:szCs w:val="20"/>
                <w:color w:val="auto"/>
              </w:rPr>
            </w:pPr>
            <w:r>
              <w:rPr>
                <w:rFonts w:ascii="Arial" w:cs="Arial" w:eastAsia="Arial" w:hAnsi="Arial"/>
                <w:sz w:val="16"/>
                <w:szCs w:val="16"/>
                <w:color w:val="auto"/>
              </w:rPr>
              <w:t>550,036</w:t>
            </w:r>
          </w:p>
        </w:tc>
        <w:tc>
          <w:tcPr>
            <w:tcW w:w="1500" w:type="dxa"/>
            <w:vAlign w:val="bottom"/>
          </w:tcPr>
          <w:p>
            <w:pPr>
              <w:spacing w:after="0"/>
              <w:rPr>
                <w:sz w:val="16"/>
                <w:szCs w:val="16"/>
                <w:color w:val="auto"/>
              </w:rPr>
            </w:pPr>
          </w:p>
        </w:tc>
      </w:tr>
      <w:tr>
        <w:trPr>
          <w:trHeight w:val="531"/>
        </w:trPr>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80" w:type="dxa"/>
            <w:vAlign w:val="bottom"/>
          </w:tcPr>
          <w:p>
            <w:pPr>
              <w:spacing w:after="0"/>
              <w:rPr>
                <w:sz w:val="24"/>
                <w:szCs w:val="24"/>
                <w:color w:val="auto"/>
              </w:rPr>
            </w:pPr>
          </w:p>
        </w:tc>
        <w:tc>
          <w:tcPr>
            <w:tcW w:w="5280" w:type="dxa"/>
            <w:vAlign w:val="bottom"/>
            <w:gridSpan w:val="2"/>
          </w:tcPr>
          <w:p>
            <w:pPr>
              <w:jc w:val="right"/>
              <w:ind w:right="48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16"/>
                <w:szCs w:val="16"/>
                <w:b w:val="1"/>
                <w:bCs w:val="1"/>
                <w:color w:val="3A5575"/>
              </w:rPr>
              <w:t>|</w:t>
            </w:r>
          </w:p>
        </w:tc>
        <w:tc>
          <w:tcPr>
            <w:tcW w:w="1500" w:type="dxa"/>
            <w:vAlign w:val="bottom"/>
          </w:tcPr>
          <w:p>
            <w:pPr>
              <w:jc w:val="right"/>
              <w:spacing w:after="0"/>
              <w:rPr>
                <w:sz w:val="20"/>
                <w:szCs w:val="20"/>
                <w:color w:val="auto"/>
              </w:rPr>
            </w:pPr>
            <w:r>
              <w:rPr>
                <w:rFonts w:ascii="Arial" w:cs="Arial" w:eastAsia="Arial" w:hAnsi="Arial"/>
                <w:sz w:val="16"/>
                <w:szCs w:val="16"/>
                <w:b w:val="1"/>
                <w:bCs w:val="1"/>
                <w:color w:val="auto"/>
              </w:rPr>
              <w:t>65</w:t>
            </w:r>
          </w:p>
        </w:tc>
      </w:tr>
      <w:tr>
        <w:trPr>
          <w:trHeight w:val="169"/>
        </w:trPr>
        <w:tc>
          <w:tcPr>
            <w:tcW w:w="1360" w:type="dxa"/>
            <w:vAlign w:val="bottom"/>
            <w:tcBorders>
              <w:bottom w:val="single" w:sz="8" w:color="808080"/>
            </w:tcBorders>
          </w:tcPr>
          <w:p>
            <w:pPr>
              <w:spacing w:after="0"/>
              <w:rPr>
                <w:sz w:val="14"/>
                <w:szCs w:val="14"/>
                <w:color w:val="auto"/>
              </w:rPr>
            </w:pPr>
          </w:p>
        </w:tc>
        <w:tc>
          <w:tcPr>
            <w:tcW w:w="20" w:type="dxa"/>
            <w:vAlign w:val="bottom"/>
            <w:tcBorders>
              <w:bottom w:val="single" w:sz="8" w:color="808080"/>
            </w:tcBorders>
          </w:tcPr>
          <w:p>
            <w:pPr>
              <w:spacing w:after="0"/>
              <w:rPr>
                <w:sz w:val="14"/>
                <w:szCs w:val="14"/>
                <w:color w:val="auto"/>
              </w:rPr>
            </w:pPr>
          </w:p>
        </w:tc>
        <w:tc>
          <w:tcPr>
            <w:tcW w:w="3280" w:type="dxa"/>
            <w:vAlign w:val="bottom"/>
            <w:tcBorders>
              <w:bottom w:val="single" w:sz="8" w:color="808080"/>
            </w:tcBorders>
          </w:tcPr>
          <w:p>
            <w:pPr>
              <w:spacing w:after="0"/>
              <w:rPr>
                <w:sz w:val="14"/>
                <w:szCs w:val="14"/>
                <w:color w:val="auto"/>
              </w:rPr>
            </w:pPr>
          </w:p>
        </w:tc>
        <w:tc>
          <w:tcPr>
            <w:tcW w:w="3180" w:type="dxa"/>
            <w:vAlign w:val="bottom"/>
            <w:tcBorders>
              <w:bottom w:val="single" w:sz="8" w:color="808080"/>
            </w:tcBorders>
          </w:tcPr>
          <w:p>
            <w:pPr>
              <w:spacing w:after="0"/>
              <w:rPr>
                <w:sz w:val="14"/>
                <w:szCs w:val="14"/>
                <w:color w:val="auto"/>
              </w:rPr>
            </w:pPr>
          </w:p>
        </w:tc>
        <w:tc>
          <w:tcPr>
            <w:tcW w:w="2100" w:type="dxa"/>
            <w:vAlign w:val="bottom"/>
            <w:tcBorders>
              <w:bottom w:val="single" w:sz="8" w:color="808080"/>
            </w:tcBorders>
          </w:tcPr>
          <w:p>
            <w:pPr>
              <w:spacing w:after="0"/>
              <w:rPr>
                <w:sz w:val="14"/>
                <w:szCs w:val="14"/>
                <w:color w:val="auto"/>
              </w:rPr>
            </w:pPr>
          </w:p>
        </w:tc>
        <w:tc>
          <w:tcPr>
            <w:tcW w:w="150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6128385</wp:posOffset>
            </wp:positionH>
            <wp:positionV relativeFrom="paragraph">
              <wp:posOffset>-290195</wp:posOffset>
            </wp:positionV>
            <wp:extent cx="841375" cy="16383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74" w:name="page75"/>
    <w:bookmarkEnd w:id="74"/>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137795</wp:posOffset>
            </wp:positionV>
            <wp:extent cx="1487805" cy="15557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17" w:lineRule="exact"/>
        <w:rPr>
          <w:rFonts w:ascii="Arial" w:cs="Arial" w:eastAsia="Arial" w:hAnsi="Arial"/>
          <w:sz w:val="13"/>
          <w:szCs w:val="13"/>
          <w:b w:val="1"/>
          <w:bCs w:val="1"/>
          <w:color w:val="FFFFFE"/>
        </w:rPr>
      </w:pPr>
    </w:p>
    <w:p>
      <w:pPr>
        <w:ind w:left="2340" w:right="120"/>
        <w:spacing w:after="0" w:line="253" w:lineRule="auto"/>
        <w:rPr>
          <w:sz w:val="20"/>
          <w:szCs w:val="20"/>
          <w:color w:val="auto"/>
        </w:rPr>
      </w:pPr>
      <w:r>
        <w:rPr>
          <w:rFonts w:ascii="Arial" w:cs="Arial" w:eastAsia="Arial" w:hAnsi="Arial"/>
          <w:sz w:val="16"/>
          <w:szCs w:val="16"/>
          <w:color w:val="auto"/>
        </w:rPr>
        <w:t>The amounts included in the Summary Compensation Table for the 2015 Performance Shares, based on the probable outcome at the time of the grant, assume that the 2015 Performance Shares will be paid at 100% of the Base Grant. The 2015</w:t>
      </w:r>
    </w:p>
    <w:p>
      <w:pPr>
        <w:ind w:left="1860"/>
        <w:spacing w:after="0"/>
        <w:rPr>
          <w:sz w:val="20"/>
          <w:szCs w:val="20"/>
          <w:color w:val="auto"/>
        </w:rPr>
      </w:pPr>
      <w:r>
        <w:rPr>
          <w:rFonts w:ascii="Arial" w:cs="Arial" w:eastAsia="Arial" w:hAnsi="Arial"/>
          <w:sz w:val="16"/>
          <w:szCs w:val="16"/>
          <w:color w:val="auto"/>
        </w:rPr>
        <w:t>Performance Shares amounts are calculated as follows:</w:t>
      </w:r>
    </w:p>
    <w:p>
      <w:pPr>
        <w:spacing w:after="0" w:line="174" w:lineRule="exact"/>
        <w:rPr>
          <w:rFonts w:ascii="Arial" w:cs="Arial" w:eastAsia="Arial" w:hAnsi="Arial"/>
          <w:sz w:val="13"/>
          <w:szCs w:val="13"/>
          <w:b w:val="1"/>
          <w:bCs w:val="1"/>
          <w:color w:val="FFFFFE"/>
        </w:rPr>
      </w:pPr>
    </w:p>
    <w:tbl>
      <w:tblPr>
        <w:tblLayout w:type="fixed"/>
        <w:tblInd w:w="1540" w:type="dxa"/>
        <w:tblCellMar>
          <w:top w:w="0" w:type="dxa"/>
          <w:left w:w="0" w:type="dxa"/>
          <w:bottom w:w="0" w:type="dxa"/>
          <w:right w:w="0" w:type="dxa"/>
        </w:tblCellMar>
      </w:tblPr>
      <w:tr>
        <w:trPr>
          <w:trHeight w:val="184"/>
        </w:trPr>
        <w:tc>
          <w:tcPr>
            <w:tcW w:w="2200" w:type="dxa"/>
            <w:vAlign w:val="bottom"/>
          </w:tcPr>
          <w:p>
            <w:pPr>
              <w:spacing w:after="0"/>
              <w:rPr>
                <w:sz w:val="16"/>
                <w:szCs w:val="16"/>
                <w:color w:val="auto"/>
              </w:rPr>
            </w:pPr>
          </w:p>
        </w:tc>
        <w:tc>
          <w:tcPr>
            <w:tcW w:w="3360" w:type="dxa"/>
            <w:vAlign w:val="bottom"/>
          </w:tcPr>
          <w:p>
            <w:pPr>
              <w:jc w:val="center"/>
              <w:ind w:left="1040"/>
              <w:spacing w:after="0"/>
              <w:rPr>
                <w:sz w:val="20"/>
                <w:szCs w:val="20"/>
                <w:color w:val="auto"/>
              </w:rPr>
            </w:pPr>
            <w:r>
              <w:rPr>
                <w:rFonts w:ascii="Arial" w:cs="Arial" w:eastAsia="Arial" w:hAnsi="Arial"/>
                <w:sz w:val="16"/>
                <w:szCs w:val="16"/>
                <w:b w:val="1"/>
                <w:bCs w:val="1"/>
                <w:color w:val="3A5575"/>
                <w:w w:val="98"/>
              </w:rPr>
              <w:t>GRANT NUMBER OF</w:t>
            </w:r>
          </w:p>
        </w:tc>
        <w:tc>
          <w:tcPr>
            <w:tcW w:w="1980" w:type="dxa"/>
            <w:vAlign w:val="bottom"/>
          </w:tcPr>
          <w:p>
            <w:pPr>
              <w:jc w:val="center"/>
              <w:spacing w:after="0"/>
              <w:rPr>
                <w:sz w:val="20"/>
                <w:szCs w:val="20"/>
                <w:color w:val="auto"/>
              </w:rPr>
            </w:pPr>
            <w:r>
              <w:rPr>
                <w:rFonts w:ascii="Arial" w:cs="Arial" w:eastAsia="Arial" w:hAnsi="Arial"/>
                <w:sz w:val="16"/>
                <w:szCs w:val="16"/>
                <w:b w:val="1"/>
                <w:bCs w:val="1"/>
                <w:color w:val="3A5575"/>
                <w:w w:val="96"/>
              </w:rPr>
              <w:t>AWARD VALUE</w:t>
            </w:r>
          </w:p>
        </w:tc>
        <w:tc>
          <w:tcPr>
            <w:tcW w:w="1300" w:type="dxa"/>
            <w:vAlign w:val="bottom"/>
          </w:tcPr>
          <w:p>
            <w:pPr>
              <w:jc w:val="center"/>
              <w:ind w:left="40"/>
              <w:spacing w:after="0"/>
              <w:rPr>
                <w:sz w:val="20"/>
                <w:szCs w:val="20"/>
                <w:color w:val="auto"/>
              </w:rPr>
            </w:pPr>
            <w:r>
              <w:rPr>
                <w:rFonts w:ascii="Arial" w:cs="Arial" w:eastAsia="Arial" w:hAnsi="Arial"/>
                <w:sz w:val="16"/>
                <w:szCs w:val="16"/>
                <w:b w:val="1"/>
                <w:bCs w:val="1"/>
                <w:color w:val="3A5575"/>
                <w:w w:val="99"/>
              </w:rPr>
              <w:t>MAXIMUM</w:t>
            </w:r>
          </w:p>
        </w:tc>
      </w:tr>
      <w:tr>
        <w:trPr>
          <w:trHeight w:val="184"/>
        </w:trPr>
        <w:tc>
          <w:tcPr>
            <w:tcW w:w="2200" w:type="dxa"/>
            <w:vAlign w:val="bottom"/>
          </w:tcPr>
          <w:p>
            <w:pPr>
              <w:spacing w:after="0"/>
              <w:rPr>
                <w:sz w:val="16"/>
                <w:szCs w:val="16"/>
                <w:color w:val="auto"/>
              </w:rPr>
            </w:pPr>
          </w:p>
        </w:tc>
        <w:tc>
          <w:tcPr>
            <w:tcW w:w="3360" w:type="dxa"/>
            <w:vAlign w:val="bottom"/>
          </w:tcPr>
          <w:p>
            <w:pPr>
              <w:jc w:val="center"/>
              <w:ind w:left="1040"/>
              <w:spacing w:after="0"/>
              <w:rPr>
                <w:sz w:val="20"/>
                <w:szCs w:val="20"/>
                <w:color w:val="auto"/>
              </w:rPr>
            </w:pPr>
            <w:r>
              <w:rPr>
                <w:rFonts w:ascii="Arial" w:cs="Arial" w:eastAsia="Arial" w:hAnsi="Arial"/>
                <w:sz w:val="16"/>
                <w:szCs w:val="16"/>
                <w:b w:val="1"/>
                <w:bCs w:val="1"/>
                <w:color w:val="3A5575"/>
                <w:w w:val="99"/>
              </w:rPr>
              <w:t>PERFORMANCE SHARES</w:t>
            </w:r>
          </w:p>
        </w:tc>
        <w:tc>
          <w:tcPr>
            <w:tcW w:w="1980" w:type="dxa"/>
            <w:vAlign w:val="bottom"/>
          </w:tcPr>
          <w:p>
            <w:pPr>
              <w:jc w:val="center"/>
              <w:spacing w:after="0"/>
              <w:rPr>
                <w:sz w:val="20"/>
                <w:szCs w:val="20"/>
                <w:color w:val="auto"/>
              </w:rPr>
            </w:pPr>
            <w:r>
              <w:rPr>
                <w:rFonts w:ascii="Arial" w:cs="Arial" w:eastAsia="Arial" w:hAnsi="Arial"/>
                <w:sz w:val="16"/>
                <w:szCs w:val="16"/>
                <w:b w:val="1"/>
                <w:bCs w:val="1"/>
                <w:color w:val="3A5575"/>
                <w:w w:val="98"/>
              </w:rPr>
              <w:t>REFLECTED IN TABLE</w:t>
            </w:r>
          </w:p>
        </w:tc>
        <w:tc>
          <w:tcPr>
            <w:tcW w:w="1300" w:type="dxa"/>
            <w:vAlign w:val="bottom"/>
          </w:tcPr>
          <w:p>
            <w:pPr>
              <w:jc w:val="center"/>
              <w:ind w:left="20"/>
              <w:spacing w:after="0"/>
              <w:rPr>
                <w:sz w:val="20"/>
                <w:szCs w:val="20"/>
                <w:color w:val="auto"/>
              </w:rPr>
            </w:pPr>
            <w:r>
              <w:rPr>
                <w:rFonts w:ascii="Arial" w:cs="Arial" w:eastAsia="Arial" w:hAnsi="Arial"/>
                <w:sz w:val="16"/>
                <w:szCs w:val="16"/>
                <w:b w:val="1"/>
                <w:bCs w:val="1"/>
                <w:color w:val="3A5575"/>
                <w:w w:val="96"/>
              </w:rPr>
              <w:t>AWARD VALUE</w:t>
            </w:r>
          </w:p>
        </w:tc>
      </w:tr>
      <w:tr>
        <w:trPr>
          <w:trHeight w:val="232"/>
        </w:trPr>
        <w:tc>
          <w:tcPr>
            <w:tcW w:w="220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NAME</w:t>
            </w:r>
          </w:p>
        </w:tc>
        <w:tc>
          <w:tcPr>
            <w:tcW w:w="3360" w:type="dxa"/>
            <w:vAlign w:val="bottom"/>
            <w:tcBorders>
              <w:bottom w:val="single" w:sz="8" w:color="646466"/>
            </w:tcBorders>
          </w:tcPr>
          <w:p>
            <w:pPr>
              <w:jc w:val="center"/>
              <w:ind w:left="1040"/>
              <w:spacing w:after="0"/>
              <w:rPr>
                <w:sz w:val="20"/>
                <w:szCs w:val="20"/>
                <w:color w:val="auto"/>
              </w:rPr>
            </w:pPr>
            <w:r>
              <w:rPr>
                <w:rFonts w:ascii="Arial" w:cs="Arial" w:eastAsia="Arial" w:hAnsi="Arial"/>
                <w:sz w:val="16"/>
                <w:szCs w:val="16"/>
                <w:b w:val="1"/>
                <w:bCs w:val="1"/>
                <w:color w:val="3A5575"/>
              </w:rPr>
              <w:t>(#)</w:t>
            </w:r>
          </w:p>
        </w:tc>
        <w:tc>
          <w:tcPr>
            <w:tcW w:w="1980" w:type="dxa"/>
            <w:vAlign w:val="bottom"/>
            <w:tcBorders>
              <w:bottom w:val="single" w:sz="8" w:color="646466"/>
            </w:tcBorders>
          </w:tcPr>
          <w:p>
            <w:pPr>
              <w:jc w:val="center"/>
              <w:spacing w:after="0"/>
              <w:rPr>
                <w:sz w:val="20"/>
                <w:szCs w:val="20"/>
                <w:color w:val="auto"/>
              </w:rPr>
            </w:pPr>
            <w:r>
              <w:rPr>
                <w:rFonts w:ascii="Arial" w:cs="Arial" w:eastAsia="Arial" w:hAnsi="Arial"/>
                <w:sz w:val="16"/>
                <w:szCs w:val="16"/>
                <w:b w:val="1"/>
                <w:bCs w:val="1"/>
                <w:color w:val="3A5575"/>
              </w:rPr>
              <w:t>($)</w:t>
            </w:r>
          </w:p>
        </w:tc>
        <w:tc>
          <w:tcPr>
            <w:tcW w:w="1300" w:type="dxa"/>
            <w:vAlign w:val="bottom"/>
            <w:tcBorders>
              <w:bottom w:val="single" w:sz="8" w:color="646466"/>
            </w:tcBorders>
          </w:tcPr>
          <w:p>
            <w:pPr>
              <w:jc w:val="center"/>
              <w:ind w:left="20"/>
              <w:spacing w:after="0"/>
              <w:rPr>
                <w:sz w:val="20"/>
                <w:szCs w:val="20"/>
                <w:color w:val="auto"/>
              </w:rPr>
            </w:pPr>
            <w:r>
              <w:rPr>
                <w:rFonts w:ascii="Arial" w:cs="Arial" w:eastAsia="Arial" w:hAnsi="Arial"/>
                <w:sz w:val="16"/>
                <w:szCs w:val="16"/>
                <w:b w:val="1"/>
                <w:bCs w:val="1"/>
                <w:color w:val="3A5575"/>
              </w:rPr>
              <w:t>($)</w:t>
            </w:r>
          </w:p>
        </w:tc>
      </w:tr>
      <w:tr>
        <w:trPr>
          <w:trHeight w:val="184"/>
        </w:trPr>
        <w:tc>
          <w:tcPr>
            <w:tcW w:w="2200" w:type="dxa"/>
            <w:vAlign w:val="bottom"/>
            <w:shd w:val="clear" w:color="auto" w:fill="E3E5EB"/>
          </w:tcPr>
          <w:p>
            <w:pPr>
              <w:spacing w:after="0"/>
              <w:rPr>
                <w:sz w:val="20"/>
                <w:szCs w:val="20"/>
                <w:color w:val="auto"/>
              </w:rPr>
            </w:pPr>
            <w:r>
              <w:rPr>
                <w:rFonts w:ascii="Arial" w:cs="Arial" w:eastAsia="Arial" w:hAnsi="Arial"/>
                <w:sz w:val="16"/>
                <w:szCs w:val="16"/>
                <w:color w:val="auto"/>
              </w:rPr>
              <w:t>Mr. Brandt</w:t>
            </w:r>
          </w:p>
        </w:tc>
        <w:tc>
          <w:tcPr>
            <w:tcW w:w="3360" w:type="dxa"/>
            <w:vAlign w:val="bottom"/>
            <w:shd w:val="clear" w:color="auto" w:fill="E3E5EB"/>
          </w:tcPr>
          <w:p>
            <w:pPr>
              <w:jc w:val="right"/>
              <w:ind w:right="800"/>
              <w:spacing w:after="0"/>
              <w:rPr>
                <w:sz w:val="20"/>
                <w:szCs w:val="20"/>
                <w:color w:val="auto"/>
              </w:rPr>
            </w:pPr>
            <w:r>
              <w:rPr>
                <w:rFonts w:ascii="Arial" w:cs="Arial" w:eastAsia="Arial" w:hAnsi="Arial"/>
                <w:sz w:val="16"/>
                <w:szCs w:val="16"/>
                <w:color w:val="auto"/>
              </w:rPr>
              <w:t>37,248</w:t>
            </w:r>
          </w:p>
        </w:tc>
        <w:tc>
          <w:tcPr>
            <w:tcW w:w="1980" w:type="dxa"/>
            <w:vAlign w:val="bottom"/>
            <w:shd w:val="clear" w:color="auto" w:fill="E3E5EB"/>
          </w:tcPr>
          <w:p>
            <w:pPr>
              <w:jc w:val="right"/>
              <w:ind w:right="560"/>
              <w:spacing w:after="0"/>
              <w:rPr>
                <w:sz w:val="20"/>
                <w:szCs w:val="20"/>
                <w:color w:val="auto"/>
              </w:rPr>
            </w:pPr>
            <w:r>
              <w:rPr>
                <w:rFonts w:ascii="Arial" w:cs="Arial" w:eastAsia="Arial" w:hAnsi="Arial"/>
                <w:sz w:val="16"/>
                <w:szCs w:val="16"/>
                <w:color w:val="auto"/>
              </w:rPr>
              <w:t>2,420,003</w:t>
            </w:r>
          </w:p>
        </w:tc>
        <w:tc>
          <w:tcPr>
            <w:tcW w:w="1300" w:type="dxa"/>
            <w:vAlign w:val="bottom"/>
            <w:shd w:val="clear" w:color="auto" w:fill="E3E5EB"/>
          </w:tcPr>
          <w:p>
            <w:pPr>
              <w:jc w:val="right"/>
              <w:ind w:right="160"/>
              <w:spacing w:after="0"/>
              <w:rPr>
                <w:sz w:val="20"/>
                <w:szCs w:val="20"/>
                <w:color w:val="auto"/>
              </w:rPr>
            </w:pPr>
            <w:r>
              <w:rPr>
                <w:rFonts w:ascii="Arial" w:cs="Arial" w:eastAsia="Arial" w:hAnsi="Arial"/>
                <w:sz w:val="16"/>
                <w:szCs w:val="16"/>
                <w:color w:val="auto"/>
              </w:rPr>
              <w:t>4,840,005</w:t>
            </w:r>
          </w:p>
        </w:tc>
      </w:tr>
      <w:tr>
        <w:trPr>
          <w:trHeight w:val="184"/>
        </w:trPr>
        <w:tc>
          <w:tcPr>
            <w:tcW w:w="2200" w:type="dxa"/>
            <w:vAlign w:val="bottom"/>
          </w:tcPr>
          <w:p>
            <w:pPr>
              <w:spacing w:after="0"/>
              <w:rPr>
                <w:sz w:val="20"/>
                <w:szCs w:val="20"/>
                <w:color w:val="auto"/>
              </w:rPr>
            </w:pPr>
            <w:r>
              <w:rPr>
                <w:rFonts w:ascii="Arial" w:cs="Arial" w:eastAsia="Arial" w:hAnsi="Arial"/>
                <w:sz w:val="16"/>
                <w:szCs w:val="16"/>
                <w:color w:val="auto"/>
              </w:rPr>
              <w:t>Mr. Hatfield</w:t>
            </w:r>
          </w:p>
        </w:tc>
        <w:tc>
          <w:tcPr>
            <w:tcW w:w="3360" w:type="dxa"/>
            <w:vAlign w:val="bottom"/>
          </w:tcPr>
          <w:p>
            <w:pPr>
              <w:jc w:val="right"/>
              <w:ind w:right="800"/>
              <w:spacing w:after="0"/>
              <w:rPr>
                <w:sz w:val="20"/>
                <w:szCs w:val="20"/>
                <w:color w:val="auto"/>
              </w:rPr>
            </w:pPr>
            <w:r>
              <w:rPr>
                <w:rFonts w:ascii="Arial" w:cs="Arial" w:eastAsia="Arial" w:hAnsi="Arial"/>
                <w:sz w:val="16"/>
                <w:szCs w:val="16"/>
                <w:color w:val="auto"/>
              </w:rPr>
              <w:t>6,350</w:t>
            </w:r>
          </w:p>
        </w:tc>
        <w:tc>
          <w:tcPr>
            <w:tcW w:w="1980" w:type="dxa"/>
            <w:vAlign w:val="bottom"/>
          </w:tcPr>
          <w:p>
            <w:pPr>
              <w:jc w:val="right"/>
              <w:ind w:right="560"/>
              <w:spacing w:after="0"/>
              <w:rPr>
                <w:sz w:val="20"/>
                <w:szCs w:val="20"/>
                <w:color w:val="auto"/>
              </w:rPr>
            </w:pPr>
            <w:r>
              <w:rPr>
                <w:rFonts w:ascii="Arial" w:cs="Arial" w:eastAsia="Arial" w:hAnsi="Arial"/>
                <w:sz w:val="16"/>
                <w:szCs w:val="16"/>
                <w:color w:val="auto"/>
              </w:rPr>
              <w:t>412,560</w:t>
            </w:r>
          </w:p>
        </w:tc>
        <w:tc>
          <w:tcPr>
            <w:tcW w:w="1300" w:type="dxa"/>
            <w:vAlign w:val="bottom"/>
          </w:tcPr>
          <w:p>
            <w:pPr>
              <w:jc w:val="right"/>
              <w:ind w:right="160"/>
              <w:spacing w:after="0"/>
              <w:rPr>
                <w:sz w:val="20"/>
                <w:szCs w:val="20"/>
                <w:color w:val="auto"/>
              </w:rPr>
            </w:pPr>
            <w:r>
              <w:rPr>
                <w:rFonts w:ascii="Arial" w:cs="Arial" w:eastAsia="Arial" w:hAnsi="Arial"/>
                <w:sz w:val="16"/>
                <w:szCs w:val="16"/>
                <w:color w:val="auto"/>
              </w:rPr>
              <w:t>825,119</w:t>
            </w:r>
          </w:p>
        </w:tc>
      </w:tr>
      <w:tr>
        <w:trPr>
          <w:trHeight w:val="184"/>
        </w:trPr>
        <w:tc>
          <w:tcPr>
            <w:tcW w:w="2200" w:type="dxa"/>
            <w:vAlign w:val="bottom"/>
            <w:shd w:val="clear" w:color="auto" w:fill="E3E5EB"/>
          </w:tcPr>
          <w:p>
            <w:pPr>
              <w:spacing w:after="0"/>
              <w:rPr>
                <w:sz w:val="20"/>
                <w:szCs w:val="20"/>
                <w:color w:val="auto"/>
              </w:rPr>
            </w:pPr>
            <w:r>
              <w:rPr>
                <w:rFonts w:ascii="Arial" w:cs="Arial" w:eastAsia="Arial" w:hAnsi="Arial"/>
                <w:sz w:val="16"/>
                <w:szCs w:val="16"/>
                <w:color w:val="auto"/>
              </w:rPr>
              <w:t>Mr. Edington</w:t>
            </w:r>
          </w:p>
        </w:tc>
        <w:tc>
          <w:tcPr>
            <w:tcW w:w="3360" w:type="dxa"/>
            <w:vAlign w:val="bottom"/>
            <w:shd w:val="clear" w:color="auto" w:fill="E3E5EB"/>
          </w:tcPr>
          <w:p>
            <w:pPr>
              <w:jc w:val="right"/>
              <w:ind w:right="800"/>
              <w:spacing w:after="0"/>
              <w:rPr>
                <w:sz w:val="20"/>
                <w:szCs w:val="20"/>
                <w:color w:val="auto"/>
              </w:rPr>
            </w:pPr>
            <w:r>
              <w:rPr>
                <w:rFonts w:ascii="Arial" w:cs="Arial" w:eastAsia="Arial" w:hAnsi="Arial"/>
                <w:sz w:val="16"/>
                <w:szCs w:val="16"/>
                <w:color w:val="auto"/>
              </w:rPr>
              <w:t>5,080</w:t>
            </w:r>
          </w:p>
        </w:tc>
        <w:tc>
          <w:tcPr>
            <w:tcW w:w="1980" w:type="dxa"/>
            <w:vAlign w:val="bottom"/>
            <w:shd w:val="clear" w:color="auto" w:fill="E3E5EB"/>
          </w:tcPr>
          <w:p>
            <w:pPr>
              <w:jc w:val="right"/>
              <w:ind w:right="560"/>
              <w:spacing w:after="0"/>
              <w:rPr>
                <w:sz w:val="20"/>
                <w:szCs w:val="20"/>
                <w:color w:val="auto"/>
              </w:rPr>
            </w:pPr>
            <w:r>
              <w:rPr>
                <w:rFonts w:ascii="Arial" w:cs="Arial" w:eastAsia="Arial" w:hAnsi="Arial"/>
                <w:sz w:val="16"/>
                <w:szCs w:val="16"/>
                <w:color w:val="auto"/>
              </w:rPr>
              <w:t>330,048</w:t>
            </w:r>
          </w:p>
        </w:tc>
        <w:tc>
          <w:tcPr>
            <w:tcW w:w="1300" w:type="dxa"/>
            <w:vAlign w:val="bottom"/>
            <w:shd w:val="clear" w:color="auto" w:fill="E3E5EB"/>
          </w:tcPr>
          <w:p>
            <w:pPr>
              <w:jc w:val="right"/>
              <w:ind w:right="160"/>
              <w:spacing w:after="0"/>
              <w:rPr>
                <w:sz w:val="20"/>
                <w:szCs w:val="20"/>
                <w:color w:val="auto"/>
              </w:rPr>
            </w:pPr>
            <w:r>
              <w:rPr>
                <w:rFonts w:ascii="Arial" w:cs="Arial" w:eastAsia="Arial" w:hAnsi="Arial"/>
                <w:sz w:val="16"/>
                <w:szCs w:val="16"/>
                <w:color w:val="auto"/>
              </w:rPr>
              <w:t>660,095</w:t>
            </w:r>
          </w:p>
        </w:tc>
      </w:tr>
      <w:tr>
        <w:trPr>
          <w:trHeight w:val="184"/>
        </w:trPr>
        <w:tc>
          <w:tcPr>
            <w:tcW w:w="2200" w:type="dxa"/>
            <w:vAlign w:val="bottom"/>
          </w:tcPr>
          <w:p>
            <w:pPr>
              <w:spacing w:after="0"/>
              <w:rPr>
                <w:sz w:val="20"/>
                <w:szCs w:val="20"/>
                <w:color w:val="auto"/>
              </w:rPr>
            </w:pPr>
            <w:r>
              <w:rPr>
                <w:rFonts w:ascii="Arial" w:cs="Arial" w:eastAsia="Arial" w:hAnsi="Arial"/>
                <w:sz w:val="16"/>
                <w:szCs w:val="16"/>
                <w:color w:val="auto"/>
              </w:rPr>
              <w:t>Mr. Falck</w:t>
            </w:r>
          </w:p>
        </w:tc>
        <w:tc>
          <w:tcPr>
            <w:tcW w:w="3360" w:type="dxa"/>
            <w:vAlign w:val="bottom"/>
          </w:tcPr>
          <w:p>
            <w:pPr>
              <w:jc w:val="right"/>
              <w:ind w:right="800"/>
              <w:spacing w:after="0"/>
              <w:rPr>
                <w:sz w:val="20"/>
                <w:szCs w:val="20"/>
                <w:color w:val="auto"/>
              </w:rPr>
            </w:pPr>
            <w:r>
              <w:rPr>
                <w:rFonts w:ascii="Arial" w:cs="Arial" w:eastAsia="Arial" w:hAnsi="Arial"/>
                <w:sz w:val="16"/>
                <w:szCs w:val="16"/>
                <w:color w:val="auto"/>
              </w:rPr>
              <w:t>6,350</w:t>
            </w:r>
          </w:p>
        </w:tc>
        <w:tc>
          <w:tcPr>
            <w:tcW w:w="1980" w:type="dxa"/>
            <w:vAlign w:val="bottom"/>
          </w:tcPr>
          <w:p>
            <w:pPr>
              <w:jc w:val="right"/>
              <w:ind w:right="560"/>
              <w:spacing w:after="0"/>
              <w:rPr>
                <w:sz w:val="20"/>
                <w:szCs w:val="20"/>
                <w:color w:val="auto"/>
              </w:rPr>
            </w:pPr>
            <w:r>
              <w:rPr>
                <w:rFonts w:ascii="Arial" w:cs="Arial" w:eastAsia="Arial" w:hAnsi="Arial"/>
                <w:sz w:val="16"/>
                <w:szCs w:val="16"/>
                <w:color w:val="auto"/>
              </w:rPr>
              <w:t>412,560</w:t>
            </w:r>
          </w:p>
        </w:tc>
        <w:tc>
          <w:tcPr>
            <w:tcW w:w="1300" w:type="dxa"/>
            <w:vAlign w:val="bottom"/>
          </w:tcPr>
          <w:p>
            <w:pPr>
              <w:jc w:val="right"/>
              <w:ind w:right="160"/>
              <w:spacing w:after="0"/>
              <w:rPr>
                <w:sz w:val="20"/>
                <w:szCs w:val="20"/>
                <w:color w:val="auto"/>
              </w:rPr>
            </w:pPr>
            <w:r>
              <w:rPr>
                <w:rFonts w:ascii="Arial" w:cs="Arial" w:eastAsia="Arial" w:hAnsi="Arial"/>
                <w:sz w:val="16"/>
                <w:szCs w:val="16"/>
                <w:color w:val="auto"/>
              </w:rPr>
              <w:t>825,119</w:t>
            </w:r>
          </w:p>
        </w:tc>
      </w:tr>
      <w:tr>
        <w:trPr>
          <w:trHeight w:val="184"/>
        </w:trPr>
        <w:tc>
          <w:tcPr>
            <w:tcW w:w="2200" w:type="dxa"/>
            <w:vAlign w:val="bottom"/>
            <w:shd w:val="clear" w:color="auto" w:fill="E3E5EB"/>
          </w:tcPr>
          <w:p>
            <w:pPr>
              <w:spacing w:after="0"/>
              <w:rPr>
                <w:sz w:val="20"/>
                <w:szCs w:val="20"/>
                <w:color w:val="auto"/>
              </w:rPr>
            </w:pPr>
            <w:r>
              <w:rPr>
                <w:rFonts w:ascii="Arial" w:cs="Arial" w:eastAsia="Arial" w:hAnsi="Arial"/>
                <w:sz w:val="16"/>
                <w:szCs w:val="16"/>
                <w:color w:val="auto"/>
              </w:rPr>
              <w:t>Mr. Schiavoni</w:t>
            </w:r>
          </w:p>
        </w:tc>
        <w:tc>
          <w:tcPr>
            <w:tcW w:w="3360" w:type="dxa"/>
            <w:vAlign w:val="bottom"/>
            <w:shd w:val="clear" w:color="auto" w:fill="E3E5EB"/>
          </w:tcPr>
          <w:p>
            <w:pPr>
              <w:jc w:val="right"/>
              <w:ind w:right="800"/>
              <w:spacing w:after="0"/>
              <w:rPr>
                <w:sz w:val="20"/>
                <w:szCs w:val="20"/>
                <w:color w:val="auto"/>
              </w:rPr>
            </w:pPr>
            <w:r>
              <w:rPr>
                <w:rFonts w:ascii="Arial" w:cs="Arial" w:eastAsia="Arial" w:hAnsi="Arial"/>
                <w:sz w:val="16"/>
                <w:szCs w:val="16"/>
                <w:color w:val="auto"/>
              </w:rPr>
              <w:t>8,466</w:t>
            </w:r>
          </w:p>
        </w:tc>
        <w:tc>
          <w:tcPr>
            <w:tcW w:w="1980" w:type="dxa"/>
            <w:vAlign w:val="bottom"/>
            <w:shd w:val="clear" w:color="auto" w:fill="E3E5EB"/>
          </w:tcPr>
          <w:p>
            <w:pPr>
              <w:jc w:val="right"/>
              <w:ind w:right="560"/>
              <w:spacing w:after="0"/>
              <w:rPr>
                <w:sz w:val="20"/>
                <w:szCs w:val="20"/>
                <w:color w:val="auto"/>
              </w:rPr>
            </w:pPr>
            <w:r>
              <w:rPr>
                <w:rFonts w:ascii="Arial" w:cs="Arial" w:eastAsia="Arial" w:hAnsi="Arial"/>
                <w:sz w:val="16"/>
                <w:szCs w:val="16"/>
                <w:color w:val="auto"/>
              </w:rPr>
              <w:t>550,036</w:t>
            </w:r>
          </w:p>
        </w:tc>
        <w:tc>
          <w:tcPr>
            <w:tcW w:w="1300" w:type="dxa"/>
            <w:vAlign w:val="bottom"/>
            <w:shd w:val="clear" w:color="auto" w:fill="E3E5EB"/>
          </w:tcPr>
          <w:p>
            <w:pPr>
              <w:jc w:val="right"/>
              <w:ind w:right="160"/>
              <w:spacing w:after="0"/>
              <w:rPr>
                <w:sz w:val="20"/>
                <w:szCs w:val="20"/>
                <w:color w:val="auto"/>
              </w:rPr>
            </w:pPr>
            <w:r>
              <w:rPr>
                <w:rFonts w:ascii="Arial" w:cs="Arial" w:eastAsia="Arial" w:hAnsi="Arial"/>
                <w:sz w:val="16"/>
                <w:szCs w:val="16"/>
                <w:color w:val="auto"/>
              </w:rPr>
              <w:t>1,100,072</w:t>
            </w:r>
          </w:p>
        </w:tc>
      </w:tr>
      <w:tr>
        <w:trPr>
          <w:trHeight w:val="37"/>
        </w:trPr>
        <w:tc>
          <w:tcPr>
            <w:tcW w:w="2200" w:type="dxa"/>
            <w:vAlign w:val="bottom"/>
            <w:tcBorders>
              <w:bottom w:val="single" w:sz="8" w:color="395775"/>
            </w:tcBorders>
          </w:tcPr>
          <w:p>
            <w:pPr>
              <w:spacing w:after="0"/>
              <w:rPr>
                <w:sz w:val="3"/>
                <w:szCs w:val="3"/>
                <w:color w:val="auto"/>
              </w:rPr>
            </w:pPr>
          </w:p>
        </w:tc>
        <w:tc>
          <w:tcPr>
            <w:tcW w:w="3360" w:type="dxa"/>
            <w:vAlign w:val="bottom"/>
            <w:tcBorders>
              <w:bottom w:val="single" w:sz="8" w:color="395775"/>
            </w:tcBorders>
          </w:tcPr>
          <w:p>
            <w:pPr>
              <w:spacing w:after="0"/>
              <w:rPr>
                <w:sz w:val="3"/>
                <w:szCs w:val="3"/>
                <w:color w:val="auto"/>
              </w:rPr>
            </w:pPr>
          </w:p>
        </w:tc>
        <w:tc>
          <w:tcPr>
            <w:tcW w:w="1980" w:type="dxa"/>
            <w:vAlign w:val="bottom"/>
            <w:tcBorders>
              <w:bottom w:val="single" w:sz="8" w:color="395775"/>
            </w:tcBorders>
          </w:tcPr>
          <w:p>
            <w:pPr>
              <w:spacing w:after="0"/>
              <w:rPr>
                <w:sz w:val="3"/>
                <w:szCs w:val="3"/>
                <w:color w:val="auto"/>
              </w:rPr>
            </w:pPr>
          </w:p>
        </w:tc>
        <w:tc>
          <w:tcPr>
            <w:tcW w:w="1300" w:type="dxa"/>
            <w:vAlign w:val="bottom"/>
            <w:tcBorders>
              <w:bottom w:val="single" w:sz="8" w:color="395775"/>
            </w:tcBorders>
          </w:tcPr>
          <w:p>
            <w:pPr>
              <w:spacing w:after="0"/>
              <w:rPr>
                <w:sz w:val="3"/>
                <w:szCs w:val="3"/>
                <w:color w:val="auto"/>
              </w:rPr>
            </w:pPr>
          </w:p>
        </w:tc>
      </w:tr>
    </w:tbl>
    <w:p>
      <w:pPr>
        <w:spacing w:after="0" w:line="228" w:lineRule="exact"/>
        <w:rPr>
          <w:rFonts w:ascii="Arial" w:cs="Arial" w:eastAsia="Arial" w:hAnsi="Arial"/>
          <w:sz w:val="13"/>
          <w:szCs w:val="13"/>
          <w:b w:val="1"/>
          <w:bCs w:val="1"/>
          <w:color w:val="FFFFFE"/>
        </w:rPr>
      </w:pPr>
    </w:p>
    <w:p>
      <w:pPr>
        <w:ind w:left="1640"/>
        <w:spacing w:after="0"/>
        <w:rPr>
          <w:sz w:val="20"/>
          <w:szCs w:val="20"/>
          <w:color w:val="auto"/>
        </w:rPr>
      </w:pPr>
      <w:r>
        <w:rPr>
          <w:rFonts w:ascii="Arial" w:cs="Arial" w:eastAsia="Arial" w:hAnsi="Arial"/>
          <w:sz w:val="16"/>
          <w:szCs w:val="16"/>
          <w:color w:val="auto"/>
        </w:rPr>
        <w:t>There were no forfeitures in 2015.</w:t>
      </w:r>
    </w:p>
    <w:p>
      <w:pPr>
        <w:spacing w:after="0" w:line="184" w:lineRule="exact"/>
        <w:rPr>
          <w:rFonts w:ascii="Arial" w:cs="Arial" w:eastAsia="Arial" w:hAnsi="Arial"/>
          <w:sz w:val="13"/>
          <w:szCs w:val="13"/>
          <w:b w:val="1"/>
          <w:bCs w:val="1"/>
          <w:color w:val="FFFFFE"/>
        </w:rPr>
      </w:pPr>
    </w:p>
    <w:p>
      <w:pPr>
        <w:ind w:left="1640" w:right="120" w:hanging="499"/>
        <w:spacing w:after="0" w:line="259" w:lineRule="auto"/>
        <w:tabs>
          <w:tab w:leader="none" w:pos="1640" w:val="left"/>
        </w:tabs>
        <w:numPr>
          <w:ilvl w:val="0"/>
          <w:numId w:val="79"/>
        </w:numPr>
        <w:rPr>
          <w:rFonts w:ascii="Arial" w:cs="Arial" w:eastAsia="Arial" w:hAnsi="Arial"/>
          <w:sz w:val="16"/>
          <w:szCs w:val="16"/>
          <w:color w:val="auto"/>
        </w:rPr>
      </w:pPr>
      <w:r>
        <w:rPr>
          <w:rFonts w:ascii="Arial" w:cs="Arial" w:eastAsia="Arial" w:hAnsi="Arial"/>
          <w:sz w:val="16"/>
          <w:szCs w:val="16"/>
          <w:color w:val="auto"/>
        </w:rPr>
        <w:t>These amounts represent the payments described under "2015 Compensation — Annual Cash Incentives" in the CD&amp;A and, with respect to Mr. Edington, $1,500 for incentive payments received in connection with the outage incentive plans for the 2014 Fall and 2015 Spring and Fall refueling outages for Palo Verde Units 2, 1 and 3, respectively (collectively, the "Refueling Outages").</w:t>
      </w:r>
    </w:p>
    <w:p>
      <w:pPr>
        <w:spacing w:after="0" w:line="140" w:lineRule="exact"/>
        <w:rPr>
          <w:rFonts w:ascii="Arial" w:cs="Arial" w:eastAsia="Arial" w:hAnsi="Arial"/>
          <w:sz w:val="16"/>
          <w:szCs w:val="16"/>
          <w:color w:val="auto"/>
        </w:rPr>
      </w:pPr>
    </w:p>
    <w:p>
      <w:pPr>
        <w:ind w:left="1640" w:right="40" w:hanging="499"/>
        <w:spacing w:after="0" w:line="260" w:lineRule="auto"/>
        <w:tabs>
          <w:tab w:leader="none" w:pos="1640" w:val="left"/>
        </w:tabs>
        <w:numPr>
          <w:ilvl w:val="0"/>
          <w:numId w:val="79"/>
        </w:numPr>
        <w:rPr>
          <w:rFonts w:ascii="Arial" w:cs="Arial" w:eastAsia="Arial" w:hAnsi="Arial"/>
          <w:sz w:val="15"/>
          <w:szCs w:val="15"/>
          <w:color w:val="auto"/>
        </w:rPr>
      </w:pPr>
      <w:r>
        <w:rPr>
          <w:rFonts w:ascii="Arial" w:cs="Arial" w:eastAsia="Arial" w:hAnsi="Arial"/>
          <w:sz w:val="15"/>
          <w:szCs w:val="15"/>
          <w:color w:val="auto"/>
        </w:rPr>
        <w:t>The amounts in this column for 2015 consist of: (i) the estimated aggregate change in the actuarial present value from December 31, 2014 to December 31, 2015 of each of the Named Executive Officer's accumulated benefits payable under all defined benefit and actuarial pension plans (including supplemental plans and employment agreements) as follows: Mr. Brandt — $1,503,619 (Mr. Brandt is currently eligible for retirement at a reduced retirement benefit; however, this amount represents the amount he would be entitled to receive at age 65, at which time he would receive the full retirement benefit); Mr. Hatfield — $453,537; Mr. Edington — $927,182; Mr. Falck — $342,163; and Mr. Schiavoni — $415,899; (ii) the above-market portion of interest accrued under the deferred compensation plan as follows:</w:t>
      </w:r>
    </w:p>
    <w:p>
      <w:pPr>
        <w:spacing w:after="0" w:line="2" w:lineRule="exact"/>
        <w:rPr>
          <w:rFonts w:ascii="Arial" w:cs="Arial" w:eastAsia="Arial" w:hAnsi="Arial"/>
          <w:sz w:val="15"/>
          <w:szCs w:val="15"/>
          <w:color w:val="auto"/>
        </w:rPr>
      </w:pPr>
    </w:p>
    <w:p>
      <w:pPr>
        <w:ind w:left="1640" w:right="60"/>
        <w:spacing w:after="0" w:line="244" w:lineRule="auto"/>
        <w:rPr>
          <w:rFonts w:ascii="Arial" w:cs="Arial" w:eastAsia="Arial" w:hAnsi="Arial"/>
          <w:sz w:val="15"/>
          <w:szCs w:val="15"/>
          <w:color w:val="auto"/>
        </w:rPr>
      </w:pPr>
      <w:r>
        <w:rPr>
          <w:rFonts w:ascii="Arial" w:cs="Arial" w:eastAsia="Arial" w:hAnsi="Arial"/>
          <w:sz w:val="16"/>
          <w:szCs w:val="16"/>
          <w:color w:val="auto"/>
        </w:rPr>
        <w:t>Mr. Brandt — $63,553; Mr. Hatfield — $5,235; Mr. Edington — $237,530; Mr. Falck — $26,019; and Mr. Schiavoni — $16,865. We describe the special agreements we have with Mr. Edington regarding his benefits in the narrative disclosure accompanying this Summary Compensation Table and the Grants of Plan-Based Awards table. The actuarial present value provided in this footnote is driven by certain assumptions including, the discount rate and the mortality assumption.</w:t>
      </w:r>
    </w:p>
    <w:p>
      <w:pPr>
        <w:spacing w:after="0" w:line="163" w:lineRule="exact"/>
        <w:rPr>
          <w:rFonts w:ascii="Arial" w:cs="Arial" w:eastAsia="Arial" w:hAnsi="Arial"/>
          <w:sz w:val="15"/>
          <w:szCs w:val="15"/>
          <w:color w:val="auto"/>
        </w:rPr>
      </w:pPr>
    </w:p>
    <w:p>
      <w:pPr>
        <w:ind w:left="1640" w:hanging="499"/>
        <w:spacing w:after="0"/>
        <w:tabs>
          <w:tab w:leader="none" w:pos="1640" w:val="left"/>
        </w:tabs>
        <w:numPr>
          <w:ilvl w:val="0"/>
          <w:numId w:val="79"/>
        </w:numPr>
        <w:rPr>
          <w:rFonts w:ascii="Arial" w:cs="Arial" w:eastAsia="Arial" w:hAnsi="Arial"/>
          <w:sz w:val="16"/>
          <w:szCs w:val="16"/>
          <w:color w:val="auto"/>
        </w:rPr>
      </w:pPr>
      <w:r>
        <w:rPr>
          <w:rFonts w:ascii="Arial" w:cs="Arial" w:eastAsia="Arial" w:hAnsi="Arial"/>
          <w:sz w:val="16"/>
          <w:szCs w:val="16"/>
          <w:color w:val="auto"/>
        </w:rPr>
        <w:t>The amounts in this column include the following amounts for each of the Named Executive Officers for 2015:</w:t>
      </w:r>
    </w:p>
    <w:p>
      <w:pPr>
        <w:spacing w:after="0" w:line="194" w:lineRule="exact"/>
        <w:rPr>
          <w:rFonts w:ascii="Arial" w:cs="Arial" w:eastAsia="Arial" w:hAnsi="Arial"/>
          <w:sz w:val="13"/>
          <w:szCs w:val="13"/>
          <w:b w:val="1"/>
          <w:bCs w:val="1"/>
          <w:color w:val="FFFFFE"/>
        </w:rPr>
      </w:pPr>
    </w:p>
    <w:tbl>
      <w:tblPr>
        <w:tblLayout w:type="fixed"/>
        <w:tblInd w:w="1560" w:type="dxa"/>
        <w:tblCellMar>
          <w:top w:w="0" w:type="dxa"/>
          <w:left w:w="0" w:type="dxa"/>
          <w:bottom w:w="0" w:type="dxa"/>
          <w:right w:w="0" w:type="dxa"/>
        </w:tblCellMar>
      </w:tblPr>
      <w:tr>
        <w:trPr>
          <w:trHeight w:val="186"/>
        </w:trPr>
        <w:tc>
          <w:tcPr>
            <w:tcW w:w="5620" w:type="dxa"/>
            <w:vAlign w:val="bottom"/>
          </w:tcPr>
          <w:p>
            <w:pPr>
              <w:spacing w:after="0"/>
              <w:rPr>
                <w:sz w:val="20"/>
                <w:szCs w:val="20"/>
                <w:color w:val="auto"/>
              </w:rPr>
            </w:pPr>
            <w:r>
              <w:rPr>
                <w:rFonts w:ascii="Arial" w:cs="Arial" w:eastAsia="Arial" w:hAnsi="Arial"/>
                <w:sz w:val="16"/>
                <w:szCs w:val="16"/>
                <w:b w:val="1"/>
                <w:bCs w:val="1"/>
                <w:color w:val="auto"/>
              </w:rPr>
              <w:t>Mr. Brandt:</w:t>
            </w:r>
          </w:p>
        </w:tc>
        <w:tc>
          <w:tcPr>
            <w:tcW w:w="2560" w:type="dxa"/>
            <w:vAlign w:val="bottom"/>
          </w:tcPr>
          <w:p>
            <w:pPr>
              <w:spacing w:after="0"/>
              <w:rPr>
                <w:sz w:val="16"/>
                <w:szCs w:val="16"/>
                <w:color w:val="auto"/>
              </w:rPr>
            </w:pPr>
          </w:p>
        </w:tc>
      </w:tr>
      <w:tr>
        <w:trPr>
          <w:trHeight w:val="192"/>
        </w:trPr>
        <w:tc>
          <w:tcPr>
            <w:tcW w:w="5620" w:type="dxa"/>
            <w:vAlign w:val="bottom"/>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Company's contribution under the 401(k) plan</w:t>
            </w:r>
          </w:p>
        </w:tc>
        <w:tc>
          <w:tcPr>
            <w:tcW w:w="2560" w:type="dxa"/>
            <w:vAlign w:val="bottom"/>
          </w:tcPr>
          <w:p>
            <w:pPr>
              <w:jc w:val="right"/>
              <w:spacing w:after="0"/>
              <w:rPr>
                <w:sz w:val="20"/>
                <w:szCs w:val="20"/>
                <w:color w:val="auto"/>
              </w:rPr>
            </w:pPr>
            <w:r>
              <w:rPr>
                <w:rFonts w:ascii="Arial" w:cs="Arial" w:eastAsia="Arial" w:hAnsi="Arial"/>
                <w:sz w:val="16"/>
                <w:szCs w:val="16"/>
                <w:color w:val="auto"/>
              </w:rPr>
              <w:t>11,925</w:t>
            </w: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995680</wp:posOffset>
            </wp:positionH>
            <wp:positionV relativeFrom="paragraph">
              <wp:posOffset>-110490</wp:posOffset>
            </wp:positionV>
            <wp:extent cx="5194935" cy="11684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5194935" cy="116840"/>
                    </a:xfrm>
                    <a:prstGeom prst="rect">
                      <a:avLst/>
                    </a:prstGeom>
                    <a:noFill/>
                  </pic:spPr>
                </pic:pic>
              </a:graphicData>
            </a:graphic>
          </wp:anchor>
        </w:drawing>
      </w:r>
    </w:p>
    <w:p>
      <w:pPr>
        <w:ind w:left="1860" w:hanging="294"/>
        <w:spacing w:after="0"/>
        <w:tabs>
          <w:tab w:leader="none" w:pos="1860" w:val="left"/>
        </w:tabs>
        <w:numPr>
          <w:ilvl w:val="0"/>
          <w:numId w:val="80"/>
        </w:numPr>
        <w:rPr>
          <w:rFonts w:ascii="Arial" w:cs="Arial" w:eastAsia="Arial" w:hAnsi="Arial"/>
          <w:sz w:val="16"/>
          <w:szCs w:val="16"/>
          <w:color w:val="3A5575"/>
        </w:rPr>
      </w:pPr>
      <w:r>
        <w:rPr>
          <w:rFonts w:ascii="Arial" w:cs="Arial" w:eastAsia="Arial" w:hAnsi="Arial"/>
          <w:sz w:val="16"/>
          <w:szCs w:val="16"/>
          <w:color w:val="auto"/>
        </w:rPr>
        <w:t>Perquisites and personal benefits consisting of a car allowance, executive physical, and financial</w:t>
      </w:r>
    </w:p>
    <w:tbl>
      <w:tblPr>
        <w:tblLayout w:type="fixed"/>
        <w:tblInd w:w="1560" w:type="dxa"/>
        <w:tblCellMar>
          <w:top w:w="0" w:type="dxa"/>
          <w:left w:w="0" w:type="dxa"/>
          <w:bottom w:w="0" w:type="dxa"/>
          <w:right w:w="0" w:type="dxa"/>
        </w:tblCellMar>
      </w:tblPr>
      <w:tr>
        <w:trPr>
          <w:trHeight w:val="214"/>
        </w:trPr>
        <w:tc>
          <w:tcPr>
            <w:tcW w:w="5620" w:type="dxa"/>
            <w:vAlign w:val="bottom"/>
          </w:tcPr>
          <w:p>
            <w:pPr>
              <w:ind w:left="300"/>
              <w:spacing w:after="0"/>
              <w:rPr>
                <w:sz w:val="20"/>
                <w:szCs w:val="20"/>
                <w:color w:val="auto"/>
              </w:rPr>
            </w:pPr>
            <w:r>
              <w:rPr>
                <w:rFonts w:ascii="Arial" w:cs="Arial" w:eastAsia="Arial" w:hAnsi="Arial"/>
                <w:sz w:val="16"/>
                <w:szCs w:val="16"/>
                <w:color w:val="auto"/>
              </w:rPr>
              <w:t>planning</w:t>
            </w:r>
          </w:p>
        </w:tc>
        <w:tc>
          <w:tcPr>
            <w:tcW w:w="2560" w:type="dxa"/>
            <w:vAlign w:val="bottom"/>
          </w:tcPr>
          <w:p>
            <w:pPr>
              <w:jc w:val="right"/>
              <w:spacing w:after="0"/>
              <w:rPr>
                <w:sz w:val="20"/>
                <w:szCs w:val="20"/>
                <w:color w:val="auto"/>
              </w:rPr>
            </w:pPr>
            <w:r>
              <w:rPr>
                <w:rFonts w:ascii="Arial" w:cs="Arial" w:eastAsia="Arial" w:hAnsi="Arial"/>
                <w:sz w:val="16"/>
                <w:szCs w:val="16"/>
                <w:color w:val="auto"/>
              </w:rPr>
              <w:t>15,258</w:t>
            </w:r>
          </w:p>
        </w:tc>
      </w:tr>
      <w:tr>
        <w:trPr>
          <w:trHeight w:val="318"/>
        </w:trPr>
        <w:tc>
          <w:tcPr>
            <w:tcW w:w="5620" w:type="dxa"/>
            <w:vAlign w:val="bottom"/>
          </w:tcPr>
          <w:p>
            <w:pPr>
              <w:spacing w:after="0"/>
              <w:rPr>
                <w:sz w:val="20"/>
                <w:szCs w:val="20"/>
                <w:color w:val="auto"/>
              </w:rPr>
            </w:pPr>
            <w:r>
              <w:rPr>
                <w:rFonts w:ascii="Arial" w:cs="Arial" w:eastAsia="Arial" w:hAnsi="Arial"/>
                <w:sz w:val="16"/>
                <w:szCs w:val="16"/>
                <w:b w:val="1"/>
                <w:bCs w:val="1"/>
                <w:color w:val="auto"/>
              </w:rPr>
              <w:t>Mr. Hatfield:</w:t>
            </w:r>
          </w:p>
        </w:tc>
        <w:tc>
          <w:tcPr>
            <w:tcW w:w="2560" w:type="dxa"/>
            <w:vAlign w:val="bottom"/>
          </w:tcPr>
          <w:p>
            <w:pPr>
              <w:spacing w:after="0"/>
              <w:rPr>
                <w:sz w:val="24"/>
                <w:szCs w:val="24"/>
                <w:color w:val="auto"/>
              </w:rPr>
            </w:pPr>
          </w:p>
        </w:tc>
      </w:tr>
      <w:tr>
        <w:trPr>
          <w:trHeight w:val="192"/>
        </w:trPr>
        <w:tc>
          <w:tcPr>
            <w:tcW w:w="5620" w:type="dxa"/>
            <w:vAlign w:val="bottom"/>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Company's contribution under the 401(k) plan</w:t>
            </w:r>
          </w:p>
        </w:tc>
        <w:tc>
          <w:tcPr>
            <w:tcW w:w="2560" w:type="dxa"/>
            <w:vAlign w:val="bottom"/>
          </w:tcPr>
          <w:p>
            <w:pPr>
              <w:jc w:val="right"/>
              <w:spacing w:after="0"/>
              <w:rPr>
                <w:sz w:val="20"/>
                <w:szCs w:val="20"/>
                <w:color w:val="auto"/>
              </w:rPr>
            </w:pPr>
            <w:r>
              <w:rPr>
                <w:rFonts w:ascii="Arial" w:cs="Arial" w:eastAsia="Arial" w:hAnsi="Arial"/>
                <w:sz w:val="16"/>
                <w:szCs w:val="16"/>
                <w:color w:val="auto"/>
              </w:rPr>
              <w:t>11,925</w:t>
            </w: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995680</wp:posOffset>
            </wp:positionH>
            <wp:positionV relativeFrom="paragraph">
              <wp:posOffset>-110490</wp:posOffset>
            </wp:positionV>
            <wp:extent cx="5194935" cy="11684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5194935" cy="116840"/>
                    </a:xfrm>
                    <a:prstGeom prst="rect">
                      <a:avLst/>
                    </a:prstGeom>
                    <a:noFill/>
                  </pic:spPr>
                </pic:pic>
              </a:graphicData>
            </a:graphic>
          </wp:anchor>
        </w:drawing>
      </w:r>
    </w:p>
    <w:p>
      <w:pPr>
        <w:ind w:left="1860" w:hanging="294"/>
        <w:spacing w:after="0"/>
        <w:tabs>
          <w:tab w:leader="none" w:pos="1860" w:val="left"/>
        </w:tabs>
        <w:numPr>
          <w:ilvl w:val="0"/>
          <w:numId w:val="81"/>
        </w:numPr>
        <w:rPr>
          <w:rFonts w:ascii="Arial" w:cs="Arial" w:eastAsia="Arial" w:hAnsi="Arial"/>
          <w:sz w:val="16"/>
          <w:szCs w:val="16"/>
          <w:color w:val="3A5575"/>
        </w:rPr>
      </w:pPr>
      <w:r>
        <w:rPr>
          <w:rFonts w:ascii="Arial" w:cs="Arial" w:eastAsia="Arial" w:hAnsi="Arial"/>
          <w:sz w:val="16"/>
          <w:szCs w:val="16"/>
          <w:color w:val="auto"/>
        </w:rPr>
        <w:t>Perquisites and personal benefits consisting of a car allowance, executive physical, and financial</w:t>
      </w:r>
    </w:p>
    <w:tbl>
      <w:tblPr>
        <w:tblLayout w:type="fixed"/>
        <w:tblInd w:w="0" w:type="dxa"/>
        <w:tblCellMar>
          <w:top w:w="0" w:type="dxa"/>
          <w:left w:w="0" w:type="dxa"/>
          <w:bottom w:w="0" w:type="dxa"/>
          <w:right w:w="0" w:type="dxa"/>
        </w:tblCellMar>
      </w:tblPr>
      <w:tr>
        <w:trPr>
          <w:trHeight w:val="214"/>
        </w:trPr>
        <w:tc>
          <w:tcPr>
            <w:tcW w:w="9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900" w:type="dxa"/>
            <w:vAlign w:val="bottom"/>
          </w:tcPr>
          <w:p>
            <w:pPr>
              <w:ind w:left="300"/>
              <w:spacing w:after="0"/>
              <w:rPr>
                <w:sz w:val="20"/>
                <w:szCs w:val="20"/>
                <w:color w:val="auto"/>
              </w:rPr>
            </w:pPr>
            <w:r>
              <w:rPr>
                <w:rFonts w:ascii="Arial" w:cs="Arial" w:eastAsia="Arial" w:hAnsi="Arial"/>
                <w:sz w:val="16"/>
                <w:szCs w:val="16"/>
                <w:color w:val="auto"/>
                <w:w w:val="95"/>
              </w:rPr>
              <w:t>planning</w:t>
            </w:r>
          </w:p>
        </w:tc>
        <w:tc>
          <w:tcPr>
            <w:tcW w:w="6140" w:type="dxa"/>
            <w:vAlign w:val="bottom"/>
          </w:tcPr>
          <w:p>
            <w:pPr>
              <w:spacing w:after="0"/>
              <w:rPr>
                <w:sz w:val="18"/>
                <w:szCs w:val="18"/>
                <w:color w:val="auto"/>
              </w:rPr>
            </w:pPr>
          </w:p>
        </w:tc>
        <w:tc>
          <w:tcPr>
            <w:tcW w:w="1140" w:type="dxa"/>
            <w:vAlign w:val="bottom"/>
          </w:tcPr>
          <w:p>
            <w:pPr>
              <w:jc w:val="right"/>
              <w:spacing w:after="0"/>
              <w:rPr>
                <w:sz w:val="20"/>
                <w:szCs w:val="20"/>
                <w:color w:val="auto"/>
              </w:rPr>
            </w:pPr>
            <w:r>
              <w:rPr>
                <w:rFonts w:ascii="Arial" w:cs="Arial" w:eastAsia="Arial" w:hAnsi="Arial"/>
                <w:sz w:val="16"/>
                <w:szCs w:val="16"/>
                <w:color w:val="auto"/>
              </w:rPr>
              <w:t>18,567</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5"/>
        </w:trPr>
        <w:tc>
          <w:tcPr>
            <w:tcW w:w="900" w:type="dxa"/>
            <w:vAlign w:val="bottom"/>
          </w:tcPr>
          <w:p>
            <w:pPr>
              <w:spacing w:after="0"/>
              <w:rPr>
                <w:sz w:val="24"/>
                <w:szCs w:val="24"/>
                <w:color w:val="auto"/>
              </w:rPr>
            </w:pPr>
          </w:p>
        </w:tc>
        <w:tc>
          <w:tcPr>
            <w:tcW w:w="7700" w:type="dxa"/>
            <w:vAlign w:val="bottom"/>
            <w:gridSpan w:val="3"/>
          </w:tcPr>
          <w:p>
            <w:pPr>
              <w:ind w:left="660"/>
              <w:spacing w:after="0"/>
              <w:rPr>
                <w:sz w:val="20"/>
                <w:szCs w:val="20"/>
                <w:color w:val="auto"/>
              </w:rPr>
            </w:pPr>
            <w:r>
              <w:rPr>
                <w:rFonts w:ascii="Arial" w:cs="Arial" w:eastAsia="Arial" w:hAnsi="Arial"/>
                <w:sz w:val="16"/>
                <w:szCs w:val="16"/>
                <w:b w:val="1"/>
                <w:bCs w:val="1"/>
                <w:color w:val="auto"/>
              </w:rPr>
              <w:t>Mr. Edington:</w:t>
            </w:r>
          </w:p>
        </w:tc>
        <w:tc>
          <w:tcPr>
            <w:tcW w:w="11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9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704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Company's contribution under the 401(k) plan</w:t>
            </w:r>
          </w:p>
        </w:tc>
        <w:tc>
          <w:tcPr>
            <w:tcW w:w="11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11,925</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9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7040" w:type="dxa"/>
            <w:vAlign w:val="bottom"/>
            <w:gridSpan w:val="2"/>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Perquisites and personal benefits consisting of a car allowance and executive physical</w:t>
            </w:r>
          </w:p>
        </w:tc>
        <w:tc>
          <w:tcPr>
            <w:tcW w:w="1140" w:type="dxa"/>
            <w:vAlign w:val="bottom"/>
          </w:tcPr>
          <w:p>
            <w:pPr>
              <w:jc w:val="right"/>
              <w:spacing w:after="0"/>
              <w:rPr>
                <w:sz w:val="20"/>
                <w:szCs w:val="20"/>
                <w:color w:val="auto"/>
              </w:rPr>
            </w:pPr>
            <w:r>
              <w:rPr>
                <w:rFonts w:ascii="Arial" w:cs="Arial" w:eastAsia="Arial" w:hAnsi="Arial"/>
                <w:sz w:val="16"/>
                <w:szCs w:val="16"/>
                <w:color w:val="auto"/>
              </w:rPr>
              <w:t>16,668</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8"/>
        </w:trPr>
        <w:tc>
          <w:tcPr>
            <w:tcW w:w="900" w:type="dxa"/>
            <w:vAlign w:val="bottom"/>
          </w:tcPr>
          <w:p>
            <w:pPr>
              <w:spacing w:after="0"/>
              <w:rPr>
                <w:sz w:val="24"/>
                <w:szCs w:val="24"/>
                <w:color w:val="auto"/>
              </w:rPr>
            </w:pPr>
          </w:p>
        </w:tc>
        <w:tc>
          <w:tcPr>
            <w:tcW w:w="1560" w:type="dxa"/>
            <w:vAlign w:val="bottom"/>
            <w:gridSpan w:val="2"/>
          </w:tcPr>
          <w:p>
            <w:pPr>
              <w:ind w:left="660"/>
              <w:spacing w:after="0"/>
              <w:rPr>
                <w:sz w:val="20"/>
                <w:szCs w:val="20"/>
                <w:color w:val="auto"/>
              </w:rPr>
            </w:pPr>
            <w:r>
              <w:rPr>
                <w:rFonts w:ascii="Arial" w:cs="Arial" w:eastAsia="Arial" w:hAnsi="Arial"/>
                <w:sz w:val="16"/>
                <w:szCs w:val="16"/>
                <w:b w:val="1"/>
                <w:bCs w:val="1"/>
                <w:color w:val="auto"/>
              </w:rPr>
              <w:t>Mr. Falck:</w:t>
            </w:r>
          </w:p>
        </w:tc>
        <w:tc>
          <w:tcPr>
            <w:tcW w:w="614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9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704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Company's contribution under the 401(k) plan</w:t>
            </w:r>
          </w:p>
        </w:tc>
        <w:tc>
          <w:tcPr>
            <w:tcW w:w="11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11,925</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9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7040" w:type="dxa"/>
            <w:vAlign w:val="bottom"/>
            <w:gridSpan w:val="2"/>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Perquisites and personal benefits consisting of a car allowance and financial planning</w:t>
            </w:r>
          </w:p>
        </w:tc>
        <w:tc>
          <w:tcPr>
            <w:tcW w:w="1140" w:type="dxa"/>
            <w:vAlign w:val="bottom"/>
          </w:tcPr>
          <w:p>
            <w:pPr>
              <w:jc w:val="right"/>
              <w:spacing w:after="0"/>
              <w:rPr>
                <w:sz w:val="20"/>
                <w:szCs w:val="20"/>
                <w:color w:val="auto"/>
              </w:rPr>
            </w:pPr>
            <w:r>
              <w:rPr>
                <w:rFonts w:ascii="Arial" w:cs="Arial" w:eastAsia="Arial" w:hAnsi="Arial"/>
                <w:sz w:val="16"/>
                <w:szCs w:val="16"/>
                <w:color w:val="auto"/>
              </w:rPr>
              <w:t>13,750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8"/>
        </w:trPr>
        <w:tc>
          <w:tcPr>
            <w:tcW w:w="900" w:type="dxa"/>
            <w:vAlign w:val="bottom"/>
          </w:tcPr>
          <w:p>
            <w:pPr>
              <w:spacing w:after="0"/>
              <w:rPr>
                <w:sz w:val="24"/>
                <w:szCs w:val="24"/>
                <w:color w:val="auto"/>
              </w:rPr>
            </w:pPr>
          </w:p>
        </w:tc>
        <w:tc>
          <w:tcPr>
            <w:tcW w:w="7700" w:type="dxa"/>
            <w:vAlign w:val="bottom"/>
            <w:gridSpan w:val="3"/>
          </w:tcPr>
          <w:p>
            <w:pPr>
              <w:ind w:left="660"/>
              <w:spacing w:after="0"/>
              <w:rPr>
                <w:sz w:val="20"/>
                <w:szCs w:val="20"/>
                <w:color w:val="auto"/>
              </w:rPr>
            </w:pPr>
            <w:r>
              <w:rPr>
                <w:rFonts w:ascii="Arial" w:cs="Arial" w:eastAsia="Arial" w:hAnsi="Arial"/>
                <w:sz w:val="16"/>
                <w:szCs w:val="16"/>
                <w:b w:val="1"/>
                <w:bCs w:val="1"/>
                <w:color w:val="auto"/>
              </w:rPr>
              <w:t>Mr. Schiavoni:</w:t>
            </w:r>
          </w:p>
        </w:tc>
        <w:tc>
          <w:tcPr>
            <w:tcW w:w="11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9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7040" w:type="dxa"/>
            <w:vAlign w:val="bottom"/>
            <w:gridSpan w:val="2"/>
            <w:shd w:val="clear" w:color="auto" w:fill="E3E5EB"/>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Company's contribution under the 401(k) plan</w:t>
            </w:r>
          </w:p>
        </w:tc>
        <w:tc>
          <w:tcPr>
            <w:tcW w:w="11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11,925</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9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7040" w:type="dxa"/>
            <w:vAlign w:val="bottom"/>
            <w:gridSpan w:val="2"/>
          </w:tcPr>
          <w:p>
            <w:pPr>
              <w:spacing w:after="0"/>
              <w:rPr>
                <w:sz w:val="20"/>
                <w:szCs w:val="20"/>
                <w:color w:val="auto"/>
              </w:rPr>
            </w:pPr>
            <w:r>
              <w:rPr>
                <w:rFonts w:ascii="Arial" w:cs="Arial" w:eastAsia="Arial" w:hAnsi="Arial"/>
                <w:sz w:val="16"/>
                <w:szCs w:val="16"/>
                <w:color w:val="3A5575"/>
              </w:rPr>
              <w:t xml:space="preserve">•   </w:t>
            </w:r>
            <w:r>
              <w:rPr>
                <w:rFonts w:ascii="Arial" w:cs="Arial" w:eastAsia="Arial" w:hAnsi="Arial"/>
                <w:sz w:val="16"/>
                <w:szCs w:val="16"/>
                <w:color w:val="000000"/>
              </w:rPr>
              <w:t>Perquisites and personal benefits consisting of a car allowance and financial planning</w:t>
            </w:r>
          </w:p>
        </w:tc>
        <w:tc>
          <w:tcPr>
            <w:tcW w:w="1140" w:type="dxa"/>
            <w:vAlign w:val="bottom"/>
          </w:tcPr>
          <w:p>
            <w:pPr>
              <w:jc w:val="right"/>
              <w:spacing w:after="0"/>
              <w:rPr>
                <w:sz w:val="20"/>
                <w:szCs w:val="20"/>
                <w:color w:val="auto"/>
              </w:rPr>
            </w:pPr>
            <w:r>
              <w:rPr>
                <w:rFonts w:ascii="Arial" w:cs="Arial" w:eastAsia="Arial" w:hAnsi="Arial"/>
                <w:sz w:val="16"/>
                <w:szCs w:val="16"/>
                <w:color w:val="auto"/>
              </w:rPr>
              <w:t>13,750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82"/>
        </w:trPr>
        <w:tc>
          <w:tcPr>
            <w:tcW w:w="900" w:type="dxa"/>
            <w:vAlign w:val="bottom"/>
          </w:tcPr>
          <w:p>
            <w:pPr>
              <w:jc w:val="right"/>
              <w:ind w:right="600"/>
              <w:spacing w:after="0"/>
              <w:rPr>
                <w:sz w:val="20"/>
                <w:szCs w:val="20"/>
                <w:color w:val="auto"/>
              </w:rPr>
            </w:pPr>
            <w:r>
              <w:rPr>
                <w:rFonts w:ascii="Arial" w:cs="Arial" w:eastAsia="Arial" w:hAnsi="Arial"/>
                <w:sz w:val="16"/>
                <w:szCs w:val="16"/>
                <w:b w:val="1"/>
                <w:bCs w:val="1"/>
                <w:color w:val="auto"/>
              </w:rPr>
              <w:t>66</w:t>
            </w:r>
          </w:p>
        </w:tc>
        <w:tc>
          <w:tcPr>
            <w:tcW w:w="1560" w:type="dxa"/>
            <w:vAlign w:val="bottom"/>
            <w:gridSpan w:val="2"/>
            <w:vMerge w:val="restart"/>
          </w:tcPr>
          <w:p>
            <w:pPr>
              <w:jc w:val="right"/>
              <w:ind w:right="180"/>
              <w:spacing w:after="0"/>
              <w:rPr>
                <w:sz w:val="20"/>
                <w:szCs w:val="20"/>
                <w:color w:val="auto"/>
              </w:rPr>
            </w:pPr>
            <w:r>
              <w:rPr>
                <w:rFonts w:ascii="Arial" w:cs="Arial" w:eastAsia="Arial" w:hAnsi="Arial"/>
                <w:sz w:val="16"/>
                <w:szCs w:val="16"/>
                <w:b w:val="1"/>
                <w:bCs w:val="1"/>
                <w:color w:val="3A5575"/>
              </w:rPr>
              <w:t>|</w:t>
            </w:r>
          </w:p>
        </w:tc>
        <w:tc>
          <w:tcPr>
            <w:tcW w:w="6140" w:type="dxa"/>
            <w:vAlign w:val="bottom"/>
          </w:tcPr>
          <w:p>
            <w:pPr>
              <w:ind w:left="20"/>
              <w:spacing w:after="0"/>
              <w:rPr>
                <w:sz w:val="20"/>
                <w:szCs w:val="20"/>
                <w:color w:val="auto"/>
              </w:rPr>
            </w:pPr>
            <w:r>
              <w:rPr>
                <w:rFonts w:ascii="Arial" w:cs="Arial" w:eastAsia="Arial" w:hAnsi="Arial"/>
                <w:sz w:val="16"/>
                <w:szCs w:val="16"/>
                <w:color w:val="auto"/>
              </w:rPr>
              <w:t>2016 Proxy Statement</w:t>
            </w:r>
          </w:p>
        </w:tc>
        <w:tc>
          <w:tcPr>
            <w:tcW w:w="11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900" w:type="dxa"/>
            <w:vAlign w:val="bottom"/>
          </w:tcPr>
          <w:p>
            <w:pPr>
              <w:spacing w:after="0"/>
              <w:rPr>
                <w:sz w:val="5"/>
                <w:szCs w:val="5"/>
                <w:color w:val="auto"/>
              </w:rPr>
            </w:pPr>
          </w:p>
        </w:tc>
        <w:tc>
          <w:tcPr>
            <w:tcW w:w="1560" w:type="dxa"/>
            <w:vAlign w:val="bottom"/>
            <w:gridSpan w:val="2"/>
            <w:vMerge w:val="continue"/>
          </w:tcPr>
          <w:p>
            <w:pPr>
              <w:spacing w:after="0"/>
              <w:rPr>
                <w:sz w:val="5"/>
                <w:szCs w:val="5"/>
                <w:color w:val="auto"/>
              </w:rPr>
            </w:pPr>
          </w:p>
        </w:tc>
        <w:tc>
          <w:tcPr>
            <w:tcW w:w="6140" w:type="dxa"/>
            <w:vAlign w:val="bottom"/>
          </w:tcPr>
          <w:p>
            <w:pPr>
              <w:spacing w:after="0"/>
              <w:rPr>
                <w:sz w:val="5"/>
                <w:szCs w:val="5"/>
                <w:color w:val="auto"/>
              </w:rPr>
            </w:pPr>
          </w:p>
        </w:tc>
        <w:tc>
          <w:tcPr>
            <w:tcW w:w="1140" w:type="dxa"/>
            <w:vAlign w:val="bottom"/>
          </w:tcPr>
          <w:p>
            <w:pPr>
              <w:spacing w:after="0"/>
              <w:rPr>
                <w:sz w:val="5"/>
                <w:szCs w:val="5"/>
                <w:color w:val="auto"/>
              </w:rPr>
            </w:pPr>
          </w:p>
        </w:tc>
        <w:tc>
          <w:tcPr>
            <w:tcW w:w="16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900" w:type="dxa"/>
            <w:vAlign w:val="bottom"/>
            <w:tcBorders>
              <w:bottom w:val="single" w:sz="8" w:color="808080"/>
            </w:tcBorders>
          </w:tcPr>
          <w:p>
            <w:pPr>
              <w:spacing w:after="0"/>
              <w:rPr>
                <w:sz w:val="11"/>
                <w:szCs w:val="11"/>
                <w:color w:val="auto"/>
              </w:rPr>
            </w:pPr>
          </w:p>
        </w:tc>
        <w:tc>
          <w:tcPr>
            <w:tcW w:w="660" w:type="dxa"/>
            <w:vAlign w:val="bottom"/>
            <w:tcBorders>
              <w:bottom w:val="single" w:sz="8" w:color="808080"/>
            </w:tcBorders>
          </w:tcPr>
          <w:p>
            <w:pPr>
              <w:spacing w:after="0"/>
              <w:rPr>
                <w:sz w:val="11"/>
                <w:szCs w:val="11"/>
                <w:color w:val="auto"/>
              </w:rPr>
            </w:pPr>
          </w:p>
        </w:tc>
        <w:tc>
          <w:tcPr>
            <w:tcW w:w="900" w:type="dxa"/>
            <w:vAlign w:val="bottom"/>
            <w:tcBorders>
              <w:bottom w:val="single" w:sz="8" w:color="808080"/>
            </w:tcBorders>
          </w:tcPr>
          <w:p>
            <w:pPr>
              <w:spacing w:after="0"/>
              <w:rPr>
                <w:sz w:val="11"/>
                <w:szCs w:val="11"/>
                <w:color w:val="auto"/>
              </w:rPr>
            </w:pPr>
          </w:p>
        </w:tc>
        <w:tc>
          <w:tcPr>
            <w:tcW w:w="614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16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318135</wp:posOffset>
            </wp:positionH>
            <wp:positionV relativeFrom="paragraph">
              <wp:posOffset>-290195</wp:posOffset>
            </wp:positionV>
            <wp:extent cx="841375" cy="16383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75" w:name="page76"/>
    <w:bookmarkEnd w:id="75"/>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137795</wp:posOffset>
            </wp:positionV>
            <wp:extent cx="1487805" cy="15557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9140"/>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Grants of Plan-Based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tbl>
      <w:tblPr>
        <w:tblLayout w:type="fixed"/>
        <w:tblInd w:w="1240" w:type="dxa"/>
        <w:tblCellMar>
          <w:top w:w="0" w:type="dxa"/>
          <w:left w:w="0" w:type="dxa"/>
          <w:bottom w:w="0" w:type="dxa"/>
          <w:right w:w="0" w:type="dxa"/>
        </w:tblCellMar>
      </w:tblPr>
      <w:tr>
        <w:trPr>
          <w:trHeight w:val="149"/>
        </w:trPr>
        <w:tc>
          <w:tcPr>
            <w:tcW w:w="1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880" w:type="dxa"/>
            <w:vAlign w:val="bottom"/>
          </w:tcPr>
          <w:p>
            <w:pPr>
              <w:jc w:val="center"/>
              <w:spacing w:after="0"/>
              <w:rPr>
                <w:sz w:val="20"/>
                <w:szCs w:val="20"/>
                <w:color w:val="auto"/>
              </w:rPr>
            </w:pPr>
            <w:r>
              <w:rPr>
                <w:rFonts w:ascii="Arial" w:cs="Arial" w:eastAsia="Arial" w:hAnsi="Arial"/>
                <w:sz w:val="13"/>
                <w:szCs w:val="13"/>
                <w:b w:val="1"/>
                <w:bCs w:val="1"/>
                <w:color w:val="3A5575"/>
              </w:rPr>
              <w:t>ALL</w:t>
            </w: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1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OTHER</w:t>
            </w:r>
          </w:p>
        </w:tc>
        <w:tc>
          <w:tcPr>
            <w:tcW w:w="9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7"/>
        </w:trPr>
        <w:tc>
          <w:tcPr>
            <w:tcW w:w="1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STOCK</w:t>
            </w:r>
          </w:p>
        </w:tc>
        <w:tc>
          <w:tcPr>
            <w:tcW w:w="900" w:type="dxa"/>
            <w:vAlign w:val="bottom"/>
            <w:vMerge w:val="restart"/>
          </w:tcPr>
          <w:p>
            <w:pPr>
              <w:jc w:val="center"/>
              <w:spacing w:after="0"/>
              <w:rPr>
                <w:sz w:val="20"/>
                <w:szCs w:val="20"/>
                <w:color w:val="auto"/>
              </w:rPr>
            </w:pPr>
            <w:r>
              <w:rPr>
                <w:rFonts w:ascii="Arial" w:cs="Arial" w:eastAsia="Arial" w:hAnsi="Arial"/>
                <w:sz w:val="13"/>
                <w:szCs w:val="13"/>
                <w:b w:val="1"/>
                <w:bCs w:val="1"/>
                <w:color w:val="3A5575"/>
                <w:w w:val="98"/>
              </w:rPr>
              <w:t>GRANT DATE</w:t>
            </w:r>
          </w:p>
        </w:tc>
        <w:tc>
          <w:tcPr>
            <w:tcW w:w="0" w:type="dxa"/>
            <w:vAlign w:val="bottom"/>
          </w:tcPr>
          <w:p>
            <w:pPr>
              <w:spacing w:after="0"/>
              <w:rPr>
                <w:sz w:val="1"/>
                <w:szCs w:val="1"/>
                <w:color w:val="auto"/>
              </w:rPr>
            </w:pPr>
          </w:p>
        </w:tc>
      </w:tr>
      <w:tr>
        <w:trPr>
          <w:trHeight w:val="136"/>
        </w:trPr>
        <w:tc>
          <w:tcPr>
            <w:tcW w:w="1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80" w:type="dxa"/>
            <w:vAlign w:val="bottom"/>
          </w:tcPr>
          <w:p>
            <w:pPr>
              <w:jc w:val="center"/>
              <w:spacing w:after="0" w:line="136" w:lineRule="exact"/>
              <w:rPr>
                <w:sz w:val="20"/>
                <w:szCs w:val="20"/>
                <w:color w:val="auto"/>
              </w:rPr>
            </w:pPr>
            <w:r>
              <w:rPr>
                <w:rFonts w:ascii="Arial" w:cs="Arial" w:eastAsia="Arial" w:hAnsi="Arial"/>
                <w:sz w:val="13"/>
                <w:szCs w:val="13"/>
                <w:b w:val="1"/>
                <w:bCs w:val="1"/>
                <w:color w:val="3A5575"/>
                <w:w w:val="98"/>
              </w:rPr>
              <w:t>AWARDS:</w:t>
            </w:r>
          </w:p>
        </w:tc>
        <w:tc>
          <w:tcPr>
            <w:tcW w:w="9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1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NUMBER OF</w:t>
            </w:r>
          </w:p>
        </w:tc>
        <w:tc>
          <w:tcPr>
            <w:tcW w:w="90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w w:val="97"/>
              </w:rPr>
              <w:t>FAIR VALUE</w:t>
            </w:r>
          </w:p>
        </w:tc>
        <w:tc>
          <w:tcPr>
            <w:tcW w:w="0" w:type="dxa"/>
            <w:vAlign w:val="bottom"/>
          </w:tcPr>
          <w:p>
            <w:pPr>
              <w:spacing w:after="0"/>
              <w:rPr>
                <w:sz w:val="1"/>
                <w:szCs w:val="1"/>
                <w:color w:val="auto"/>
              </w:rPr>
            </w:pPr>
          </w:p>
        </w:tc>
      </w:tr>
      <w:tr>
        <w:trPr>
          <w:trHeight w:val="147"/>
        </w:trPr>
        <w:tc>
          <w:tcPr>
            <w:tcW w:w="1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840" w:type="dxa"/>
            <w:vAlign w:val="bottom"/>
            <w:gridSpan w:val="4"/>
            <w:vMerge w:val="restart"/>
          </w:tcPr>
          <w:p>
            <w:pPr>
              <w:jc w:val="center"/>
              <w:spacing w:after="0"/>
              <w:rPr>
                <w:sz w:val="20"/>
                <w:szCs w:val="20"/>
                <w:color w:val="auto"/>
              </w:rPr>
            </w:pPr>
            <w:r>
              <w:rPr>
                <w:rFonts w:ascii="Arial" w:cs="Arial" w:eastAsia="Arial" w:hAnsi="Arial"/>
                <w:sz w:val="13"/>
                <w:szCs w:val="13"/>
                <w:b w:val="1"/>
                <w:bCs w:val="1"/>
                <w:color w:val="3A5575"/>
                <w:w w:val="99"/>
              </w:rPr>
              <w:t>ESTIMATED POSSIBLE PAYOUTS</w:t>
            </w:r>
          </w:p>
        </w:tc>
        <w:tc>
          <w:tcPr>
            <w:tcW w:w="2260" w:type="dxa"/>
            <w:vAlign w:val="bottom"/>
            <w:gridSpan w:val="3"/>
            <w:vMerge w:val="restart"/>
          </w:tcPr>
          <w:p>
            <w:pPr>
              <w:jc w:val="center"/>
              <w:spacing w:after="0"/>
              <w:rPr>
                <w:sz w:val="20"/>
                <w:szCs w:val="20"/>
                <w:color w:val="auto"/>
              </w:rPr>
            </w:pPr>
            <w:r>
              <w:rPr>
                <w:rFonts w:ascii="Arial" w:cs="Arial" w:eastAsia="Arial" w:hAnsi="Arial"/>
                <w:sz w:val="13"/>
                <w:szCs w:val="13"/>
                <w:b w:val="1"/>
                <w:bCs w:val="1"/>
                <w:color w:val="3A5575"/>
                <w:w w:val="99"/>
              </w:rPr>
              <w:t>ESTIMATED FUTURE PAYOUTS</w:t>
            </w: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SHARES OF</w:t>
            </w:r>
          </w:p>
        </w:tc>
        <w:tc>
          <w:tcPr>
            <w:tcW w:w="90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OF STOCK</w:t>
            </w:r>
          </w:p>
        </w:tc>
        <w:tc>
          <w:tcPr>
            <w:tcW w:w="0" w:type="dxa"/>
            <w:vAlign w:val="bottom"/>
          </w:tcPr>
          <w:p>
            <w:pPr>
              <w:spacing w:after="0"/>
              <w:rPr>
                <w:sz w:val="1"/>
                <w:szCs w:val="1"/>
                <w:color w:val="auto"/>
              </w:rPr>
            </w:pPr>
          </w:p>
        </w:tc>
      </w:tr>
      <w:tr>
        <w:trPr>
          <w:trHeight w:val="147"/>
        </w:trPr>
        <w:tc>
          <w:tcPr>
            <w:tcW w:w="1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60" w:type="dxa"/>
            <w:vAlign w:val="bottom"/>
            <w:vMerge w:val="restart"/>
          </w:tcPr>
          <w:p>
            <w:pPr>
              <w:ind w:left="260"/>
              <w:spacing w:after="0"/>
              <w:rPr>
                <w:sz w:val="20"/>
                <w:szCs w:val="20"/>
                <w:color w:val="auto"/>
              </w:rPr>
            </w:pPr>
            <w:r>
              <w:rPr>
                <w:rFonts w:ascii="Arial" w:cs="Arial" w:eastAsia="Arial" w:hAnsi="Arial"/>
                <w:sz w:val="13"/>
                <w:szCs w:val="13"/>
                <w:b w:val="1"/>
                <w:bCs w:val="1"/>
                <w:color w:val="3A5575"/>
              </w:rPr>
              <w:t>GRANT</w:t>
            </w:r>
          </w:p>
        </w:tc>
        <w:tc>
          <w:tcPr>
            <w:tcW w:w="100" w:type="dxa"/>
            <w:vAlign w:val="bottom"/>
          </w:tcPr>
          <w:p>
            <w:pPr>
              <w:spacing w:after="0"/>
              <w:rPr>
                <w:sz w:val="12"/>
                <w:szCs w:val="12"/>
                <w:color w:val="auto"/>
              </w:rPr>
            </w:pPr>
          </w:p>
        </w:tc>
        <w:tc>
          <w:tcPr>
            <w:tcW w:w="2840" w:type="dxa"/>
            <w:vAlign w:val="bottom"/>
            <w:gridSpan w:val="4"/>
            <w:vMerge w:val="continue"/>
          </w:tcPr>
          <w:p>
            <w:pPr>
              <w:spacing w:after="0"/>
              <w:rPr>
                <w:sz w:val="12"/>
                <w:szCs w:val="12"/>
                <w:color w:val="auto"/>
              </w:rPr>
            </w:pPr>
          </w:p>
        </w:tc>
        <w:tc>
          <w:tcPr>
            <w:tcW w:w="2260" w:type="dxa"/>
            <w:vAlign w:val="bottom"/>
            <w:gridSpan w:val="3"/>
            <w:vMerge w:val="continue"/>
          </w:tcPr>
          <w:p>
            <w:pPr>
              <w:spacing w:after="0"/>
              <w:rPr>
                <w:sz w:val="12"/>
                <w:szCs w:val="12"/>
                <w:color w:val="auto"/>
              </w:rPr>
            </w:pP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w w:val="99"/>
              </w:rPr>
              <w:t>STOCK OR</w:t>
            </w:r>
          </w:p>
        </w:tc>
        <w:tc>
          <w:tcPr>
            <w:tcW w:w="90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AND OPTION</w:t>
            </w:r>
          </w:p>
        </w:tc>
        <w:tc>
          <w:tcPr>
            <w:tcW w:w="0" w:type="dxa"/>
            <w:vAlign w:val="bottom"/>
          </w:tcPr>
          <w:p>
            <w:pPr>
              <w:spacing w:after="0"/>
              <w:rPr>
                <w:sz w:val="1"/>
                <w:szCs w:val="1"/>
                <w:color w:val="auto"/>
              </w:rPr>
            </w:pPr>
          </w:p>
        </w:tc>
      </w:tr>
      <w:tr>
        <w:trPr>
          <w:trHeight w:val="147"/>
        </w:trPr>
        <w:tc>
          <w:tcPr>
            <w:tcW w:w="1220" w:type="dxa"/>
            <w:vAlign w:val="bottom"/>
            <w:vMerge w:val="restart"/>
          </w:tcPr>
          <w:p>
            <w:pPr>
              <w:spacing w:after="0"/>
              <w:rPr>
                <w:sz w:val="20"/>
                <w:szCs w:val="20"/>
                <w:color w:val="auto"/>
              </w:rPr>
            </w:pPr>
            <w:r>
              <w:rPr>
                <w:rFonts w:ascii="Arial" w:cs="Arial" w:eastAsia="Arial" w:hAnsi="Arial"/>
                <w:sz w:val="13"/>
                <w:szCs w:val="13"/>
                <w:b w:val="1"/>
                <w:bCs w:val="1"/>
                <w:color w:val="3A5575"/>
              </w:rPr>
              <w:t>NAME</w:t>
            </w:r>
          </w:p>
        </w:tc>
        <w:tc>
          <w:tcPr>
            <w:tcW w:w="80" w:type="dxa"/>
            <w:vAlign w:val="bottom"/>
          </w:tcPr>
          <w:p>
            <w:pPr>
              <w:spacing w:after="0"/>
              <w:rPr>
                <w:sz w:val="12"/>
                <w:szCs w:val="12"/>
                <w:color w:val="auto"/>
              </w:rPr>
            </w:pPr>
          </w:p>
        </w:tc>
        <w:tc>
          <w:tcPr>
            <w:tcW w:w="96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2840" w:type="dxa"/>
            <w:vAlign w:val="bottom"/>
            <w:gridSpan w:val="4"/>
          </w:tcPr>
          <w:p>
            <w:pPr>
              <w:jc w:val="center"/>
              <w:spacing w:after="0" w:line="148" w:lineRule="exact"/>
              <w:rPr>
                <w:sz w:val="20"/>
                <w:szCs w:val="20"/>
                <w:color w:val="auto"/>
              </w:rPr>
            </w:pPr>
            <w:r>
              <w:rPr>
                <w:rFonts w:ascii="Arial" w:cs="Arial" w:eastAsia="Arial" w:hAnsi="Arial"/>
                <w:sz w:val="13"/>
                <w:szCs w:val="13"/>
                <w:b w:val="1"/>
                <w:bCs w:val="1"/>
                <w:color w:val="3A5575"/>
              </w:rPr>
              <w:t>UNDER NON-EQUITY INCENTIVE</w:t>
            </w:r>
          </w:p>
        </w:tc>
        <w:tc>
          <w:tcPr>
            <w:tcW w:w="2260" w:type="dxa"/>
            <w:vAlign w:val="bottom"/>
            <w:gridSpan w:val="3"/>
          </w:tcPr>
          <w:p>
            <w:pPr>
              <w:jc w:val="center"/>
              <w:spacing w:after="0" w:line="148" w:lineRule="exact"/>
              <w:rPr>
                <w:sz w:val="20"/>
                <w:szCs w:val="20"/>
                <w:color w:val="auto"/>
              </w:rPr>
            </w:pPr>
            <w:r>
              <w:rPr>
                <w:rFonts w:ascii="Arial" w:cs="Arial" w:eastAsia="Arial" w:hAnsi="Arial"/>
                <w:sz w:val="13"/>
                <w:szCs w:val="13"/>
                <w:b w:val="1"/>
                <w:bCs w:val="1"/>
                <w:color w:val="3A5575"/>
              </w:rPr>
              <w:t>UNDER EQUITY INCENTIVE</w:t>
            </w:r>
          </w:p>
        </w:tc>
        <w:tc>
          <w:tcPr>
            <w:tcW w:w="8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UNITS</w:t>
            </w:r>
          </w:p>
        </w:tc>
        <w:tc>
          <w:tcPr>
            <w:tcW w:w="900" w:type="dxa"/>
            <w:vAlign w:val="bottom"/>
          </w:tcPr>
          <w:p>
            <w:pPr>
              <w:jc w:val="center"/>
              <w:spacing w:after="0" w:line="147" w:lineRule="exact"/>
              <w:rPr>
                <w:sz w:val="20"/>
                <w:szCs w:val="20"/>
                <w:color w:val="auto"/>
              </w:rPr>
            </w:pPr>
            <w:r>
              <w:rPr>
                <w:rFonts w:ascii="Arial" w:cs="Arial" w:eastAsia="Arial" w:hAnsi="Arial"/>
                <w:sz w:val="12"/>
                <w:szCs w:val="12"/>
                <w:b w:val="1"/>
                <w:bCs w:val="1"/>
                <w:color w:val="3A5575"/>
              </w:rPr>
              <w:t>AWARDS</w:t>
            </w:r>
            <w:r>
              <w:rPr>
                <w:rFonts w:ascii="Arial" w:cs="Arial" w:eastAsia="Arial" w:hAnsi="Arial"/>
                <w:sz w:val="17"/>
                <w:szCs w:val="17"/>
                <w:b w:val="1"/>
                <w:bCs w:val="1"/>
                <w:color w:val="3A5575"/>
                <w:vertAlign w:val="superscript"/>
              </w:rPr>
              <w:t>(3)</w:t>
            </w:r>
          </w:p>
        </w:tc>
        <w:tc>
          <w:tcPr>
            <w:tcW w:w="0" w:type="dxa"/>
            <w:vAlign w:val="bottom"/>
          </w:tcPr>
          <w:p>
            <w:pPr>
              <w:spacing w:after="0"/>
              <w:rPr>
                <w:sz w:val="1"/>
                <w:szCs w:val="1"/>
                <w:color w:val="auto"/>
              </w:rPr>
            </w:pPr>
          </w:p>
        </w:tc>
      </w:tr>
      <w:tr>
        <w:trPr>
          <w:trHeight w:val="172"/>
        </w:trPr>
        <w:tc>
          <w:tcPr>
            <w:tcW w:w="1220" w:type="dxa"/>
            <w:vAlign w:val="bottom"/>
            <w:tcBorders>
              <w:bottom w:val="single" w:sz="8" w:color="3A5575"/>
            </w:tcBorders>
            <w:vMerge w:val="continue"/>
          </w:tcPr>
          <w:p>
            <w:pPr>
              <w:spacing w:after="0"/>
              <w:rPr>
                <w:sz w:val="14"/>
                <w:szCs w:val="14"/>
                <w:color w:val="auto"/>
              </w:rPr>
            </w:pPr>
          </w:p>
        </w:tc>
        <w:tc>
          <w:tcPr>
            <w:tcW w:w="80" w:type="dxa"/>
            <w:vAlign w:val="bottom"/>
            <w:tcBorders>
              <w:bottom w:val="single" w:sz="8" w:color="3A5575"/>
            </w:tcBorders>
          </w:tcPr>
          <w:p>
            <w:pPr>
              <w:spacing w:after="0"/>
              <w:rPr>
                <w:sz w:val="14"/>
                <w:szCs w:val="14"/>
                <w:color w:val="auto"/>
              </w:rPr>
            </w:pPr>
          </w:p>
        </w:tc>
        <w:tc>
          <w:tcPr>
            <w:tcW w:w="960" w:type="dxa"/>
            <w:vAlign w:val="bottom"/>
            <w:tcBorders>
              <w:bottom w:val="single" w:sz="8" w:color="3A5575"/>
            </w:tcBorders>
          </w:tcPr>
          <w:p>
            <w:pPr>
              <w:ind w:left="260"/>
              <w:spacing w:after="0" w:line="172" w:lineRule="exact"/>
              <w:rPr>
                <w:sz w:val="20"/>
                <w:szCs w:val="20"/>
                <w:color w:val="auto"/>
              </w:rPr>
            </w:pPr>
            <w:r>
              <w:rPr>
                <w:rFonts w:ascii="Arial" w:cs="Arial" w:eastAsia="Arial" w:hAnsi="Arial"/>
                <w:sz w:val="13"/>
                <w:szCs w:val="13"/>
                <w:b w:val="1"/>
                <w:bCs w:val="1"/>
                <w:color w:val="3A5575"/>
              </w:rPr>
              <w:t>DATE</w:t>
            </w:r>
            <w:r>
              <w:rPr>
                <w:rFonts w:ascii="Arial" w:cs="Arial" w:eastAsia="Arial" w:hAnsi="Arial"/>
                <w:sz w:val="19"/>
                <w:szCs w:val="19"/>
                <w:b w:val="1"/>
                <w:bCs w:val="1"/>
                <w:color w:val="3A5575"/>
                <w:vertAlign w:val="superscript"/>
              </w:rPr>
              <w:t>(1)</w:t>
            </w:r>
          </w:p>
        </w:tc>
        <w:tc>
          <w:tcPr>
            <w:tcW w:w="100" w:type="dxa"/>
            <w:vAlign w:val="bottom"/>
            <w:tcBorders>
              <w:bottom w:val="single" w:sz="8" w:color="3A5575"/>
            </w:tcBorders>
          </w:tcPr>
          <w:p>
            <w:pPr>
              <w:spacing w:after="0"/>
              <w:rPr>
                <w:sz w:val="14"/>
                <w:szCs w:val="14"/>
                <w:color w:val="auto"/>
              </w:rPr>
            </w:pPr>
          </w:p>
        </w:tc>
        <w:tc>
          <w:tcPr>
            <w:tcW w:w="820" w:type="dxa"/>
            <w:vAlign w:val="bottom"/>
            <w:tcBorders>
              <w:bottom w:val="single" w:sz="8" w:color="3A5575"/>
            </w:tcBorders>
          </w:tcPr>
          <w:p>
            <w:pPr>
              <w:spacing w:after="0"/>
              <w:rPr>
                <w:sz w:val="14"/>
                <w:szCs w:val="14"/>
                <w:color w:val="auto"/>
              </w:rPr>
            </w:pPr>
          </w:p>
        </w:tc>
        <w:tc>
          <w:tcPr>
            <w:tcW w:w="2020" w:type="dxa"/>
            <w:vAlign w:val="bottom"/>
            <w:tcBorders>
              <w:bottom w:val="single" w:sz="8" w:color="3A5575"/>
            </w:tcBorders>
            <w:gridSpan w:val="3"/>
          </w:tcPr>
          <w:p>
            <w:pPr>
              <w:jc w:val="center"/>
              <w:ind w:right="804"/>
              <w:spacing w:after="0" w:line="172" w:lineRule="exact"/>
              <w:rPr>
                <w:sz w:val="20"/>
                <w:szCs w:val="20"/>
                <w:color w:val="auto"/>
              </w:rPr>
            </w:pPr>
            <w:r>
              <w:rPr>
                <w:rFonts w:ascii="Arial" w:cs="Arial" w:eastAsia="Arial" w:hAnsi="Arial"/>
                <w:sz w:val="13"/>
                <w:szCs w:val="13"/>
                <w:b w:val="1"/>
                <w:bCs w:val="1"/>
                <w:color w:val="3A5575"/>
                <w:w w:val="97"/>
              </w:rPr>
              <w:t>PLAN AWARDS</w:t>
            </w:r>
            <w:r>
              <w:rPr>
                <w:rFonts w:ascii="Arial" w:cs="Arial" w:eastAsia="Arial" w:hAnsi="Arial"/>
                <w:sz w:val="19"/>
                <w:szCs w:val="19"/>
                <w:b w:val="1"/>
                <w:bCs w:val="1"/>
                <w:color w:val="3A5575"/>
                <w:w w:val="97"/>
                <w:vertAlign w:val="superscript"/>
              </w:rPr>
              <w:t>(2)</w:t>
            </w:r>
          </w:p>
        </w:tc>
        <w:tc>
          <w:tcPr>
            <w:tcW w:w="1640" w:type="dxa"/>
            <w:vAlign w:val="bottom"/>
            <w:tcBorders>
              <w:bottom w:val="single" w:sz="8" w:color="3A5575"/>
            </w:tcBorders>
            <w:gridSpan w:val="2"/>
          </w:tcPr>
          <w:p>
            <w:pPr>
              <w:jc w:val="center"/>
              <w:ind w:left="547"/>
              <w:spacing w:after="0"/>
              <w:rPr>
                <w:sz w:val="20"/>
                <w:szCs w:val="20"/>
                <w:color w:val="auto"/>
              </w:rPr>
            </w:pPr>
            <w:r>
              <w:rPr>
                <w:rFonts w:ascii="Arial" w:cs="Arial" w:eastAsia="Arial" w:hAnsi="Arial"/>
                <w:sz w:val="13"/>
                <w:szCs w:val="13"/>
                <w:b w:val="1"/>
                <w:bCs w:val="1"/>
                <w:color w:val="3A5575"/>
              </w:rPr>
              <w:t>PLAN AWARDS</w:t>
            </w:r>
          </w:p>
        </w:tc>
        <w:tc>
          <w:tcPr>
            <w:tcW w:w="620" w:type="dxa"/>
            <w:vAlign w:val="bottom"/>
            <w:tcBorders>
              <w:bottom w:val="single" w:sz="8" w:color="3A5575"/>
            </w:tcBorders>
          </w:tcPr>
          <w:p>
            <w:pPr>
              <w:spacing w:after="0"/>
              <w:rPr>
                <w:sz w:val="14"/>
                <w:szCs w:val="14"/>
                <w:color w:val="auto"/>
              </w:rPr>
            </w:pPr>
          </w:p>
        </w:tc>
        <w:tc>
          <w:tcPr>
            <w:tcW w:w="880" w:type="dxa"/>
            <w:vAlign w:val="bottom"/>
            <w:tcBorders>
              <w:bottom w:val="single" w:sz="8" w:color="3A5575"/>
            </w:tcBorders>
          </w:tcPr>
          <w:p>
            <w:pPr>
              <w:jc w:val="center"/>
              <w:spacing w:after="0"/>
              <w:rPr>
                <w:sz w:val="20"/>
                <w:szCs w:val="20"/>
                <w:color w:val="auto"/>
              </w:rPr>
            </w:pPr>
            <w:r>
              <w:rPr>
                <w:rFonts w:ascii="Arial" w:cs="Arial" w:eastAsia="Arial" w:hAnsi="Arial"/>
                <w:sz w:val="13"/>
                <w:szCs w:val="13"/>
                <w:b w:val="1"/>
                <w:bCs w:val="1"/>
                <w:color w:val="3A5575"/>
              </w:rPr>
              <w:t>(#)</w:t>
            </w:r>
          </w:p>
        </w:tc>
        <w:tc>
          <w:tcPr>
            <w:tcW w:w="900" w:type="dxa"/>
            <w:vAlign w:val="bottom"/>
            <w:tcBorders>
              <w:bottom w:val="single" w:sz="8" w:color="3A5575"/>
            </w:tcBorders>
          </w:tcPr>
          <w:p>
            <w:pPr>
              <w:jc w:val="center"/>
              <w:spacing w:after="0"/>
              <w:rPr>
                <w:sz w:val="20"/>
                <w:szCs w:val="20"/>
                <w:color w:val="auto"/>
              </w:rPr>
            </w:pPr>
            <w:r>
              <w:rPr>
                <w:rFonts w:ascii="Arial" w:cs="Arial" w:eastAsia="Arial" w:hAnsi="Arial"/>
                <w:sz w:val="13"/>
                <w:szCs w:val="13"/>
                <w:b w:val="1"/>
                <w:bCs w:val="1"/>
                <w:color w:val="3A5575"/>
              </w:rPr>
              <w:t>($)</w:t>
            </w:r>
          </w:p>
        </w:tc>
        <w:tc>
          <w:tcPr>
            <w:tcW w:w="0" w:type="dxa"/>
            <w:vAlign w:val="bottom"/>
          </w:tcPr>
          <w:p>
            <w:pPr>
              <w:spacing w:after="0"/>
              <w:rPr>
                <w:sz w:val="1"/>
                <w:szCs w:val="1"/>
                <w:color w:val="auto"/>
              </w:rPr>
            </w:pPr>
          </w:p>
        </w:tc>
      </w:tr>
      <w:tr>
        <w:trPr>
          <w:trHeight w:val="126"/>
        </w:trPr>
        <w:tc>
          <w:tcPr>
            <w:tcW w:w="1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jc w:val="right"/>
              <w:spacing w:after="0" w:line="126" w:lineRule="exact"/>
              <w:rPr>
                <w:sz w:val="20"/>
                <w:szCs w:val="20"/>
                <w:color w:val="auto"/>
              </w:rPr>
            </w:pPr>
            <w:r>
              <w:rPr>
                <w:rFonts w:ascii="Arial" w:cs="Arial" w:eastAsia="Arial" w:hAnsi="Arial"/>
                <w:sz w:val="13"/>
                <w:szCs w:val="13"/>
                <w:b w:val="1"/>
                <w:bCs w:val="1"/>
                <w:color w:val="3A5575"/>
                <w:w w:val="98"/>
              </w:rPr>
              <w:t>THRESHOLD</w:t>
            </w:r>
          </w:p>
        </w:tc>
        <w:tc>
          <w:tcPr>
            <w:tcW w:w="80" w:type="dxa"/>
            <w:vAlign w:val="bottom"/>
          </w:tcPr>
          <w:p>
            <w:pPr>
              <w:spacing w:after="0"/>
              <w:rPr>
                <w:sz w:val="10"/>
                <w:szCs w:val="10"/>
                <w:color w:val="auto"/>
              </w:rPr>
            </w:pPr>
          </w:p>
        </w:tc>
        <w:tc>
          <w:tcPr>
            <w:tcW w:w="920" w:type="dxa"/>
            <w:vAlign w:val="bottom"/>
          </w:tcPr>
          <w:p>
            <w:pPr>
              <w:jc w:val="center"/>
              <w:spacing w:after="0" w:line="126" w:lineRule="exact"/>
              <w:rPr>
                <w:sz w:val="20"/>
                <w:szCs w:val="20"/>
                <w:color w:val="auto"/>
              </w:rPr>
            </w:pPr>
            <w:r>
              <w:rPr>
                <w:rFonts w:ascii="Arial" w:cs="Arial" w:eastAsia="Arial" w:hAnsi="Arial"/>
                <w:sz w:val="13"/>
                <w:szCs w:val="13"/>
                <w:b w:val="1"/>
                <w:bCs w:val="1"/>
                <w:color w:val="3A5575"/>
                <w:w w:val="97"/>
              </w:rPr>
              <w:t>TARGET</w:t>
            </w:r>
          </w:p>
        </w:tc>
        <w:tc>
          <w:tcPr>
            <w:tcW w:w="1020" w:type="dxa"/>
            <w:vAlign w:val="bottom"/>
          </w:tcPr>
          <w:p>
            <w:pPr>
              <w:jc w:val="right"/>
              <w:ind w:right="104"/>
              <w:spacing w:after="0" w:line="126" w:lineRule="exact"/>
              <w:rPr>
                <w:sz w:val="20"/>
                <w:szCs w:val="20"/>
                <w:color w:val="auto"/>
              </w:rPr>
            </w:pPr>
            <w:r>
              <w:rPr>
                <w:rFonts w:ascii="Arial" w:cs="Arial" w:eastAsia="Arial" w:hAnsi="Arial"/>
                <w:sz w:val="13"/>
                <w:szCs w:val="13"/>
                <w:b w:val="1"/>
                <w:bCs w:val="1"/>
                <w:color w:val="3A5575"/>
              </w:rPr>
              <w:t>MAXIMUM</w:t>
            </w:r>
          </w:p>
        </w:tc>
        <w:tc>
          <w:tcPr>
            <w:tcW w:w="2260" w:type="dxa"/>
            <w:vAlign w:val="bottom"/>
            <w:gridSpan w:val="3"/>
          </w:tcPr>
          <w:p>
            <w:pPr>
              <w:jc w:val="center"/>
              <w:spacing w:after="0" w:line="126" w:lineRule="exact"/>
              <w:rPr>
                <w:sz w:val="20"/>
                <w:szCs w:val="20"/>
                <w:color w:val="auto"/>
              </w:rPr>
            </w:pPr>
            <w:r>
              <w:rPr>
                <w:rFonts w:ascii="Arial" w:cs="Arial" w:eastAsia="Arial" w:hAnsi="Arial"/>
                <w:sz w:val="13"/>
                <w:szCs w:val="13"/>
                <w:b w:val="1"/>
                <w:bCs w:val="1"/>
                <w:color w:val="3A5575"/>
              </w:rPr>
              <w:t>THRESHOLD  TARGET  MAXIMUM</w:t>
            </w:r>
          </w:p>
        </w:tc>
        <w:tc>
          <w:tcPr>
            <w:tcW w:w="8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1"/>
        </w:trPr>
        <w:tc>
          <w:tcPr>
            <w:tcW w:w="1220" w:type="dxa"/>
            <w:vAlign w:val="bottom"/>
            <w:tcBorders>
              <w:bottom w:val="single" w:sz="8" w:color="888992"/>
            </w:tcBorders>
          </w:tcPr>
          <w:p>
            <w:pPr>
              <w:spacing w:after="0"/>
              <w:rPr>
                <w:sz w:val="13"/>
                <w:szCs w:val="13"/>
                <w:color w:val="auto"/>
              </w:rPr>
            </w:pPr>
          </w:p>
        </w:tc>
        <w:tc>
          <w:tcPr>
            <w:tcW w:w="80" w:type="dxa"/>
            <w:vAlign w:val="bottom"/>
            <w:tcBorders>
              <w:bottom w:val="single" w:sz="8" w:color="888992"/>
            </w:tcBorders>
          </w:tcPr>
          <w:p>
            <w:pPr>
              <w:spacing w:after="0"/>
              <w:rPr>
                <w:sz w:val="13"/>
                <w:szCs w:val="13"/>
                <w:color w:val="auto"/>
              </w:rPr>
            </w:pPr>
          </w:p>
        </w:tc>
        <w:tc>
          <w:tcPr>
            <w:tcW w:w="960" w:type="dxa"/>
            <w:vAlign w:val="bottom"/>
            <w:tcBorders>
              <w:bottom w:val="single" w:sz="8" w:color="888992"/>
            </w:tcBorders>
          </w:tcPr>
          <w:p>
            <w:pPr>
              <w:spacing w:after="0"/>
              <w:rPr>
                <w:sz w:val="13"/>
                <w:szCs w:val="13"/>
                <w:color w:val="auto"/>
              </w:rPr>
            </w:pPr>
          </w:p>
        </w:tc>
        <w:tc>
          <w:tcPr>
            <w:tcW w:w="920" w:type="dxa"/>
            <w:vAlign w:val="bottom"/>
            <w:tcBorders>
              <w:bottom w:val="single" w:sz="8" w:color="888992"/>
            </w:tcBorders>
            <w:gridSpan w:val="2"/>
          </w:tcPr>
          <w:p>
            <w:pPr>
              <w:jc w:val="right"/>
              <w:ind w:right="272"/>
              <w:spacing w:after="0"/>
              <w:rPr>
                <w:sz w:val="20"/>
                <w:szCs w:val="20"/>
                <w:color w:val="auto"/>
              </w:rPr>
            </w:pPr>
            <w:r>
              <w:rPr>
                <w:rFonts w:ascii="Arial" w:cs="Arial" w:eastAsia="Arial" w:hAnsi="Arial"/>
                <w:sz w:val="13"/>
                <w:szCs w:val="13"/>
                <w:b w:val="1"/>
                <w:bCs w:val="1"/>
                <w:color w:val="3A5575"/>
              </w:rPr>
              <w:t>($)</w:t>
            </w:r>
          </w:p>
        </w:tc>
        <w:tc>
          <w:tcPr>
            <w:tcW w:w="1000" w:type="dxa"/>
            <w:vAlign w:val="bottom"/>
            <w:tcBorders>
              <w:bottom w:val="single" w:sz="8" w:color="888992"/>
            </w:tcBorders>
            <w:gridSpan w:val="2"/>
          </w:tcPr>
          <w:p>
            <w:pPr>
              <w:jc w:val="center"/>
              <w:ind w:left="5"/>
              <w:spacing w:after="0"/>
              <w:rPr>
                <w:sz w:val="20"/>
                <w:szCs w:val="20"/>
                <w:color w:val="auto"/>
              </w:rPr>
            </w:pPr>
            <w:r>
              <w:rPr>
                <w:rFonts w:ascii="Arial" w:cs="Arial" w:eastAsia="Arial" w:hAnsi="Arial"/>
                <w:sz w:val="13"/>
                <w:szCs w:val="13"/>
                <w:b w:val="1"/>
                <w:bCs w:val="1"/>
                <w:color w:val="3A5575"/>
              </w:rPr>
              <w:t>($)</w:t>
            </w:r>
          </w:p>
        </w:tc>
        <w:tc>
          <w:tcPr>
            <w:tcW w:w="1020" w:type="dxa"/>
            <w:vAlign w:val="bottom"/>
            <w:tcBorders>
              <w:bottom w:val="single" w:sz="8" w:color="888992"/>
            </w:tcBorders>
          </w:tcPr>
          <w:p>
            <w:pPr>
              <w:jc w:val="right"/>
              <w:ind w:right="344"/>
              <w:spacing w:after="0"/>
              <w:rPr>
                <w:sz w:val="20"/>
                <w:szCs w:val="20"/>
                <w:color w:val="auto"/>
              </w:rPr>
            </w:pPr>
            <w:r>
              <w:rPr>
                <w:rFonts w:ascii="Arial" w:cs="Arial" w:eastAsia="Arial" w:hAnsi="Arial"/>
                <w:sz w:val="13"/>
                <w:szCs w:val="13"/>
                <w:b w:val="1"/>
                <w:bCs w:val="1"/>
                <w:color w:val="3A5575"/>
              </w:rPr>
              <w:t>($)</w:t>
            </w:r>
          </w:p>
        </w:tc>
        <w:tc>
          <w:tcPr>
            <w:tcW w:w="840" w:type="dxa"/>
            <w:vAlign w:val="bottom"/>
            <w:tcBorders>
              <w:bottom w:val="single" w:sz="8" w:color="888992"/>
            </w:tcBorders>
          </w:tcPr>
          <w:p>
            <w:pPr>
              <w:jc w:val="right"/>
              <w:ind w:right="247"/>
              <w:spacing w:after="0"/>
              <w:rPr>
                <w:sz w:val="20"/>
                <w:szCs w:val="20"/>
                <w:color w:val="auto"/>
              </w:rPr>
            </w:pPr>
            <w:r>
              <w:rPr>
                <w:rFonts w:ascii="Arial" w:cs="Arial" w:eastAsia="Arial" w:hAnsi="Arial"/>
                <w:sz w:val="13"/>
                <w:szCs w:val="13"/>
                <w:b w:val="1"/>
                <w:bCs w:val="1"/>
                <w:color w:val="3A5575"/>
              </w:rPr>
              <w:t>(#)</w:t>
            </w:r>
          </w:p>
        </w:tc>
        <w:tc>
          <w:tcPr>
            <w:tcW w:w="800" w:type="dxa"/>
            <w:vAlign w:val="bottom"/>
            <w:tcBorders>
              <w:bottom w:val="single" w:sz="8" w:color="888992"/>
            </w:tcBorders>
          </w:tcPr>
          <w:p>
            <w:pPr>
              <w:jc w:val="right"/>
              <w:ind w:right="263"/>
              <w:spacing w:after="0"/>
              <w:rPr>
                <w:sz w:val="20"/>
                <w:szCs w:val="20"/>
                <w:color w:val="auto"/>
              </w:rPr>
            </w:pPr>
            <w:r>
              <w:rPr>
                <w:rFonts w:ascii="Arial" w:cs="Arial" w:eastAsia="Arial" w:hAnsi="Arial"/>
                <w:sz w:val="13"/>
                <w:szCs w:val="13"/>
                <w:b w:val="1"/>
                <w:bCs w:val="1"/>
                <w:color w:val="3A5575"/>
              </w:rPr>
              <w:t>(#)</w:t>
            </w:r>
          </w:p>
        </w:tc>
        <w:tc>
          <w:tcPr>
            <w:tcW w:w="620" w:type="dxa"/>
            <w:vAlign w:val="bottom"/>
            <w:tcBorders>
              <w:bottom w:val="single" w:sz="8" w:color="888992"/>
            </w:tcBorders>
          </w:tcPr>
          <w:p>
            <w:pPr>
              <w:jc w:val="center"/>
              <w:ind w:right="23"/>
              <w:spacing w:after="0"/>
              <w:rPr>
                <w:sz w:val="20"/>
                <w:szCs w:val="20"/>
                <w:color w:val="auto"/>
              </w:rPr>
            </w:pPr>
            <w:r>
              <w:rPr>
                <w:rFonts w:ascii="Arial" w:cs="Arial" w:eastAsia="Arial" w:hAnsi="Arial"/>
                <w:sz w:val="13"/>
                <w:szCs w:val="13"/>
                <w:b w:val="1"/>
                <w:bCs w:val="1"/>
                <w:color w:val="3A5575"/>
              </w:rPr>
              <w:t>(#)</w:t>
            </w:r>
          </w:p>
        </w:tc>
        <w:tc>
          <w:tcPr>
            <w:tcW w:w="880" w:type="dxa"/>
            <w:vAlign w:val="bottom"/>
            <w:tcBorders>
              <w:bottom w:val="single" w:sz="8" w:color="888992"/>
            </w:tcBorders>
          </w:tcPr>
          <w:p>
            <w:pPr>
              <w:spacing w:after="0"/>
              <w:rPr>
                <w:sz w:val="13"/>
                <w:szCs w:val="13"/>
                <w:color w:val="auto"/>
              </w:rPr>
            </w:pPr>
          </w:p>
        </w:tc>
        <w:tc>
          <w:tcPr>
            <w:tcW w:w="900" w:type="dxa"/>
            <w:vAlign w:val="bottom"/>
            <w:tcBorders>
              <w:bottom w:val="single" w:sz="8" w:color="888992"/>
            </w:tcBorders>
          </w:tcPr>
          <w:p>
            <w:pPr>
              <w:spacing w:after="0"/>
              <w:rPr>
                <w:sz w:val="13"/>
                <w:szCs w:val="13"/>
                <w:color w:val="auto"/>
              </w:rPr>
            </w:pPr>
          </w:p>
        </w:tc>
        <w:tc>
          <w:tcPr>
            <w:tcW w:w="0" w:type="dxa"/>
            <w:vAlign w:val="bottom"/>
          </w:tcPr>
          <w:p>
            <w:pPr>
              <w:spacing w:after="0"/>
              <w:rPr>
                <w:sz w:val="1"/>
                <w:szCs w:val="1"/>
                <w:color w:val="auto"/>
              </w:rPr>
            </w:pPr>
          </w:p>
        </w:tc>
      </w:tr>
      <w:tr>
        <w:trPr>
          <w:trHeight w:val="157"/>
        </w:trPr>
        <w:tc>
          <w:tcPr>
            <w:tcW w:w="1220" w:type="dxa"/>
            <w:vAlign w:val="bottom"/>
            <w:shd w:val="clear" w:color="auto" w:fill="E3E5EB"/>
          </w:tcPr>
          <w:p>
            <w:pPr>
              <w:spacing w:after="0" w:line="157" w:lineRule="exact"/>
              <w:rPr>
                <w:sz w:val="20"/>
                <w:szCs w:val="20"/>
                <w:color w:val="auto"/>
              </w:rPr>
            </w:pPr>
            <w:r>
              <w:rPr>
                <w:rFonts w:ascii="Arial" w:cs="Arial" w:eastAsia="Arial" w:hAnsi="Arial"/>
                <w:sz w:val="16"/>
                <w:szCs w:val="16"/>
                <w:b w:val="1"/>
                <w:bCs w:val="1"/>
                <w:color w:val="auto"/>
              </w:rPr>
              <w:t>Donald E.</w:t>
            </w:r>
          </w:p>
        </w:tc>
        <w:tc>
          <w:tcPr>
            <w:tcW w:w="80" w:type="dxa"/>
            <w:vAlign w:val="bottom"/>
            <w:shd w:val="clear" w:color="auto" w:fill="E3E5EB"/>
          </w:tcPr>
          <w:p>
            <w:pPr>
              <w:spacing w:after="0"/>
              <w:rPr>
                <w:sz w:val="13"/>
                <w:szCs w:val="13"/>
                <w:color w:val="auto"/>
              </w:rPr>
            </w:pPr>
          </w:p>
        </w:tc>
        <w:tc>
          <w:tcPr>
            <w:tcW w:w="960" w:type="dxa"/>
            <w:vAlign w:val="bottom"/>
            <w:shd w:val="clear" w:color="auto" w:fill="E3E5EB"/>
          </w:tcPr>
          <w:p>
            <w:pPr>
              <w:spacing w:after="0"/>
              <w:rPr>
                <w:sz w:val="13"/>
                <w:szCs w:val="13"/>
                <w:color w:val="auto"/>
              </w:rPr>
            </w:pPr>
          </w:p>
        </w:tc>
        <w:tc>
          <w:tcPr>
            <w:tcW w:w="100" w:type="dxa"/>
            <w:vAlign w:val="bottom"/>
            <w:shd w:val="clear" w:color="auto" w:fill="E3E5EB"/>
          </w:tcPr>
          <w:p>
            <w:pPr>
              <w:spacing w:after="0"/>
              <w:rPr>
                <w:sz w:val="13"/>
                <w:szCs w:val="13"/>
                <w:color w:val="auto"/>
              </w:rPr>
            </w:pPr>
          </w:p>
        </w:tc>
        <w:tc>
          <w:tcPr>
            <w:tcW w:w="820" w:type="dxa"/>
            <w:vAlign w:val="bottom"/>
            <w:shd w:val="clear" w:color="auto" w:fill="E3E5EB"/>
          </w:tcPr>
          <w:p>
            <w:pPr>
              <w:spacing w:after="0"/>
              <w:rPr>
                <w:sz w:val="13"/>
                <w:szCs w:val="13"/>
                <w:color w:val="auto"/>
              </w:rPr>
            </w:pPr>
          </w:p>
        </w:tc>
        <w:tc>
          <w:tcPr>
            <w:tcW w:w="80" w:type="dxa"/>
            <w:vAlign w:val="bottom"/>
            <w:shd w:val="clear" w:color="auto" w:fill="E3E5EB"/>
          </w:tcPr>
          <w:p>
            <w:pPr>
              <w:spacing w:after="0"/>
              <w:rPr>
                <w:sz w:val="13"/>
                <w:szCs w:val="13"/>
                <w:color w:val="auto"/>
              </w:rPr>
            </w:pPr>
          </w:p>
        </w:tc>
        <w:tc>
          <w:tcPr>
            <w:tcW w:w="920" w:type="dxa"/>
            <w:vAlign w:val="bottom"/>
            <w:shd w:val="clear" w:color="auto" w:fill="E3E5EB"/>
          </w:tcPr>
          <w:p>
            <w:pPr>
              <w:spacing w:after="0"/>
              <w:rPr>
                <w:sz w:val="13"/>
                <w:szCs w:val="13"/>
                <w:color w:val="auto"/>
              </w:rPr>
            </w:pPr>
          </w:p>
        </w:tc>
        <w:tc>
          <w:tcPr>
            <w:tcW w:w="1020" w:type="dxa"/>
            <w:vAlign w:val="bottom"/>
            <w:shd w:val="clear" w:color="auto" w:fill="E3E5EB"/>
          </w:tcPr>
          <w:p>
            <w:pPr>
              <w:spacing w:after="0"/>
              <w:rPr>
                <w:sz w:val="13"/>
                <w:szCs w:val="13"/>
                <w:color w:val="auto"/>
              </w:rPr>
            </w:pPr>
          </w:p>
        </w:tc>
        <w:tc>
          <w:tcPr>
            <w:tcW w:w="840" w:type="dxa"/>
            <w:vAlign w:val="bottom"/>
            <w:shd w:val="clear" w:color="auto" w:fill="E3E5EB"/>
          </w:tcPr>
          <w:p>
            <w:pPr>
              <w:spacing w:after="0"/>
              <w:rPr>
                <w:sz w:val="13"/>
                <w:szCs w:val="13"/>
                <w:color w:val="auto"/>
              </w:rPr>
            </w:pPr>
          </w:p>
        </w:tc>
        <w:tc>
          <w:tcPr>
            <w:tcW w:w="800" w:type="dxa"/>
            <w:vAlign w:val="bottom"/>
            <w:shd w:val="clear" w:color="auto" w:fill="E3E5EB"/>
          </w:tcPr>
          <w:p>
            <w:pPr>
              <w:spacing w:after="0"/>
              <w:rPr>
                <w:sz w:val="13"/>
                <w:szCs w:val="13"/>
                <w:color w:val="auto"/>
              </w:rPr>
            </w:pPr>
          </w:p>
        </w:tc>
        <w:tc>
          <w:tcPr>
            <w:tcW w:w="620" w:type="dxa"/>
            <w:vAlign w:val="bottom"/>
            <w:shd w:val="clear" w:color="auto" w:fill="E3E5EB"/>
          </w:tcPr>
          <w:p>
            <w:pPr>
              <w:spacing w:after="0"/>
              <w:rPr>
                <w:sz w:val="13"/>
                <w:szCs w:val="13"/>
                <w:color w:val="auto"/>
              </w:rPr>
            </w:pPr>
          </w:p>
        </w:tc>
        <w:tc>
          <w:tcPr>
            <w:tcW w:w="880" w:type="dxa"/>
            <w:vAlign w:val="bottom"/>
            <w:shd w:val="clear" w:color="auto" w:fill="E3E5EB"/>
          </w:tcPr>
          <w:p>
            <w:pPr>
              <w:spacing w:after="0"/>
              <w:rPr>
                <w:sz w:val="13"/>
                <w:szCs w:val="13"/>
                <w:color w:val="auto"/>
              </w:rPr>
            </w:pPr>
          </w:p>
        </w:tc>
        <w:tc>
          <w:tcPr>
            <w:tcW w:w="900" w:type="dxa"/>
            <w:vAlign w:val="bottom"/>
            <w:shd w:val="clear" w:color="auto" w:fill="E3E5EB"/>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20" w:type="dxa"/>
            <w:vAlign w:val="bottom"/>
            <w:shd w:val="clear" w:color="auto" w:fill="E3E5EB"/>
          </w:tcPr>
          <w:p>
            <w:pPr>
              <w:ind w:left="140"/>
              <w:spacing w:after="0"/>
              <w:rPr>
                <w:sz w:val="20"/>
                <w:szCs w:val="20"/>
                <w:color w:val="auto"/>
              </w:rPr>
            </w:pPr>
            <w:r>
              <w:rPr>
                <w:rFonts w:ascii="Arial" w:cs="Arial" w:eastAsia="Arial" w:hAnsi="Arial"/>
                <w:sz w:val="16"/>
                <w:szCs w:val="16"/>
                <w:b w:val="1"/>
                <w:bCs w:val="1"/>
                <w:color w:val="auto"/>
              </w:rPr>
              <w:t>Brandt</w:t>
            </w:r>
          </w:p>
        </w:tc>
        <w:tc>
          <w:tcPr>
            <w:tcW w:w="80" w:type="dxa"/>
            <w:vAlign w:val="bottom"/>
            <w:shd w:val="clear" w:color="auto" w:fill="E3E5EB"/>
          </w:tcPr>
          <w:p>
            <w:pPr>
              <w:spacing w:after="0"/>
              <w:rPr>
                <w:sz w:val="17"/>
                <w:szCs w:val="17"/>
                <w:color w:val="auto"/>
              </w:rPr>
            </w:pPr>
          </w:p>
        </w:tc>
        <w:tc>
          <w:tcPr>
            <w:tcW w:w="960" w:type="dxa"/>
            <w:vAlign w:val="bottom"/>
            <w:vMerge w:val="restart"/>
            <w:shd w:val="clear" w:color="auto" w:fill="E3E5EB"/>
          </w:tcPr>
          <w:p>
            <w:pPr>
              <w:spacing w:after="0"/>
              <w:rPr>
                <w:sz w:val="20"/>
                <w:szCs w:val="20"/>
                <w:color w:val="auto"/>
              </w:rPr>
            </w:pPr>
            <w:r>
              <w:rPr>
                <w:rFonts w:ascii="Arial" w:cs="Arial" w:eastAsia="Arial" w:hAnsi="Arial"/>
                <w:sz w:val="16"/>
                <w:szCs w:val="16"/>
                <w:color w:val="auto"/>
                <w:w w:val="92"/>
              </w:rPr>
              <w:t>02/17/2015</w:t>
            </w:r>
            <w:r>
              <w:rPr>
                <w:rFonts w:ascii="Arial" w:cs="Arial" w:eastAsia="Arial" w:hAnsi="Arial"/>
                <w:sz w:val="26"/>
                <w:szCs w:val="26"/>
                <w:color w:val="auto"/>
                <w:w w:val="92"/>
                <w:vertAlign w:val="superscript"/>
              </w:rPr>
              <w:t>(4)</w:t>
            </w:r>
          </w:p>
        </w:tc>
        <w:tc>
          <w:tcPr>
            <w:tcW w:w="920" w:type="dxa"/>
            <w:vAlign w:val="bottom"/>
            <w:gridSpan w:val="2"/>
            <w:shd w:val="clear" w:color="auto" w:fill="E3E5EB"/>
          </w:tcPr>
          <w:p>
            <w:pPr>
              <w:jc w:val="right"/>
              <w:ind w:right="172"/>
              <w:spacing w:after="0"/>
              <w:rPr>
                <w:sz w:val="20"/>
                <w:szCs w:val="20"/>
                <w:color w:val="auto"/>
              </w:rPr>
            </w:pPr>
            <w:r>
              <w:rPr>
                <w:rFonts w:ascii="Arial" w:cs="Arial" w:eastAsia="Arial" w:hAnsi="Arial"/>
                <w:sz w:val="16"/>
                <w:szCs w:val="16"/>
                <w:color w:val="auto"/>
              </w:rPr>
              <w:t>638,500</w:t>
            </w:r>
          </w:p>
        </w:tc>
        <w:tc>
          <w:tcPr>
            <w:tcW w:w="1000" w:type="dxa"/>
            <w:vAlign w:val="bottom"/>
            <w:gridSpan w:val="2"/>
            <w:shd w:val="clear" w:color="auto" w:fill="E3E5EB"/>
          </w:tcPr>
          <w:p>
            <w:pPr>
              <w:jc w:val="right"/>
              <w:ind w:right="84"/>
              <w:spacing w:after="0"/>
              <w:rPr>
                <w:sz w:val="20"/>
                <w:szCs w:val="20"/>
                <w:color w:val="auto"/>
              </w:rPr>
            </w:pPr>
            <w:r>
              <w:rPr>
                <w:rFonts w:ascii="Arial" w:cs="Arial" w:eastAsia="Arial" w:hAnsi="Arial"/>
                <w:sz w:val="16"/>
                <w:szCs w:val="16"/>
                <w:color w:val="auto"/>
              </w:rPr>
              <w:t>1,852,560</w:t>
            </w:r>
          </w:p>
        </w:tc>
        <w:tc>
          <w:tcPr>
            <w:tcW w:w="1020" w:type="dxa"/>
            <w:vAlign w:val="bottom"/>
            <w:shd w:val="clear" w:color="auto" w:fill="E3E5EB"/>
          </w:tcPr>
          <w:p>
            <w:pPr>
              <w:jc w:val="right"/>
              <w:ind w:right="124"/>
              <w:spacing w:after="0"/>
              <w:rPr>
                <w:sz w:val="20"/>
                <w:szCs w:val="20"/>
                <w:color w:val="auto"/>
              </w:rPr>
            </w:pPr>
            <w:r>
              <w:rPr>
                <w:rFonts w:ascii="Arial" w:cs="Arial" w:eastAsia="Arial" w:hAnsi="Arial"/>
                <w:sz w:val="16"/>
                <w:szCs w:val="16"/>
                <w:color w:val="auto"/>
              </w:rPr>
              <w:t>2,554,000</w:t>
            </w:r>
          </w:p>
        </w:tc>
        <w:tc>
          <w:tcPr>
            <w:tcW w:w="840" w:type="dxa"/>
            <w:vAlign w:val="bottom"/>
            <w:vMerge w:val="restart"/>
            <w:shd w:val="clear" w:color="auto" w:fill="E3E5EB"/>
          </w:tcPr>
          <w:p>
            <w:pPr>
              <w:jc w:val="right"/>
              <w:ind w:right="67"/>
              <w:spacing w:after="0"/>
              <w:rPr>
                <w:sz w:val="20"/>
                <w:szCs w:val="20"/>
                <w:color w:val="auto"/>
              </w:rPr>
            </w:pPr>
            <w:r>
              <w:rPr>
                <w:rFonts w:ascii="Arial" w:cs="Arial" w:eastAsia="Arial" w:hAnsi="Arial"/>
                <w:sz w:val="16"/>
                <w:szCs w:val="16"/>
                <w:color w:val="auto"/>
              </w:rPr>
              <w:t>18,624</w:t>
            </w:r>
          </w:p>
        </w:tc>
        <w:tc>
          <w:tcPr>
            <w:tcW w:w="800" w:type="dxa"/>
            <w:vAlign w:val="bottom"/>
            <w:vMerge w:val="restart"/>
            <w:shd w:val="clear" w:color="auto" w:fill="E3E5EB"/>
          </w:tcPr>
          <w:p>
            <w:pPr>
              <w:jc w:val="right"/>
              <w:ind w:right="103"/>
              <w:spacing w:after="0"/>
              <w:rPr>
                <w:sz w:val="20"/>
                <w:szCs w:val="20"/>
                <w:color w:val="auto"/>
              </w:rPr>
            </w:pPr>
            <w:r>
              <w:rPr>
                <w:rFonts w:ascii="Arial" w:cs="Arial" w:eastAsia="Arial" w:hAnsi="Arial"/>
                <w:sz w:val="16"/>
                <w:szCs w:val="16"/>
                <w:color w:val="auto"/>
              </w:rPr>
              <w:t>37,248</w:t>
            </w:r>
          </w:p>
        </w:tc>
        <w:tc>
          <w:tcPr>
            <w:tcW w:w="620" w:type="dxa"/>
            <w:vAlign w:val="bottom"/>
            <w:vMerge w:val="restart"/>
            <w:shd w:val="clear" w:color="auto" w:fill="E3E5EB"/>
          </w:tcPr>
          <w:p>
            <w:pPr>
              <w:jc w:val="center"/>
              <w:ind w:right="23"/>
              <w:spacing w:after="0"/>
              <w:rPr>
                <w:sz w:val="20"/>
                <w:szCs w:val="20"/>
                <w:color w:val="auto"/>
              </w:rPr>
            </w:pPr>
            <w:r>
              <w:rPr>
                <w:rFonts w:ascii="Arial" w:cs="Arial" w:eastAsia="Arial" w:hAnsi="Arial"/>
                <w:sz w:val="16"/>
                <w:szCs w:val="16"/>
                <w:color w:val="auto"/>
                <w:w w:val="98"/>
              </w:rPr>
              <w:t>74,496</w:t>
            </w:r>
          </w:p>
        </w:tc>
        <w:tc>
          <w:tcPr>
            <w:tcW w:w="880" w:type="dxa"/>
            <w:vAlign w:val="bottom"/>
            <w:shd w:val="clear" w:color="auto" w:fill="E3E5EB"/>
          </w:tcPr>
          <w:p>
            <w:pPr>
              <w:spacing w:after="0"/>
              <w:rPr>
                <w:sz w:val="17"/>
                <w:szCs w:val="17"/>
                <w:color w:val="auto"/>
              </w:rPr>
            </w:pPr>
          </w:p>
        </w:tc>
        <w:tc>
          <w:tcPr>
            <w:tcW w:w="900" w:type="dxa"/>
            <w:vAlign w:val="bottom"/>
            <w:vMerge w:val="restart"/>
            <w:shd w:val="clear" w:color="auto" w:fill="E3E5EB"/>
          </w:tcPr>
          <w:p>
            <w:pPr>
              <w:jc w:val="right"/>
              <w:spacing w:after="0"/>
              <w:rPr>
                <w:sz w:val="20"/>
                <w:szCs w:val="20"/>
                <w:color w:val="auto"/>
              </w:rPr>
            </w:pPr>
            <w:r>
              <w:rPr>
                <w:rFonts w:ascii="Arial" w:cs="Arial" w:eastAsia="Arial" w:hAnsi="Arial"/>
                <w:sz w:val="16"/>
                <w:szCs w:val="16"/>
                <w:color w:val="auto"/>
              </w:rPr>
              <w:t>2,420,003</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vMerge w:val="continue"/>
            <w:shd w:val="clear" w:color="auto" w:fill="E3E5EB"/>
          </w:tcPr>
          <w:p>
            <w:pPr>
              <w:spacing w:after="0"/>
              <w:rPr>
                <w:sz w:val="19"/>
                <w:szCs w:val="19"/>
                <w:color w:val="auto"/>
              </w:rPr>
            </w:pP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vMerge w:val="continue"/>
            <w:shd w:val="clear" w:color="auto" w:fill="E3E5EB"/>
          </w:tcPr>
          <w:p>
            <w:pPr>
              <w:spacing w:after="0"/>
              <w:rPr>
                <w:sz w:val="19"/>
                <w:szCs w:val="19"/>
                <w:color w:val="auto"/>
              </w:rPr>
            </w:pPr>
          </w:p>
        </w:tc>
        <w:tc>
          <w:tcPr>
            <w:tcW w:w="800" w:type="dxa"/>
            <w:vAlign w:val="bottom"/>
            <w:vMerge w:val="continue"/>
            <w:shd w:val="clear" w:color="auto" w:fill="E3E5EB"/>
          </w:tcPr>
          <w:p>
            <w:pPr>
              <w:spacing w:after="0"/>
              <w:rPr>
                <w:sz w:val="19"/>
                <w:szCs w:val="19"/>
                <w:color w:val="auto"/>
              </w:rPr>
            </w:pPr>
          </w:p>
        </w:tc>
        <w:tc>
          <w:tcPr>
            <w:tcW w:w="620" w:type="dxa"/>
            <w:vAlign w:val="bottom"/>
            <w:vMerge w:val="continue"/>
            <w:shd w:val="clear" w:color="auto" w:fill="E3E5EB"/>
          </w:tcPr>
          <w:p>
            <w:pPr>
              <w:spacing w:after="0"/>
              <w:rPr>
                <w:sz w:val="19"/>
                <w:szCs w:val="19"/>
                <w:color w:val="auto"/>
              </w:rPr>
            </w:pPr>
          </w:p>
        </w:tc>
        <w:tc>
          <w:tcPr>
            <w:tcW w:w="880" w:type="dxa"/>
            <w:vAlign w:val="bottom"/>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60" w:type="dxa"/>
            <w:vAlign w:val="bottom"/>
            <w:shd w:val="clear" w:color="auto" w:fill="E3E5EB"/>
          </w:tcPr>
          <w:p>
            <w:pPr>
              <w:spacing w:after="0"/>
              <w:rPr>
                <w:sz w:val="20"/>
                <w:szCs w:val="20"/>
                <w:color w:val="auto"/>
              </w:rPr>
            </w:pPr>
            <w:r>
              <w:rPr>
                <w:rFonts w:ascii="Arial" w:cs="Arial" w:eastAsia="Arial" w:hAnsi="Arial"/>
                <w:sz w:val="16"/>
                <w:szCs w:val="16"/>
                <w:color w:val="auto"/>
              </w:rPr>
              <w:t>(PS)</w:t>
            </w:r>
          </w:p>
        </w:tc>
        <w:tc>
          <w:tcPr>
            <w:tcW w:w="100" w:type="dxa"/>
            <w:vAlign w:val="bottom"/>
            <w:shd w:val="clear" w:color="auto" w:fill="E3E5EB"/>
          </w:tcPr>
          <w:p>
            <w:pPr>
              <w:spacing w:after="0"/>
              <w:rPr>
                <w:sz w:val="16"/>
                <w:szCs w:val="16"/>
                <w:color w:val="auto"/>
              </w:rPr>
            </w:pPr>
          </w:p>
        </w:tc>
        <w:tc>
          <w:tcPr>
            <w:tcW w:w="8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20" w:type="dxa"/>
            <w:vAlign w:val="bottom"/>
            <w:shd w:val="clear" w:color="auto" w:fill="E3E5EB"/>
          </w:tcPr>
          <w:p>
            <w:pPr>
              <w:spacing w:after="0"/>
              <w:rPr>
                <w:sz w:val="16"/>
                <w:szCs w:val="16"/>
                <w:color w:val="auto"/>
              </w:rPr>
            </w:pPr>
          </w:p>
        </w:tc>
        <w:tc>
          <w:tcPr>
            <w:tcW w:w="1020" w:type="dxa"/>
            <w:vAlign w:val="bottom"/>
            <w:shd w:val="clear" w:color="auto" w:fill="E3E5EB"/>
          </w:tcPr>
          <w:p>
            <w:pPr>
              <w:spacing w:after="0"/>
              <w:rPr>
                <w:sz w:val="16"/>
                <w:szCs w:val="16"/>
                <w:color w:val="auto"/>
              </w:rPr>
            </w:pPr>
          </w:p>
        </w:tc>
        <w:tc>
          <w:tcPr>
            <w:tcW w:w="840" w:type="dxa"/>
            <w:vAlign w:val="bottom"/>
            <w:shd w:val="clear" w:color="auto" w:fill="E3E5EB"/>
          </w:tcPr>
          <w:p>
            <w:pPr>
              <w:spacing w:after="0"/>
              <w:rPr>
                <w:sz w:val="16"/>
                <w:szCs w:val="16"/>
                <w:color w:val="auto"/>
              </w:rPr>
            </w:pPr>
          </w:p>
        </w:tc>
        <w:tc>
          <w:tcPr>
            <w:tcW w:w="800" w:type="dxa"/>
            <w:vAlign w:val="bottom"/>
            <w:shd w:val="clear" w:color="auto" w:fill="E3E5EB"/>
          </w:tcPr>
          <w:p>
            <w:pPr>
              <w:spacing w:after="0"/>
              <w:rPr>
                <w:sz w:val="16"/>
                <w:szCs w:val="16"/>
                <w:color w:val="auto"/>
              </w:rPr>
            </w:pPr>
          </w:p>
        </w:tc>
        <w:tc>
          <w:tcPr>
            <w:tcW w:w="620" w:type="dxa"/>
            <w:vAlign w:val="bottom"/>
            <w:shd w:val="clear" w:color="auto" w:fill="E3E5EB"/>
          </w:tcPr>
          <w:p>
            <w:pPr>
              <w:spacing w:after="0"/>
              <w:rPr>
                <w:sz w:val="16"/>
                <w:szCs w:val="16"/>
                <w:color w:val="auto"/>
              </w:rPr>
            </w:pPr>
          </w:p>
        </w:tc>
        <w:tc>
          <w:tcPr>
            <w:tcW w:w="880" w:type="dxa"/>
            <w:vAlign w:val="bottom"/>
            <w:vMerge w:val="restart"/>
            <w:shd w:val="clear" w:color="auto" w:fill="E3E5EB"/>
          </w:tcPr>
          <w:p>
            <w:pPr>
              <w:jc w:val="right"/>
              <w:ind w:right="129"/>
              <w:spacing w:after="0"/>
              <w:rPr>
                <w:sz w:val="20"/>
                <w:szCs w:val="20"/>
                <w:color w:val="auto"/>
              </w:rPr>
            </w:pPr>
            <w:r>
              <w:rPr>
                <w:rFonts w:ascii="Arial" w:cs="Arial" w:eastAsia="Arial" w:hAnsi="Arial"/>
                <w:sz w:val="16"/>
                <w:szCs w:val="16"/>
                <w:color w:val="auto"/>
              </w:rPr>
              <w:t>30,476</w:t>
            </w:r>
          </w:p>
        </w:tc>
        <w:tc>
          <w:tcPr>
            <w:tcW w:w="900" w:type="dxa"/>
            <w:vAlign w:val="bottom"/>
            <w:vMerge w:val="restart"/>
            <w:shd w:val="clear" w:color="auto" w:fill="E3E5EB"/>
          </w:tcPr>
          <w:p>
            <w:pPr>
              <w:jc w:val="right"/>
              <w:spacing w:after="0"/>
              <w:rPr>
                <w:sz w:val="20"/>
                <w:szCs w:val="20"/>
                <w:color w:val="auto"/>
              </w:rPr>
            </w:pPr>
            <w:r>
              <w:rPr>
                <w:rFonts w:ascii="Arial" w:cs="Arial" w:eastAsia="Arial" w:hAnsi="Arial"/>
                <w:sz w:val="16"/>
                <w:szCs w:val="16"/>
                <w:color w:val="auto"/>
              </w:rPr>
              <w:t>1,980,026</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line="221" w:lineRule="exact"/>
              <w:rPr>
                <w:sz w:val="20"/>
                <w:szCs w:val="20"/>
                <w:color w:val="auto"/>
              </w:rPr>
            </w:pPr>
            <w:r>
              <w:rPr>
                <w:rFonts w:ascii="Arial" w:cs="Arial" w:eastAsia="Arial" w:hAnsi="Arial"/>
                <w:sz w:val="15"/>
                <w:szCs w:val="15"/>
                <w:color w:val="auto"/>
                <w:w w:val="98"/>
              </w:rPr>
              <w:t>02/17/2015</w:t>
            </w:r>
            <w:r>
              <w:rPr>
                <w:rFonts w:ascii="Arial" w:cs="Arial" w:eastAsia="Arial" w:hAnsi="Arial"/>
                <w:sz w:val="25"/>
                <w:szCs w:val="25"/>
                <w:color w:val="auto"/>
                <w:w w:val="98"/>
                <w:vertAlign w:val="superscript"/>
              </w:rPr>
              <w:t>(5)</w:t>
            </w: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shd w:val="clear" w:color="auto" w:fill="E3E5EB"/>
          </w:tcPr>
          <w:p>
            <w:pPr>
              <w:spacing w:after="0"/>
              <w:rPr>
                <w:sz w:val="19"/>
                <w:szCs w:val="19"/>
                <w:color w:val="auto"/>
              </w:rPr>
            </w:pPr>
          </w:p>
        </w:tc>
        <w:tc>
          <w:tcPr>
            <w:tcW w:w="800" w:type="dxa"/>
            <w:vAlign w:val="bottom"/>
            <w:shd w:val="clear" w:color="auto" w:fill="E3E5EB"/>
          </w:tcPr>
          <w:p>
            <w:pPr>
              <w:spacing w:after="0"/>
              <w:rPr>
                <w:sz w:val="19"/>
                <w:szCs w:val="19"/>
                <w:color w:val="auto"/>
              </w:rPr>
            </w:pPr>
          </w:p>
        </w:tc>
        <w:tc>
          <w:tcPr>
            <w:tcW w:w="620" w:type="dxa"/>
            <w:vAlign w:val="bottom"/>
            <w:shd w:val="clear" w:color="auto" w:fill="E3E5EB"/>
          </w:tcPr>
          <w:p>
            <w:pPr>
              <w:spacing w:after="0"/>
              <w:rPr>
                <w:sz w:val="19"/>
                <w:szCs w:val="19"/>
                <w:color w:val="auto"/>
              </w:rPr>
            </w:pPr>
          </w:p>
        </w:tc>
        <w:tc>
          <w:tcPr>
            <w:tcW w:w="880" w:type="dxa"/>
            <w:vAlign w:val="bottom"/>
            <w:vMerge w:val="continue"/>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tcBorders>
              <w:bottom w:val="single" w:sz="8" w:color="646466"/>
            </w:tcBorders>
            <w:shd w:val="clear" w:color="auto" w:fill="E3E5EB"/>
          </w:tcPr>
          <w:p>
            <w:pPr>
              <w:spacing w:after="0"/>
              <w:rPr>
                <w:sz w:val="16"/>
                <w:szCs w:val="16"/>
                <w:color w:val="auto"/>
              </w:rPr>
            </w:pPr>
          </w:p>
        </w:tc>
        <w:tc>
          <w:tcPr>
            <w:tcW w:w="80" w:type="dxa"/>
            <w:vAlign w:val="bottom"/>
            <w:tcBorders>
              <w:bottom w:val="single" w:sz="8" w:color="646466"/>
            </w:tcBorders>
            <w:shd w:val="clear" w:color="auto" w:fill="E3E5EB"/>
          </w:tcPr>
          <w:p>
            <w:pPr>
              <w:spacing w:after="0"/>
              <w:rPr>
                <w:sz w:val="16"/>
                <w:szCs w:val="16"/>
                <w:color w:val="auto"/>
              </w:rPr>
            </w:pPr>
          </w:p>
        </w:tc>
        <w:tc>
          <w:tcPr>
            <w:tcW w:w="960" w:type="dxa"/>
            <w:vAlign w:val="bottom"/>
            <w:tcBorders>
              <w:bottom w:val="single" w:sz="8" w:color="646466"/>
            </w:tcBorders>
            <w:shd w:val="clear" w:color="auto" w:fill="E3E5EB"/>
          </w:tcPr>
          <w:p>
            <w:pPr>
              <w:spacing w:after="0"/>
              <w:rPr>
                <w:sz w:val="20"/>
                <w:szCs w:val="20"/>
                <w:color w:val="auto"/>
              </w:rPr>
            </w:pPr>
            <w:r>
              <w:rPr>
                <w:rFonts w:ascii="Arial" w:cs="Arial" w:eastAsia="Arial" w:hAnsi="Arial"/>
                <w:sz w:val="16"/>
                <w:szCs w:val="16"/>
                <w:color w:val="auto"/>
              </w:rPr>
              <w:t>(RSU)</w:t>
            </w:r>
          </w:p>
        </w:tc>
        <w:tc>
          <w:tcPr>
            <w:tcW w:w="100" w:type="dxa"/>
            <w:vAlign w:val="bottom"/>
            <w:tcBorders>
              <w:bottom w:val="single" w:sz="8" w:color="646466"/>
            </w:tcBorders>
            <w:shd w:val="clear" w:color="auto" w:fill="E3E5EB"/>
          </w:tcPr>
          <w:p>
            <w:pPr>
              <w:spacing w:after="0"/>
              <w:rPr>
                <w:sz w:val="16"/>
                <w:szCs w:val="16"/>
                <w:color w:val="auto"/>
              </w:rPr>
            </w:pPr>
          </w:p>
        </w:tc>
        <w:tc>
          <w:tcPr>
            <w:tcW w:w="820" w:type="dxa"/>
            <w:vAlign w:val="bottom"/>
            <w:tcBorders>
              <w:bottom w:val="single" w:sz="8" w:color="646466"/>
            </w:tcBorders>
            <w:shd w:val="clear" w:color="auto" w:fill="E3E5EB"/>
          </w:tcPr>
          <w:p>
            <w:pPr>
              <w:spacing w:after="0"/>
              <w:rPr>
                <w:sz w:val="16"/>
                <w:szCs w:val="16"/>
                <w:color w:val="auto"/>
              </w:rPr>
            </w:pPr>
          </w:p>
        </w:tc>
        <w:tc>
          <w:tcPr>
            <w:tcW w:w="80" w:type="dxa"/>
            <w:vAlign w:val="bottom"/>
            <w:tcBorders>
              <w:bottom w:val="single" w:sz="8" w:color="646466"/>
            </w:tcBorders>
            <w:shd w:val="clear" w:color="auto" w:fill="E3E5EB"/>
          </w:tcPr>
          <w:p>
            <w:pPr>
              <w:spacing w:after="0"/>
              <w:rPr>
                <w:sz w:val="16"/>
                <w:szCs w:val="16"/>
                <w:color w:val="auto"/>
              </w:rPr>
            </w:pPr>
          </w:p>
        </w:tc>
        <w:tc>
          <w:tcPr>
            <w:tcW w:w="920" w:type="dxa"/>
            <w:vAlign w:val="bottom"/>
            <w:tcBorders>
              <w:bottom w:val="single" w:sz="8" w:color="646466"/>
            </w:tcBorders>
            <w:shd w:val="clear" w:color="auto" w:fill="E3E5EB"/>
          </w:tcPr>
          <w:p>
            <w:pPr>
              <w:spacing w:after="0"/>
              <w:rPr>
                <w:sz w:val="16"/>
                <w:szCs w:val="16"/>
                <w:color w:val="auto"/>
              </w:rPr>
            </w:pPr>
          </w:p>
        </w:tc>
        <w:tc>
          <w:tcPr>
            <w:tcW w:w="1020" w:type="dxa"/>
            <w:vAlign w:val="bottom"/>
            <w:tcBorders>
              <w:bottom w:val="single" w:sz="8" w:color="646466"/>
            </w:tcBorders>
            <w:shd w:val="clear" w:color="auto" w:fill="E3E5EB"/>
          </w:tcPr>
          <w:p>
            <w:pPr>
              <w:spacing w:after="0"/>
              <w:rPr>
                <w:sz w:val="16"/>
                <w:szCs w:val="16"/>
                <w:color w:val="auto"/>
              </w:rPr>
            </w:pPr>
          </w:p>
        </w:tc>
        <w:tc>
          <w:tcPr>
            <w:tcW w:w="840" w:type="dxa"/>
            <w:vAlign w:val="bottom"/>
            <w:tcBorders>
              <w:bottom w:val="single" w:sz="8" w:color="646466"/>
            </w:tcBorders>
            <w:shd w:val="clear" w:color="auto" w:fill="E3E5EB"/>
          </w:tcPr>
          <w:p>
            <w:pPr>
              <w:spacing w:after="0"/>
              <w:rPr>
                <w:sz w:val="16"/>
                <w:szCs w:val="16"/>
                <w:color w:val="auto"/>
              </w:rPr>
            </w:pPr>
          </w:p>
        </w:tc>
        <w:tc>
          <w:tcPr>
            <w:tcW w:w="800" w:type="dxa"/>
            <w:vAlign w:val="bottom"/>
            <w:tcBorders>
              <w:bottom w:val="single" w:sz="8" w:color="646466"/>
            </w:tcBorders>
            <w:shd w:val="clear" w:color="auto" w:fill="E3E5EB"/>
          </w:tcPr>
          <w:p>
            <w:pPr>
              <w:spacing w:after="0"/>
              <w:rPr>
                <w:sz w:val="16"/>
                <w:szCs w:val="16"/>
                <w:color w:val="auto"/>
              </w:rPr>
            </w:pPr>
          </w:p>
        </w:tc>
        <w:tc>
          <w:tcPr>
            <w:tcW w:w="620" w:type="dxa"/>
            <w:vAlign w:val="bottom"/>
            <w:tcBorders>
              <w:bottom w:val="single" w:sz="8" w:color="646466"/>
            </w:tcBorders>
            <w:shd w:val="clear" w:color="auto" w:fill="E3E5EB"/>
          </w:tcPr>
          <w:p>
            <w:pPr>
              <w:spacing w:after="0"/>
              <w:rPr>
                <w:sz w:val="16"/>
                <w:szCs w:val="16"/>
                <w:color w:val="auto"/>
              </w:rPr>
            </w:pPr>
          </w:p>
        </w:tc>
        <w:tc>
          <w:tcPr>
            <w:tcW w:w="880" w:type="dxa"/>
            <w:vAlign w:val="bottom"/>
            <w:tcBorders>
              <w:bottom w:val="single" w:sz="8" w:color="646466"/>
            </w:tcBorders>
            <w:shd w:val="clear" w:color="auto" w:fill="E3E5EB"/>
          </w:tcPr>
          <w:p>
            <w:pPr>
              <w:spacing w:after="0"/>
              <w:rPr>
                <w:sz w:val="16"/>
                <w:szCs w:val="16"/>
                <w:color w:val="auto"/>
              </w:rPr>
            </w:pPr>
          </w:p>
        </w:tc>
        <w:tc>
          <w:tcPr>
            <w:tcW w:w="900" w:type="dxa"/>
            <w:vAlign w:val="bottom"/>
            <w:tcBorders>
              <w:bottom w:val="single" w:sz="8" w:color="646466"/>
            </w:tcBorders>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157"/>
        </w:trPr>
        <w:tc>
          <w:tcPr>
            <w:tcW w:w="1220" w:type="dxa"/>
            <w:vAlign w:val="bottom"/>
          </w:tcPr>
          <w:p>
            <w:pPr>
              <w:spacing w:after="0" w:line="157" w:lineRule="exact"/>
              <w:rPr>
                <w:sz w:val="20"/>
                <w:szCs w:val="20"/>
                <w:color w:val="auto"/>
              </w:rPr>
            </w:pPr>
            <w:r>
              <w:rPr>
                <w:rFonts w:ascii="Arial" w:cs="Arial" w:eastAsia="Arial" w:hAnsi="Arial"/>
                <w:sz w:val="16"/>
                <w:szCs w:val="16"/>
                <w:b w:val="1"/>
                <w:bCs w:val="1"/>
                <w:color w:val="auto"/>
              </w:rPr>
              <w:t>James R.</w:t>
            </w:r>
          </w:p>
        </w:tc>
        <w:tc>
          <w:tcPr>
            <w:tcW w:w="80" w:type="dxa"/>
            <w:vAlign w:val="bottom"/>
          </w:tcPr>
          <w:p>
            <w:pPr>
              <w:spacing w:after="0"/>
              <w:rPr>
                <w:sz w:val="13"/>
                <w:szCs w:val="13"/>
                <w:color w:val="auto"/>
              </w:rPr>
            </w:pPr>
          </w:p>
        </w:tc>
        <w:tc>
          <w:tcPr>
            <w:tcW w:w="9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4"/>
        </w:trPr>
        <w:tc>
          <w:tcPr>
            <w:tcW w:w="1220" w:type="dxa"/>
            <w:vAlign w:val="bottom"/>
          </w:tcPr>
          <w:p>
            <w:pPr>
              <w:ind w:left="140"/>
              <w:spacing w:after="0"/>
              <w:rPr>
                <w:sz w:val="20"/>
                <w:szCs w:val="20"/>
                <w:color w:val="auto"/>
              </w:rPr>
            </w:pPr>
            <w:r>
              <w:rPr>
                <w:rFonts w:ascii="Arial" w:cs="Arial" w:eastAsia="Arial" w:hAnsi="Arial"/>
                <w:sz w:val="16"/>
                <w:szCs w:val="16"/>
                <w:b w:val="1"/>
                <w:bCs w:val="1"/>
                <w:color w:val="auto"/>
              </w:rPr>
              <w:t>Hatfield</w:t>
            </w:r>
          </w:p>
        </w:tc>
        <w:tc>
          <w:tcPr>
            <w:tcW w:w="1040" w:type="dxa"/>
            <w:vAlign w:val="bottom"/>
            <w:gridSpan w:val="2"/>
            <w:vMerge w:val="restart"/>
          </w:tcPr>
          <w:p>
            <w:pPr>
              <w:ind w:left="80"/>
              <w:spacing w:after="0"/>
              <w:rPr>
                <w:sz w:val="20"/>
                <w:szCs w:val="20"/>
                <w:color w:val="auto"/>
              </w:rPr>
            </w:pPr>
            <w:r>
              <w:rPr>
                <w:rFonts w:ascii="Arial" w:cs="Arial" w:eastAsia="Arial" w:hAnsi="Arial"/>
                <w:sz w:val="16"/>
                <w:szCs w:val="16"/>
                <w:color w:val="auto"/>
                <w:w w:val="92"/>
              </w:rPr>
              <w:t>02/17/2015</w:t>
            </w:r>
            <w:r>
              <w:rPr>
                <w:rFonts w:ascii="Arial" w:cs="Arial" w:eastAsia="Arial" w:hAnsi="Arial"/>
                <w:sz w:val="26"/>
                <w:szCs w:val="26"/>
                <w:color w:val="auto"/>
                <w:w w:val="92"/>
                <w:vertAlign w:val="superscript"/>
              </w:rPr>
              <w:t>(4)</w:t>
            </w:r>
          </w:p>
        </w:tc>
        <w:tc>
          <w:tcPr>
            <w:tcW w:w="920" w:type="dxa"/>
            <w:vAlign w:val="bottom"/>
            <w:gridSpan w:val="2"/>
          </w:tcPr>
          <w:p>
            <w:pPr>
              <w:jc w:val="right"/>
              <w:ind w:right="172"/>
              <w:spacing w:after="0"/>
              <w:rPr>
                <w:sz w:val="20"/>
                <w:szCs w:val="20"/>
                <w:color w:val="auto"/>
              </w:rPr>
            </w:pPr>
            <w:r>
              <w:rPr>
                <w:rFonts w:ascii="Arial" w:cs="Arial" w:eastAsia="Arial" w:hAnsi="Arial"/>
                <w:sz w:val="16"/>
                <w:szCs w:val="16"/>
                <w:color w:val="auto"/>
              </w:rPr>
              <w:t>1,779</w:t>
            </w:r>
          </w:p>
        </w:tc>
        <w:tc>
          <w:tcPr>
            <w:tcW w:w="1000" w:type="dxa"/>
            <w:vAlign w:val="bottom"/>
            <w:gridSpan w:val="2"/>
          </w:tcPr>
          <w:p>
            <w:pPr>
              <w:jc w:val="center"/>
              <w:spacing w:after="0"/>
              <w:rPr>
                <w:sz w:val="20"/>
                <w:szCs w:val="20"/>
                <w:color w:val="auto"/>
              </w:rPr>
            </w:pPr>
            <w:r>
              <w:rPr>
                <w:rFonts w:ascii="Arial" w:cs="Arial" w:eastAsia="Arial" w:hAnsi="Arial"/>
                <w:sz w:val="16"/>
                <w:szCs w:val="16"/>
                <w:color w:val="auto"/>
                <w:w w:val="96"/>
              </w:rPr>
              <w:t>355,800</w:t>
            </w:r>
          </w:p>
        </w:tc>
        <w:tc>
          <w:tcPr>
            <w:tcW w:w="1020" w:type="dxa"/>
            <w:vAlign w:val="bottom"/>
          </w:tcPr>
          <w:p>
            <w:pPr>
              <w:ind w:left="220"/>
              <w:spacing w:after="0"/>
              <w:rPr>
                <w:sz w:val="20"/>
                <w:szCs w:val="20"/>
                <w:color w:val="auto"/>
              </w:rPr>
            </w:pPr>
            <w:r>
              <w:rPr>
                <w:rFonts w:ascii="Arial" w:cs="Arial" w:eastAsia="Arial" w:hAnsi="Arial"/>
                <w:sz w:val="16"/>
                <w:szCs w:val="16"/>
                <w:color w:val="auto"/>
              </w:rPr>
              <w:t>711,600</w:t>
            </w:r>
          </w:p>
        </w:tc>
        <w:tc>
          <w:tcPr>
            <w:tcW w:w="840" w:type="dxa"/>
            <w:vAlign w:val="bottom"/>
            <w:vMerge w:val="restart"/>
          </w:tcPr>
          <w:p>
            <w:pPr>
              <w:jc w:val="right"/>
              <w:ind w:right="67"/>
              <w:spacing w:after="0"/>
              <w:rPr>
                <w:sz w:val="20"/>
                <w:szCs w:val="20"/>
                <w:color w:val="auto"/>
              </w:rPr>
            </w:pPr>
            <w:r>
              <w:rPr>
                <w:rFonts w:ascii="Arial" w:cs="Arial" w:eastAsia="Arial" w:hAnsi="Arial"/>
                <w:sz w:val="16"/>
                <w:szCs w:val="16"/>
                <w:color w:val="auto"/>
              </w:rPr>
              <w:t>3,175</w:t>
            </w:r>
          </w:p>
        </w:tc>
        <w:tc>
          <w:tcPr>
            <w:tcW w:w="800" w:type="dxa"/>
            <w:vAlign w:val="bottom"/>
            <w:vMerge w:val="restart"/>
          </w:tcPr>
          <w:p>
            <w:pPr>
              <w:jc w:val="right"/>
              <w:ind w:right="103"/>
              <w:spacing w:after="0"/>
              <w:rPr>
                <w:sz w:val="20"/>
                <w:szCs w:val="20"/>
                <w:color w:val="auto"/>
              </w:rPr>
            </w:pPr>
            <w:r>
              <w:rPr>
                <w:rFonts w:ascii="Arial" w:cs="Arial" w:eastAsia="Arial" w:hAnsi="Arial"/>
                <w:sz w:val="16"/>
                <w:szCs w:val="16"/>
                <w:color w:val="auto"/>
              </w:rPr>
              <w:t>6,350</w:t>
            </w:r>
          </w:p>
        </w:tc>
        <w:tc>
          <w:tcPr>
            <w:tcW w:w="620" w:type="dxa"/>
            <w:vAlign w:val="bottom"/>
            <w:vMerge w:val="restart"/>
          </w:tcPr>
          <w:p>
            <w:pPr>
              <w:jc w:val="center"/>
              <w:ind w:right="23"/>
              <w:spacing w:after="0"/>
              <w:rPr>
                <w:sz w:val="20"/>
                <w:szCs w:val="20"/>
                <w:color w:val="auto"/>
              </w:rPr>
            </w:pPr>
            <w:r>
              <w:rPr>
                <w:rFonts w:ascii="Arial" w:cs="Arial" w:eastAsia="Arial" w:hAnsi="Arial"/>
                <w:sz w:val="16"/>
                <w:szCs w:val="16"/>
                <w:color w:val="auto"/>
                <w:w w:val="98"/>
              </w:rPr>
              <w:t>12,700</w:t>
            </w:r>
          </w:p>
        </w:tc>
        <w:tc>
          <w:tcPr>
            <w:tcW w:w="880" w:type="dxa"/>
            <w:vAlign w:val="bottom"/>
          </w:tcPr>
          <w:p>
            <w:pPr>
              <w:spacing w:after="0"/>
              <w:rPr>
                <w:sz w:val="19"/>
                <w:szCs w:val="19"/>
                <w:color w:val="auto"/>
              </w:rPr>
            </w:pPr>
          </w:p>
        </w:tc>
        <w:tc>
          <w:tcPr>
            <w:tcW w:w="900" w:type="dxa"/>
            <w:vAlign w:val="bottom"/>
            <w:vMerge w:val="restart"/>
          </w:tcPr>
          <w:p>
            <w:pPr>
              <w:jc w:val="right"/>
              <w:spacing w:after="0"/>
              <w:rPr>
                <w:sz w:val="20"/>
                <w:szCs w:val="20"/>
                <w:color w:val="auto"/>
              </w:rPr>
            </w:pPr>
            <w:r>
              <w:rPr>
                <w:rFonts w:ascii="Arial" w:cs="Arial" w:eastAsia="Arial" w:hAnsi="Arial"/>
                <w:sz w:val="16"/>
                <w:szCs w:val="16"/>
                <w:color w:val="auto"/>
              </w:rPr>
              <w:t>412,560</w:t>
            </w:r>
          </w:p>
        </w:tc>
        <w:tc>
          <w:tcPr>
            <w:tcW w:w="0" w:type="dxa"/>
            <w:vAlign w:val="bottom"/>
          </w:tcPr>
          <w:p>
            <w:pPr>
              <w:spacing w:after="0"/>
              <w:rPr>
                <w:sz w:val="1"/>
                <w:szCs w:val="1"/>
                <w:color w:val="auto"/>
              </w:rPr>
            </w:pPr>
          </w:p>
        </w:tc>
      </w:tr>
      <w:tr>
        <w:trPr>
          <w:trHeight w:val="195"/>
        </w:trPr>
        <w:tc>
          <w:tcPr>
            <w:tcW w:w="1220" w:type="dxa"/>
            <w:vAlign w:val="bottom"/>
          </w:tcPr>
          <w:p>
            <w:pPr>
              <w:spacing w:after="0"/>
              <w:rPr>
                <w:sz w:val="16"/>
                <w:szCs w:val="16"/>
                <w:color w:val="auto"/>
              </w:rPr>
            </w:pPr>
          </w:p>
        </w:tc>
        <w:tc>
          <w:tcPr>
            <w:tcW w:w="104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840" w:type="dxa"/>
            <w:vAlign w:val="bottom"/>
            <w:vMerge w:val="continue"/>
          </w:tcPr>
          <w:p>
            <w:pPr>
              <w:spacing w:after="0"/>
              <w:rPr>
                <w:sz w:val="16"/>
                <w:szCs w:val="16"/>
                <w:color w:val="auto"/>
              </w:rPr>
            </w:pPr>
          </w:p>
        </w:tc>
        <w:tc>
          <w:tcPr>
            <w:tcW w:w="800" w:type="dxa"/>
            <w:vAlign w:val="bottom"/>
            <w:vMerge w:val="continue"/>
          </w:tcPr>
          <w:p>
            <w:pPr>
              <w:spacing w:after="0"/>
              <w:rPr>
                <w:sz w:val="16"/>
                <w:szCs w:val="16"/>
                <w:color w:val="auto"/>
              </w:rPr>
            </w:pPr>
          </w:p>
        </w:tc>
        <w:tc>
          <w:tcPr>
            <w:tcW w:w="620" w:type="dxa"/>
            <w:vAlign w:val="bottom"/>
            <w:vMerge w:val="continue"/>
          </w:tcPr>
          <w:p>
            <w:pPr>
              <w:spacing w:after="0"/>
              <w:rPr>
                <w:sz w:val="16"/>
                <w:szCs w:val="16"/>
                <w:color w:val="auto"/>
              </w:rPr>
            </w:pPr>
          </w:p>
        </w:tc>
        <w:tc>
          <w:tcPr>
            <w:tcW w:w="880" w:type="dxa"/>
            <w:vAlign w:val="bottom"/>
          </w:tcPr>
          <w:p>
            <w:pPr>
              <w:spacing w:after="0"/>
              <w:rPr>
                <w:sz w:val="16"/>
                <w:szCs w:val="16"/>
                <w:color w:val="auto"/>
              </w:rPr>
            </w:pPr>
          </w:p>
        </w:tc>
        <w:tc>
          <w:tcPr>
            <w:tcW w:w="90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1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60" w:type="dxa"/>
            <w:vAlign w:val="bottom"/>
          </w:tcPr>
          <w:p>
            <w:pPr>
              <w:spacing w:after="0"/>
              <w:rPr>
                <w:sz w:val="20"/>
                <w:szCs w:val="20"/>
                <w:color w:val="auto"/>
              </w:rPr>
            </w:pPr>
            <w:r>
              <w:rPr>
                <w:rFonts w:ascii="Arial" w:cs="Arial" w:eastAsia="Arial" w:hAnsi="Arial"/>
                <w:sz w:val="16"/>
                <w:szCs w:val="16"/>
                <w:color w:val="auto"/>
              </w:rPr>
              <w:t>(PS)</w:t>
            </w: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880" w:type="dxa"/>
            <w:vAlign w:val="bottom"/>
            <w:vMerge w:val="restart"/>
          </w:tcPr>
          <w:p>
            <w:pPr>
              <w:jc w:val="right"/>
              <w:ind w:right="129"/>
              <w:spacing w:after="0"/>
              <w:rPr>
                <w:sz w:val="20"/>
                <w:szCs w:val="20"/>
                <w:color w:val="auto"/>
              </w:rPr>
            </w:pPr>
            <w:r>
              <w:rPr>
                <w:rFonts w:ascii="Arial" w:cs="Arial" w:eastAsia="Arial" w:hAnsi="Arial"/>
                <w:sz w:val="16"/>
                <w:szCs w:val="16"/>
                <w:color w:val="auto"/>
              </w:rPr>
              <w:t>5,196</w:t>
            </w:r>
          </w:p>
        </w:tc>
        <w:tc>
          <w:tcPr>
            <w:tcW w:w="900" w:type="dxa"/>
            <w:vAlign w:val="bottom"/>
            <w:vMerge w:val="restart"/>
          </w:tcPr>
          <w:p>
            <w:pPr>
              <w:jc w:val="right"/>
              <w:spacing w:after="0"/>
              <w:rPr>
                <w:sz w:val="20"/>
                <w:szCs w:val="20"/>
                <w:color w:val="auto"/>
              </w:rPr>
            </w:pPr>
            <w:r>
              <w:rPr>
                <w:rFonts w:ascii="Arial" w:cs="Arial" w:eastAsia="Arial" w:hAnsi="Arial"/>
                <w:sz w:val="16"/>
                <w:szCs w:val="16"/>
                <w:color w:val="auto"/>
              </w:rPr>
              <w:t>337,584</w:t>
            </w:r>
          </w:p>
        </w:tc>
        <w:tc>
          <w:tcPr>
            <w:tcW w:w="0" w:type="dxa"/>
            <w:vAlign w:val="bottom"/>
          </w:tcPr>
          <w:p>
            <w:pPr>
              <w:spacing w:after="0"/>
              <w:rPr>
                <w:sz w:val="1"/>
                <w:szCs w:val="1"/>
                <w:color w:val="auto"/>
              </w:rPr>
            </w:pPr>
          </w:p>
        </w:tc>
      </w:tr>
      <w:tr>
        <w:trPr>
          <w:trHeight w:val="229"/>
        </w:trPr>
        <w:tc>
          <w:tcPr>
            <w:tcW w:w="1220" w:type="dxa"/>
            <w:vAlign w:val="bottom"/>
          </w:tcPr>
          <w:p>
            <w:pPr>
              <w:spacing w:after="0"/>
              <w:rPr>
                <w:sz w:val="19"/>
                <w:szCs w:val="19"/>
                <w:color w:val="auto"/>
              </w:rPr>
            </w:pPr>
          </w:p>
        </w:tc>
        <w:tc>
          <w:tcPr>
            <w:tcW w:w="1040" w:type="dxa"/>
            <w:vAlign w:val="bottom"/>
            <w:gridSpan w:val="2"/>
          </w:tcPr>
          <w:p>
            <w:pPr>
              <w:ind w:left="80"/>
              <w:spacing w:after="0" w:line="230" w:lineRule="exact"/>
              <w:rPr>
                <w:sz w:val="20"/>
                <w:szCs w:val="20"/>
                <w:color w:val="auto"/>
              </w:rPr>
            </w:pPr>
            <w:r>
              <w:rPr>
                <w:rFonts w:ascii="Arial" w:cs="Arial" w:eastAsia="Arial" w:hAnsi="Arial"/>
                <w:sz w:val="16"/>
                <w:szCs w:val="16"/>
                <w:color w:val="auto"/>
                <w:w w:val="92"/>
              </w:rPr>
              <w:t>02/17/2015</w:t>
            </w:r>
            <w:r>
              <w:rPr>
                <w:rFonts w:ascii="Arial" w:cs="Arial" w:eastAsia="Arial" w:hAnsi="Arial"/>
                <w:sz w:val="26"/>
                <w:szCs w:val="26"/>
                <w:color w:val="auto"/>
                <w:w w:val="92"/>
                <w:vertAlign w:val="superscript"/>
              </w:rPr>
              <w:t>(5)</w:t>
            </w:r>
          </w:p>
        </w:tc>
        <w:tc>
          <w:tcPr>
            <w:tcW w:w="1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880" w:type="dxa"/>
            <w:vAlign w:val="bottom"/>
            <w:vMerge w:val="continue"/>
          </w:tcPr>
          <w:p>
            <w:pPr>
              <w:spacing w:after="0"/>
              <w:rPr>
                <w:sz w:val="19"/>
                <w:szCs w:val="19"/>
                <w:color w:val="auto"/>
              </w:rPr>
            </w:pPr>
          </w:p>
        </w:tc>
        <w:tc>
          <w:tcPr>
            <w:tcW w:w="90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01"/>
        </w:trPr>
        <w:tc>
          <w:tcPr>
            <w:tcW w:w="1220" w:type="dxa"/>
            <w:vAlign w:val="bottom"/>
            <w:tcBorders>
              <w:bottom w:val="single" w:sz="8" w:color="646466"/>
            </w:tcBorders>
          </w:tcPr>
          <w:p>
            <w:pPr>
              <w:spacing w:after="0"/>
              <w:rPr>
                <w:sz w:val="17"/>
                <w:szCs w:val="17"/>
                <w:color w:val="auto"/>
              </w:rPr>
            </w:pPr>
          </w:p>
        </w:tc>
        <w:tc>
          <w:tcPr>
            <w:tcW w:w="80" w:type="dxa"/>
            <w:vAlign w:val="bottom"/>
            <w:tcBorders>
              <w:bottom w:val="single" w:sz="8" w:color="646466"/>
            </w:tcBorders>
          </w:tcPr>
          <w:p>
            <w:pPr>
              <w:spacing w:after="0"/>
              <w:rPr>
                <w:sz w:val="17"/>
                <w:szCs w:val="17"/>
                <w:color w:val="auto"/>
              </w:rPr>
            </w:pPr>
          </w:p>
        </w:tc>
        <w:tc>
          <w:tcPr>
            <w:tcW w:w="960" w:type="dxa"/>
            <w:vAlign w:val="bottom"/>
            <w:tcBorders>
              <w:bottom w:val="single" w:sz="8" w:color="646466"/>
            </w:tcBorders>
          </w:tcPr>
          <w:p>
            <w:pPr>
              <w:spacing w:after="0"/>
              <w:rPr>
                <w:sz w:val="20"/>
                <w:szCs w:val="20"/>
                <w:color w:val="auto"/>
              </w:rPr>
            </w:pPr>
            <w:r>
              <w:rPr>
                <w:rFonts w:ascii="Arial" w:cs="Arial" w:eastAsia="Arial" w:hAnsi="Arial"/>
                <w:sz w:val="16"/>
                <w:szCs w:val="16"/>
                <w:color w:val="auto"/>
              </w:rPr>
              <w:t>(RSU)</w:t>
            </w:r>
          </w:p>
        </w:tc>
        <w:tc>
          <w:tcPr>
            <w:tcW w:w="100" w:type="dxa"/>
            <w:vAlign w:val="bottom"/>
            <w:tcBorders>
              <w:bottom w:val="single" w:sz="8" w:color="646466"/>
            </w:tcBorders>
          </w:tcPr>
          <w:p>
            <w:pPr>
              <w:spacing w:after="0"/>
              <w:rPr>
                <w:sz w:val="17"/>
                <w:szCs w:val="17"/>
                <w:color w:val="auto"/>
              </w:rPr>
            </w:pPr>
          </w:p>
        </w:tc>
        <w:tc>
          <w:tcPr>
            <w:tcW w:w="820" w:type="dxa"/>
            <w:vAlign w:val="bottom"/>
            <w:tcBorders>
              <w:bottom w:val="single" w:sz="8" w:color="646466"/>
            </w:tcBorders>
          </w:tcPr>
          <w:p>
            <w:pPr>
              <w:spacing w:after="0"/>
              <w:rPr>
                <w:sz w:val="17"/>
                <w:szCs w:val="17"/>
                <w:color w:val="auto"/>
              </w:rPr>
            </w:pPr>
          </w:p>
        </w:tc>
        <w:tc>
          <w:tcPr>
            <w:tcW w:w="80" w:type="dxa"/>
            <w:vAlign w:val="bottom"/>
            <w:tcBorders>
              <w:bottom w:val="single" w:sz="8" w:color="646466"/>
            </w:tcBorders>
          </w:tcPr>
          <w:p>
            <w:pPr>
              <w:spacing w:after="0"/>
              <w:rPr>
                <w:sz w:val="17"/>
                <w:szCs w:val="17"/>
                <w:color w:val="auto"/>
              </w:rPr>
            </w:pPr>
          </w:p>
        </w:tc>
        <w:tc>
          <w:tcPr>
            <w:tcW w:w="920" w:type="dxa"/>
            <w:vAlign w:val="bottom"/>
            <w:tcBorders>
              <w:bottom w:val="single" w:sz="8" w:color="646466"/>
            </w:tcBorders>
          </w:tcPr>
          <w:p>
            <w:pPr>
              <w:spacing w:after="0"/>
              <w:rPr>
                <w:sz w:val="17"/>
                <w:szCs w:val="17"/>
                <w:color w:val="auto"/>
              </w:rPr>
            </w:pPr>
          </w:p>
        </w:tc>
        <w:tc>
          <w:tcPr>
            <w:tcW w:w="1020" w:type="dxa"/>
            <w:vAlign w:val="bottom"/>
            <w:tcBorders>
              <w:bottom w:val="single" w:sz="8" w:color="646466"/>
            </w:tcBorders>
          </w:tcPr>
          <w:p>
            <w:pPr>
              <w:spacing w:after="0"/>
              <w:rPr>
                <w:sz w:val="17"/>
                <w:szCs w:val="17"/>
                <w:color w:val="auto"/>
              </w:rPr>
            </w:pPr>
          </w:p>
        </w:tc>
        <w:tc>
          <w:tcPr>
            <w:tcW w:w="84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620" w:type="dxa"/>
            <w:vAlign w:val="bottom"/>
            <w:tcBorders>
              <w:bottom w:val="single" w:sz="8" w:color="646466"/>
            </w:tcBorders>
          </w:tcPr>
          <w:p>
            <w:pPr>
              <w:spacing w:after="0"/>
              <w:rPr>
                <w:sz w:val="17"/>
                <w:szCs w:val="17"/>
                <w:color w:val="auto"/>
              </w:rPr>
            </w:pPr>
          </w:p>
        </w:tc>
        <w:tc>
          <w:tcPr>
            <w:tcW w:w="880" w:type="dxa"/>
            <w:vAlign w:val="bottom"/>
            <w:tcBorders>
              <w:bottom w:val="single" w:sz="8" w:color="646466"/>
            </w:tcBorders>
          </w:tcPr>
          <w:p>
            <w:pPr>
              <w:spacing w:after="0"/>
              <w:rPr>
                <w:sz w:val="17"/>
                <w:szCs w:val="17"/>
                <w:color w:val="auto"/>
              </w:rPr>
            </w:pPr>
          </w:p>
        </w:tc>
        <w:tc>
          <w:tcPr>
            <w:tcW w:w="900" w:type="dxa"/>
            <w:vAlign w:val="bottom"/>
            <w:tcBorders>
              <w:bottom w:val="single" w:sz="8" w:color="646466"/>
            </w:tcBorders>
          </w:tcPr>
          <w:p>
            <w:pPr>
              <w:spacing w:after="0"/>
              <w:rPr>
                <w:sz w:val="17"/>
                <w:szCs w:val="17"/>
                <w:color w:val="auto"/>
              </w:rPr>
            </w:pPr>
          </w:p>
        </w:tc>
        <w:tc>
          <w:tcPr>
            <w:tcW w:w="0" w:type="dxa"/>
            <w:vAlign w:val="bottom"/>
          </w:tcPr>
          <w:p>
            <w:pPr>
              <w:spacing w:after="0"/>
              <w:rPr>
                <w:sz w:val="1"/>
                <w:szCs w:val="1"/>
                <w:color w:val="auto"/>
              </w:rPr>
            </w:pPr>
          </w:p>
        </w:tc>
      </w:tr>
      <w:tr>
        <w:trPr>
          <w:trHeight w:val="157"/>
        </w:trPr>
        <w:tc>
          <w:tcPr>
            <w:tcW w:w="1220" w:type="dxa"/>
            <w:vAlign w:val="bottom"/>
            <w:shd w:val="clear" w:color="auto" w:fill="E3E5EB"/>
          </w:tcPr>
          <w:p>
            <w:pPr>
              <w:spacing w:after="0" w:line="157" w:lineRule="exact"/>
              <w:rPr>
                <w:sz w:val="20"/>
                <w:szCs w:val="20"/>
                <w:color w:val="auto"/>
              </w:rPr>
            </w:pPr>
            <w:r>
              <w:rPr>
                <w:rFonts w:ascii="Arial" w:cs="Arial" w:eastAsia="Arial" w:hAnsi="Arial"/>
                <w:sz w:val="16"/>
                <w:szCs w:val="16"/>
                <w:b w:val="1"/>
                <w:bCs w:val="1"/>
                <w:color w:val="auto"/>
              </w:rPr>
              <w:t>Randall K.</w:t>
            </w:r>
          </w:p>
        </w:tc>
        <w:tc>
          <w:tcPr>
            <w:tcW w:w="80" w:type="dxa"/>
            <w:vAlign w:val="bottom"/>
            <w:shd w:val="clear" w:color="auto" w:fill="E3E5EB"/>
          </w:tcPr>
          <w:p>
            <w:pPr>
              <w:spacing w:after="0"/>
              <w:rPr>
                <w:sz w:val="13"/>
                <w:szCs w:val="13"/>
                <w:color w:val="auto"/>
              </w:rPr>
            </w:pPr>
          </w:p>
        </w:tc>
        <w:tc>
          <w:tcPr>
            <w:tcW w:w="960" w:type="dxa"/>
            <w:vAlign w:val="bottom"/>
            <w:shd w:val="clear" w:color="auto" w:fill="E3E5EB"/>
          </w:tcPr>
          <w:p>
            <w:pPr>
              <w:spacing w:after="0"/>
              <w:rPr>
                <w:sz w:val="13"/>
                <w:szCs w:val="13"/>
                <w:color w:val="auto"/>
              </w:rPr>
            </w:pPr>
          </w:p>
        </w:tc>
        <w:tc>
          <w:tcPr>
            <w:tcW w:w="100" w:type="dxa"/>
            <w:vAlign w:val="bottom"/>
            <w:shd w:val="clear" w:color="auto" w:fill="E3E5EB"/>
          </w:tcPr>
          <w:p>
            <w:pPr>
              <w:spacing w:after="0"/>
              <w:rPr>
                <w:sz w:val="13"/>
                <w:szCs w:val="13"/>
                <w:color w:val="auto"/>
              </w:rPr>
            </w:pPr>
          </w:p>
        </w:tc>
        <w:tc>
          <w:tcPr>
            <w:tcW w:w="820" w:type="dxa"/>
            <w:vAlign w:val="bottom"/>
            <w:shd w:val="clear" w:color="auto" w:fill="E3E5EB"/>
          </w:tcPr>
          <w:p>
            <w:pPr>
              <w:spacing w:after="0"/>
              <w:rPr>
                <w:sz w:val="13"/>
                <w:szCs w:val="13"/>
                <w:color w:val="auto"/>
              </w:rPr>
            </w:pPr>
          </w:p>
        </w:tc>
        <w:tc>
          <w:tcPr>
            <w:tcW w:w="80" w:type="dxa"/>
            <w:vAlign w:val="bottom"/>
            <w:shd w:val="clear" w:color="auto" w:fill="E3E5EB"/>
          </w:tcPr>
          <w:p>
            <w:pPr>
              <w:spacing w:after="0"/>
              <w:rPr>
                <w:sz w:val="13"/>
                <w:szCs w:val="13"/>
                <w:color w:val="auto"/>
              </w:rPr>
            </w:pPr>
          </w:p>
        </w:tc>
        <w:tc>
          <w:tcPr>
            <w:tcW w:w="920" w:type="dxa"/>
            <w:vAlign w:val="bottom"/>
            <w:shd w:val="clear" w:color="auto" w:fill="E3E5EB"/>
          </w:tcPr>
          <w:p>
            <w:pPr>
              <w:spacing w:after="0"/>
              <w:rPr>
                <w:sz w:val="13"/>
                <w:szCs w:val="13"/>
                <w:color w:val="auto"/>
              </w:rPr>
            </w:pPr>
          </w:p>
        </w:tc>
        <w:tc>
          <w:tcPr>
            <w:tcW w:w="1020" w:type="dxa"/>
            <w:vAlign w:val="bottom"/>
            <w:shd w:val="clear" w:color="auto" w:fill="E3E5EB"/>
          </w:tcPr>
          <w:p>
            <w:pPr>
              <w:spacing w:after="0"/>
              <w:rPr>
                <w:sz w:val="13"/>
                <w:szCs w:val="13"/>
                <w:color w:val="auto"/>
              </w:rPr>
            </w:pPr>
          </w:p>
        </w:tc>
        <w:tc>
          <w:tcPr>
            <w:tcW w:w="840" w:type="dxa"/>
            <w:vAlign w:val="bottom"/>
            <w:shd w:val="clear" w:color="auto" w:fill="E3E5EB"/>
          </w:tcPr>
          <w:p>
            <w:pPr>
              <w:spacing w:after="0"/>
              <w:rPr>
                <w:sz w:val="13"/>
                <w:szCs w:val="13"/>
                <w:color w:val="auto"/>
              </w:rPr>
            </w:pPr>
          </w:p>
        </w:tc>
        <w:tc>
          <w:tcPr>
            <w:tcW w:w="800" w:type="dxa"/>
            <w:vAlign w:val="bottom"/>
            <w:shd w:val="clear" w:color="auto" w:fill="E3E5EB"/>
          </w:tcPr>
          <w:p>
            <w:pPr>
              <w:spacing w:after="0"/>
              <w:rPr>
                <w:sz w:val="13"/>
                <w:szCs w:val="13"/>
                <w:color w:val="auto"/>
              </w:rPr>
            </w:pPr>
          </w:p>
        </w:tc>
        <w:tc>
          <w:tcPr>
            <w:tcW w:w="620" w:type="dxa"/>
            <w:vAlign w:val="bottom"/>
            <w:shd w:val="clear" w:color="auto" w:fill="E3E5EB"/>
          </w:tcPr>
          <w:p>
            <w:pPr>
              <w:spacing w:after="0"/>
              <w:rPr>
                <w:sz w:val="13"/>
                <w:szCs w:val="13"/>
                <w:color w:val="auto"/>
              </w:rPr>
            </w:pPr>
          </w:p>
        </w:tc>
        <w:tc>
          <w:tcPr>
            <w:tcW w:w="880" w:type="dxa"/>
            <w:vAlign w:val="bottom"/>
            <w:shd w:val="clear" w:color="auto" w:fill="E3E5EB"/>
          </w:tcPr>
          <w:p>
            <w:pPr>
              <w:spacing w:after="0"/>
              <w:rPr>
                <w:sz w:val="13"/>
                <w:szCs w:val="13"/>
                <w:color w:val="auto"/>
              </w:rPr>
            </w:pPr>
          </w:p>
        </w:tc>
        <w:tc>
          <w:tcPr>
            <w:tcW w:w="900" w:type="dxa"/>
            <w:vAlign w:val="bottom"/>
            <w:shd w:val="clear" w:color="auto" w:fill="E3E5EB"/>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20" w:type="dxa"/>
            <w:vAlign w:val="bottom"/>
            <w:shd w:val="clear" w:color="auto" w:fill="E3E5EB"/>
          </w:tcPr>
          <w:p>
            <w:pPr>
              <w:ind w:left="140"/>
              <w:spacing w:after="0"/>
              <w:rPr>
                <w:sz w:val="20"/>
                <w:szCs w:val="20"/>
                <w:color w:val="auto"/>
              </w:rPr>
            </w:pPr>
            <w:r>
              <w:rPr>
                <w:rFonts w:ascii="Arial" w:cs="Arial" w:eastAsia="Arial" w:hAnsi="Arial"/>
                <w:sz w:val="16"/>
                <w:szCs w:val="16"/>
                <w:b w:val="1"/>
                <w:bCs w:val="1"/>
                <w:color w:val="auto"/>
              </w:rPr>
              <w:t>Edington</w:t>
            </w:r>
          </w:p>
        </w:tc>
        <w:tc>
          <w:tcPr>
            <w:tcW w:w="80" w:type="dxa"/>
            <w:vAlign w:val="bottom"/>
            <w:shd w:val="clear" w:color="auto" w:fill="E3E5EB"/>
          </w:tcPr>
          <w:p>
            <w:pPr>
              <w:spacing w:after="0"/>
              <w:rPr>
                <w:sz w:val="17"/>
                <w:szCs w:val="17"/>
                <w:color w:val="auto"/>
              </w:rPr>
            </w:pPr>
          </w:p>
        </w:tc>
        <w:tc>
          <w:tcPr>
            <w:tcW w:w="960" w:type="dxa"/>
            <w:vAlign w:val="bottom"/>
            <w:shd w:val="clear" w:color="auto" w:fill="E3E5EB"/>
          </w:tcPr>
          <w:p>
            <w:pPr>
              <w:spacing w:after="0"/>
              <w:rPr>
                <w:sz w:val="17"/>
                <w:szCs w:val="17"/>
                <w:color w:val="auto"/>
              </w:rPr>
            </w:pPr>
          </w:p>
        </w:tc>
        <w:tc>
          <w:tcPr>
            <w:tcW w:w="920" w:type="dxa"/>
            <w:vAlign w:val="bottom"/>
            <w:gridSpan w:val="2"/>
            <w:shd w:val="clear" w:color="auto" w:fill="E3E5EB"/>
          </w:tcPr>
          <w:p>
            <w:pPr>
              <w:jc w:val="right"/>
              <w:ind w:right="172"/>
              <w:spacing w:after="0"/>
              <w:rPr>
                <w:sz w:val="20"/>
                <w:szCs w:val="20"/>
                <w:color w:val="auto"/>
              </w:rPr>
            </w:pPr>
            <w:r>
              <w:rPr>
                <w:rFonts w:ascii="Arial" w:cs="Arial" w:eastAsia="Arial" w:hAnsi="Arial"/>
                <w:sz w:val="16"/>
                <w:szCs w:val="16"/>
                <w:color w:val="auto"/>
              </w:rPr>
              <w:t>3,413</w:t>
            </w:r>
          </w:p>
        </w:tc>
        <w:tc>
          <w:tcPr>
            <w:tcW w:w="1000" w:type="dxa"/>
            <w:vAlign w:val="bottom"/>
            <w:gridSpan w:val="2"/>
            <w:shd w:val="clear" w:color="auto" w:fill="E3E5EB"/>
          </w:tcPr>
          <w:p>
            <w:pPr>
              <w:jc w:val="right"/>
              <w:ind w:right="84"/>
              <w:spacing w:after="0"/>
              <w:rPr>
                <w:sz w:val="20"/>
                <w:szCs w:val="20"/>
                <w:color w:val="auto"/>
              </w:rPr>
            </w:pPr>
            <w:r>
              <w:rPr>
                <w:rFonts w:ascii="Arial" w:cs="Arial" w:eastAsia="Arial" w:hAnsi="Arial"/>
                <w:sz w:val="16"/>
                <w:szCs w:val="16"/>
                <w:color w:val="auto"/>
              </w:rPr>
              <w:t>682,500</w:t>
            </w:r>
          </w:p>
        </w:tc>
        <w:tc>
          <w:tcPr>
            <w:tcW w:w="1020" w:type="dxa"/>
            <w:vAlign w:val="bottom"/>
            <w:shd w:val="clear" w:color="auto" w:fill="E3E5EB"/>
          </w:tcPr>
          <w:p>
            <w:pPr>
              <w:jc w:val="right"/>
              <w:ind w:right="124"/>
              <w:spacing w:after="0"/>
              <w:rPr>
                <w:sz w:val="20"/>
                <w:szCs w:val="20"/>
                <w:color w:val="auto"/>
              </w:rPr>
            </w:pPr>
            <w:r>
              <w:rPr>
                <w:rFonts w:ascii="Arial" w:cs="Arial" w:eastAsia="Arial" w:hAnsi="Arial"/>
                <w:sz w:val="16"/>
                <w:szCs w:val="16"/>
                <w:color w:val="auto"/>
              </w:rPr>
              <w:t>1,365,000</w:t>
            </w:r>
          </w:p>
        </w:tc>
        <w:tc>
          <w:tcPr>
            <w:tcW w:w="840" w:type="dxa"/>
            <w:vAlign w:val="bottom"/>
            <w:vMerge w:val="restart"/>
            <w:shd w:val="clear" w:color="auto" w:fill="E3E5EB"/>
          </w:tcPr>
          <w:p>
            <w:pPr>
              <w:jc w:val="right"/>
              <w:ind w:right="67"/>
              <w:spacing w:after="0"/>
              <w:rPr>
                <w:sz w:val="20"/>
                <w:szCs w:val="20"/>
                <w:color w:val="auto"/>
              </w:rPr>
            </w:pPr>
            <w:r>
              <w:rPr>
                <w:rFonts w:ascii="Arial" w:cs="Arial" w:eastAsia="Arial" w:hAnsi="Arial"/>
                <w:sz w:val="16"/>
                <w:szCs w:val="16"/>
                <w:color w:val="auto"/>
              </w:rPr>
              <w:t>2,540</w:t>
            </w:r>
          </w:p>
        </w:tc>
        <w:tc>
          <w:tcPr>
            <w:tcW w:w="800" w:type="dxa"/>
            <w:vAlign w:val="bottom"/>
            <w:vMerge w:val="restart"/>
            <w:shd w:val="clear" w:color="auto" w:fill="E3E5EB"/>
          </w:tcPr>
          <w:p>
            <w:pPr>
              <w:jc w:val="right"/>
              <w:ind w:right="103"/>
              <w:spacing w:after="0"/>
              <w:rPr>
                <w:sz w:val="20"/>
                <w:szCs w:val="20"/>
                <w:color w:val="auto"/>
              </w:rPr>
            </w:pPr>
            <w:r>
              <w:rPr>
                <w:rFonts w:ascii="Arial" w:cs="Arial" w:eastAsia="Arial" w:hAnsi="Arial"/>
                <w:sz w:val="16"/>
                <w:szCs w:val="16"/>
                <w:color w:val="auto"/>
              </w:rPr>
              <w:t>5,080</w:t>
            </w:r>
          </w:p>
        </w:tc>
        <w:tc>
          <w:tcPr>
            <w:tcW w:w="620" w:type="dxa"/>
            <w:vAlign w:val="bottom"/>
            <w:vMerge w:val="restart"/>
            <w:shd w:val="clear" w:color="auto" w:fill="E3E5EB"/>
          </w:tcPr>
          <w:p>
            <w:pPr>
              <w:jc w:val="center"/>
              <w:ind w:right="23"/>
              <w:spacing w:after="0"/>
              <w:rPr>
                <w:sz w:val="20"/>
                <w:szCs w:val="20"/>
                <w:color w:val="auto"/>
              </w:rPr>
            </w:pPr>
            <w:r>
              <w:rPr>
                <w:rFonts w:ascii="Arial" w:cs="Arial" w:eastAsia="Arial" w:hAnsi="Arial"/>
                <w:sz w:val="16"/>
                <w:szCs w:val="16"/>
                <w:color w:val="auto"/>
                <w:w w:val="98"/>
              </w:rPr>
              <w:t>10,160</w:t>
            </w:r>
          </w:p>
        </w:tc>
        <w:tc>
          <w:tcPr>
            <w:tcW w:w="880" w:type="dxa"/>
            <w:vAlign w:val="bottom"/>
            <w:shd w:val="clear" w:color="auto" w:fill="E3E5EB"/>
          </w:tcPr>
          <w:p>
            <w:pPr>
              <w:spacing w:after="0"/>
              <w:rPr>
                <w:sz w:val="17"/>
                <w:szCs w:val="17"/>
                <w:color w:val="auto"/>
              </w:rPr>
            </w:pPr>
          </w:p>
        </w:tc>
        <w:tc>
          <w:tcPr>
            <w:tcW w:w="900" w:type="dxa"/>
            <w:vAlign w:val="bottom"/>
            <w:vMerge w:val="restart"/>
            <w:shd w:val="clear" w:color="auto" w:fill="E3E5EB"/>
          </w:tcPr>
          <w:p>
            <w:pPr>
              <w:jc w:val="right"/>
              <w:spacing w:after="0"/>
              <w:rPr>
                <w:sz w:val="20"/>
                <w:szCs w:val="20"/>
                <w:color w:val="auto"/>
              </w:rPr>
            </w:pPr>
            <w:r>
              <w:rPr>
                <w:rFonts w:ascii="Arial" w:cs="Arial" w:eastAsia="Arial" w:hAnsi="Arial"/>
                <w:sz w:val="16"/>
                <w:szCs w:val="16"/>
                <w:color w:val="auto"/>
              </w:rPr>
              <w:t>330,048</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line="221" w:lineRule="exact"/>
              <w:rPr>
                <w:sz w:val="20"/>
                <w:szCs w:val="20"/>
                <w:color w:val="auto"/>
              </w:rPr>
            </w:pPr>
            <w:r>
              <w:rPr>
                <w:rFonts w:ascii="Arial" w:cs="Arial" w:eastAsia="Arial" w:hAnsi="Arial"/>
                <w:sz w:val="15"/>
                <w:szCs w:val="15"/>
                <w:color w:val="auto"/>
                <w:w w:val="98"/>
              </w:rPr>
              <w:t>02/17/2015</w:t>
            </w:r>
            <w:r>
              <w:rPr>
                <w:rFonts w:ascii="Arial" w:cs="Arial" w:eastAsia="Arial" w:hAnsi="Arial"/>
                <w:sz w:val="25"/>
                <w:szCs w:val="25"/>
                <w:color w:val="auto"/>
                <w:w w:val="98"/>
                <w:vertAlign w:val="superscript"/>
              </w:rPr>
              <w:t>(4)</w:t>
            </w: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vMerge w:val="continue"/>
            <w:shd w:val="clear" w:color="auto" w:fill="E3E5EB"/>
          </w:tcPr>
          <w:p>
            <w:pPr>
              <w:spacing w:after="0"/>
              <w:rPr>
                <w:sz w:val="19"/>
                <w:szCs w:val="19"/>
                <w:color w:val="auto"/>
              </w:rPr>
            </w:pPr>
          </w:p>
        </w:tc>
        <w:tc>
          <w:tcPr>
            <w:tcW w:w="800" w:type="dxa"/>
            <w:vAlign w:val="bottom"/>
            <w:vMerge w:val="continue"/>
            <w:shd w:val="clear" w:color="auto" w:fill="E3E5EB"/>
          </w:tcPr>
          <w:p>
            <w:pPr>
              <w:spacing w:after="0"/>
              <w:rPr>
                <w:sz w:val="19"/>
                <w:szCs w:val="19"/>
                <w:color w:val="auto"/>
              </w:rPr>
            </w:pPr>
          </w:p>
        </w:tc>
        <w:tc>
          <w:tcPr>
            <w:tcW w:w="620" w:type="dxa"/>
            <w:vAlign w:val="bottom"/>
            <w:vMerge w:val="continue"/>
            <w:shd w:val="clear" w:color="auto" w:fill="E3E5EB"/>
          </w:tcPr>
          <w:p>
            <w:pPr>
              <w:spacing w:after="0"/>
              <w:rPr>
                <w:sz w:val="19"/>
                <w:szCs w:val="19"/>
                <w:color w:val="auto"/>
              </w:rPr>
            </w:pPr>
          </w:p>
        </w:tc>
        <w:tc>
          <w:tcPr>
            <w:tcW w:w="880" w:type="dxa"/>
            <w:vAlign w:val="bottom"/>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60" w:type="dxa"/>
            <w:vAlign w:val="bottom"/>
            <w:shd w:val="clear" w:color="auto" w:fill="E3E5EB"/>
          </w:tcPr>
          <w:p>
            <w:pPr>
              <w:spacing w:after="0"/>
              <w:rPr>
                <w:sz w:val="20"/>
                <w:szCs w:val="20"/>
                <w:color w:val="auto"/>
              </w:rPr>
            </w:pPr>
            <w:r>
              <w:rPr>
                <w:rFonts w:ascii="Arial" w:cs="Arial" w:eastAsia="Arial" w:hAnsi="Arial"/>
                <w:sz w:val="16"/>
                <w:szCs w:val="16"/>
                <w:color w:val="auto"/>
              </w:rPr>
              <w:t>(PS)</w:t>
            </w:r>
          </w:p>
        </w:tc>
        <w:tc>
          <w:tcPr>
            <w:tcW w:w="100" w:type="dxa"/>
            <w:vAlign w:val="bottom"/>
            <w:shd w:val="clear" w:color="auto" w:fill="E3E5EB"/>
          </w:tcPr>
          <w:p>
            <w:pPr>
              <w:spacing w:after="0"/>
              <w:rPr>
                <w:sz w:val="16"/>
                <w:szCs w:val="16"/>
                <w:color w:val="auto"/>
              </w:rPr>
            </w:pPr>
          </w:p>
        </w:tc>
        <w:tc>
          <w:tcPr>
            <w:tcW w:w="8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20" w:type="dxa"/>
            <w:vAlign w:val="bottom"/>
            <w:shd w:val="clear" w:color="auto" w:fill="E3E5EB"/>
          </w:tcPr>
          <w:p>
            <w:pPr>
              <w:spacing w:after="0"/>
              <w:rPr>
                <w:sz w:val="16"/>
                <w:szCs w:val="16"/>
                <w:color w:val="auto"/>
              </w:rPr>
            </w:pPr>
          </w:p>
        </w:tc>
        <w:tc>
          <w:tcPr>
            <w:tcW w:w="1020" w:type="dxa"/>
            <w:vAlign w:val="bottom"/>
            <w:shd w:val="clear" w:color="auto" w:fill="E3E5EB"/>
          </w:tcPr>
          <w:p>
            <w:pPr>
              <w:spacing w:after="0"/>
              <w:rPr>
                <w:sz w:val="16"/>
                <w:szCs w:val="16"/>
                <w:color w:val="auto"/>
              </w:rPr>
            </w:pPr>
          </w:p>
        </w:tc>
        <w:tc>
          <w:tcPr>
            <w:tcW w:w="840" w:type="dxa"/>
            <w:vAlign w:val="bottom"/>
            <w:shd w:val="clear" w:color="auto" w:fill="E3E5EB"/>
          </w:tcPr>
          <w:p>
            <w:pPr>
              <w:spacing w:after="0"/>
              <w:rPr>
                <w:sz w:val="16"/>
                <w:szCs w:val="16"/>
                <w:color w:val="auto"/>
              </w:rPr>
            </w:pPr>
          </w:p>
        </w:tc>
        <w:tc>
          <w:tcPr>
            <w:tcW w:w="800" w:type="dxa"/>
            <w:vAlign w:val="bottom"/>
            <w:shd w:val="clear" w:color="auto" w:fill="E3E5EB"/>
          </w:tcPr>
          <w:p>
            <w:pPr>
              <w:spacing w:after="0"/>
              <w:rPr>
                <w:sz w:val="16"/>
                <w:szCs w:val="16"/>
                <w:color w:val="auto"/>
              </w:rPr>
            </w:pPr>
          </w:p>
        </w:tc>
        <w:tc>
          <w:tcPr>
            <w:tcW w:w="620" w:type="dxa"/>
            <w:vAlign w:val="bottom"/>
            <w:shd w:val="clear" w:color="auto" w:fill="E3E5EB"/>
          </w:tcPr>
          <w:p>
            <w:pPr>
              <w:spacing w:after="0"/>
              <w:rPr>
                <w:sz w:val="16"/>
                <w:szCs w:val="16"/>
                <w:color w:val="auto"/>
              </w:rPr>
            </w:pPr>
          </w:p>
        </w:tc>
        <w:tc>
          <w:tcPr>
            <w:tcW w:w="880" w:type="dxa"/>
            <w:vAlign w:val="bottom"/>
            <w:vMerge w:val="restart"/>
            <w:shd w:val="clear" w:color="auto" w:fill="E3E5EB"/>
          </w:tcPr>
          <w:p>
            <w:pPr>
              <w:jc w:val="right"/>
              <w:ind w:right="129"/>
              <w:spacing w:after="0"/>
              <w:rPr>
                <w:sz w:val="20"/>
                <w:szCs w:val="20"/>
                <w:color w:val="auto"/>
              </w:rPr>
            </w:pPr>
            <w:r>
              <w:rPr>
                <w:rFonts w:ascii="Arial" w:cs="Arial" w:eastAsia="Arial" w:hAnsi="Arial"/>
                <w:sz w:val="16"/>
                <w:szCs w:val="16"/>
                <w:color w:val="auto"/>
              </w:rPr>
              <w:t>4,156</w:t>
            </w:r>
          </w:p>
        </w:tc>
        <w:tc>
          <w:tcPr>
            <w:tcW w:w="900" w:type="dxa"/>
            <w:vAlign w:val="bottom"/>
            <w:vMerge w:val="restart"/>
            <w:shd w:val="clear" w:color="auto" w:fill="E3E5EB"/>
          </w:tcPr>
          <w:p>
            <w:pPr>
              <w:jc w:val="right"/>
              <w:spacing w:after="0"/>
              <w:rPr>
                <w:sz w:val="20"/>
                <w:szCs w:val="20"/>
                <w:color w:val="auto"/>
              </w:rPr>
            </w:pPr>
            <w:r>
              <w:rPr>
                <w:rFonts w:ascii="Arial" w:cs="Arial" w:eastAsia="Arial" w:hAnsi="Arial"/>
                <w:sz w:val="16"/>
                <w:szCs w:val="16"/>
                <w:color w:val="auto"/>
              </w:rPr>
              <w:t>270,015</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line="221" w:lineRule="exact"/>
              <w:rPr>
                <w:sz w:val="20"/>
                <w:szCs w:val="20"/>
                <w:color w:val="auto"/>
              </w:rPr>
            </w:pPr>
            <w:r>
              <w:rPr>
                <w:rFonts w:ascii="Arial" w:cs="Arial" w:eastAsia="Arial" w:hAnsi="Arial"/>
                <w:sz w:val="15"/>
                <w:szCs w:val="15"/>
                <w:color w:val="auto"/>
                <w:w w:val="98"/>
              </w:rPr>
              <w:t>02/17/2015</w:t>
            </w:r>
            <w:r>
              <w:rPr>
                <w:rFonts w:ascii="Arial" w:cs="Arial" w:eastAsia="Arial" w:hAnsi="Arial"/>
                <w:sz w:val="25"/>
                <w:szCs w:val="25"/>
                <w:color w:val="auto"/>
                <w:w w:val="98"/>
                <w:vertAlign w:val="superscript"/>
              </w:rPr>
              <w:t>(5)</w:t>
            </w: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shd w:val="clear" w:color="auto" w:fill="E3E5EB"/>
          </w:tcPr>
          <w:p>
            <w:pPr>
              <w:spacing w:after="0"/>
              <w:rPr>
                <w:sz w:val="19"/>
                <w:szCs w:val="19"/>
                <w:color w:val="auto"/>
              </w:rPr>
            </w:pPr>
          </w:p>
        </w:tc>
        <w:tc>
          <w:tcPr>
            <w:tcW w:w="800" w:type="dxa"/>
            <w:vAlign w:val="bottom"/>
            <w:shd w:val="clear" w:color="auto" w:fill="E3E5EB"/>
          </w:tcPr>
          <w:p>
            <w:pPr>
              <w:spacing w:after="0"/>
              <w:rPr>
                <w:sz w:val="19"/>
                <w:szCs w:val="19"/>
                <w:color w:val="auto"/>
              </w:rPr>
            </w:pPr>
          </w:p>
        </w:tc>
        <w:tc>
          <w:tcPr>
            <w:tcW w:w="620" w:type="dxa"/>
            <w:vAlign w:val="bottom"/>
            <w:shd w:val="clear" w:color="auto" w:fill="E3E5EB"/>
          </w:tcPr>
          <w:p>
            <w:pPr>
              <w:spacing w:after="0"/>
              <w:rPr>
                <w:sz w:val="19"/>
                <w:szCs w:val="19"/>
                <w:color w:val="auto"/>
              </w:rPr>
            </w:pPr>
          </w:p>
        </w:tc>
        <w:tc>
          <w:tcPr>
            <w:tcW w:w="880" w:type="dxa"/>
            <w:vAlign w:val="bottom"/>
            <w:vMerge w:val="continue"/>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60" w:type="dxa"/>
            <w:vAlign w:val="bottom"/>
            <w:shd w:val="clear" w:color="auto" w:fill="E3E5EB"/>
          </w:tcPr>
          <w:p>
            <w:pPr>
              <w:spacing w:after="0"/>
              <w:rPr>
                <w:sz w:val="20"/>
                <w:szCs w:val="20"/>
                <w:color w:val="auto"/>
              </w:rPr>
            </w:pPr>
            <w:r>
              <w:rPr>
                <w:rFonts w:ascii="Arial" w:cs="Arial" w:eastAsia="Arial" w:hAnsi="Arial"/>
                <w:sz w:val="16"/>
                <w:szCs w:val="16"/>
                <w:color w:val="auto"/>
              </w:rPr>
              <w:t>(RSU)</w:t>
            </w:r>
          </w:p>
        </w:tc>
        <w:tc>
          <w:tcPr>
            <w:tcW w:w="100" w:type="dxa"/>
            <w:vAlign w:val="bottom"/>
            <w:shd w:val="clear" w:color="auto" w:fill="E3E5EB"/>
          </w:tcPr>
          <w:p>
            <w:pPr>
              <w:spacing w:after="0"/>
              <w:rPr>
                <w:sz w:val="16"/>
                <w:szCs w:val="16"/>
                <w:color w:val="auto"/>
              </w:rPr>
            </w:pPr>
          </w:p>
        </w:tc>
        <w:tc>
          <w:tcPr>
            <w:tcW w:w="820" w:type="dxa"/>
            <w:vAlign w:val="bottom"/>
            <w:vMerge w:val="restart"/>
            <w:shd w:val="clear" w:color="auto" w:fill="E3E5EB"/>
          </w:tcPr>
          <w:p>
            <w:pPr>
              <w:jc w:val="right"/>
              <w:ind w:right="12"/>
              <w:spacing w:after="0"/>
              <w:rPr>
                <w:sz w:val="20"/>
                <w:szCs w:val="20"/>
                <w:color w:val="auto"/>
              </w:rPr>
            </w:pPr>
            <w:r>
              <w:rPr>
                <w:rFonts w:ascii="Arial" w:cs="Arial" w:eastAsia="Arial" w:hAnsi="Arial"/>
                <w:sz w:val="31"/>
                <w:szCs w:val="31"/>
                <w:color w:val="auto"/>
                <w:vertAlign w:val="subscript"/>
              </w:rPr>
              <w:t>1</w:t>
            </w:r>
            <w:r>
              <w:rPr>
                <w:rFonts w:ascii="Arial" w:cs="Arial" w:eastAsia="Arial" w:hAnsi="Arial"/>
                <w:sz w:val="13"/>
                <w:szCs w:val="13"/>
                <w:color w:val="auto"/>
              </w:rPr>
              <w:t>(6)</w:t>
            </w:r>
          </w:p>
        </w:tc>
        <w:tc>
          <w:tcPr>
            <w:tcW w:w="80" w:type="dxa"/>
            <w:vAlign w:val="bottom"/>
            <w:shd w:val="clear" w:color="auto" w:fill="E3E5EB"/>
          </w:tcPr>
          <w:p>
            <w:pPr>
              <w:spacing w:after="0"/>
              <w:rPr>
                <w:sz w:val="16"/>
                <w:szCs w:val="16"/>
                <w:color w:val="auto"/>
              </w:rPr>
            </w:pPr>
          </w:p>
        </w:tc>
        <w:tc>
          <w:tcPr>
            <w:tcW w:w="920" w:type="dxa"/>
            <w:vAlign w:val="bottom"/>
            <w:vMerge w:val="restart"/>
            <w:shd w:val="clear" w:color="auto" w:fill="E3E5EB"/>
          </w:tcPr>
          <w:p>
            <w:pPr>
              <w:jc w:val="right"/>
              <w:spacing w:after="0"/>
              <w:rPr>
                <w:sz w:val="20"/>
                <w:szCs w:val="20"/>
                <w:color w:val="auto"/>
              </w:rPr>
            </w:pPr>
            <w:r>
              <w:rPr>
                <w:rFonts w:ascii="Arial" w:cs="Arial" w:eastAsia="Arial" w:hAnsi="Arial"/>
                <w:sz w:val="16"/>
                <w:szCs w:val="16"/>
                <w:color w:val="auto"/>
              </w:rPr>
              <w:t>125,000</w:t>
            </w:r>
            <w:r>
              <w:rPr>
                <w:rFonts w:ascii="Arial" w:cs="Arial" w:eastAsia="Arial" w:hAnsi="Arial"/>
                <w:sz w:val="26"/>
                <w:szCs w:val="26"/>
                <w:color w:val="auto"/>
                <w:vertAlign w:val="superscript"/>
              </w:rPr>
              <w:t>(6)</w:t>
            </w:r>
          </w:p>
        </w:tc>
        <w:tc>
          <w:tcPr>
            <w:tcW w:w="1020" w:type="dxa"/>
            <w:vAlign w:val="bottom"/>
            <w:vMerge w:val="restart"/>
            <w:shd w:val="clear" w:color="auto" w:fill="E3E5EB"/>
          </w:tcPr>
          <w:p>
            <w:pPr>
              <w:ind w:left="220"/>
              <w:spacing w:after="0"/>
              <w:rPr>
                <w:sz w:val="20"/>
                <w:szCs w:val="20"/>
                <w:color w:val="auto"/>
              </w:rPr>
            </w:pPr>
            <w:r>
              <w:rPr>
                <w:rFonts w:ascii="Arial" w:cs="Arial" w:eastAsia="Arial" w:hAnsi="Arial"/>
                <w:sz w:val="16"/>
                <w:szCs w:val="16"/>
                <w:color w:val="auto"/>
                <w:w w:val="98"/>
              </w:rPr>
              <w:t>125,000</w:t>
            </w:r>
            <w:r>
              <w:rPr>
                <w:rFonts w:ascii="Arial" w:cs="Arial" w:eastAsia="Arial" w:hAnsi="Arial"/>
                <w:sz w:val="26"/>
                <w:szCs w:val="26"/>
                <w:color w:val="auto"/>
                <w:w w:val="98"/>
                <w:vertAlign w:val="superscript"/>
              </w:rPr>
              <w:t>(6)</w:t>
            </w:r>
          </w:p>
        </w:tc>
        <w:tc>
          <w:tcPr>
            <w:tcW w:w="840" w:type="dxa"/>
            <w:vAlign w:val="bottom"/>
            <w:shd w:val="clear" w:color="auto" w:fill="E3E5EB"/>
          </w:tcPr>
          <w:p>
            <w:pPr>
              <w:spacing w:after="0"/>
              <w:rPr>
                <w:sz w:val="16"/>
                <w:szCs w:val="16"/>
                <w:color w:val="auto"/>
              </w:rPr>
            </w:pPr>
          </w:p>
        </w:tc>
        <w:tc>
          <w:tcPr>
            <w:tcW w:w="800" w:type="dxa"/>
            <w:vAlign w:val="bottom"/>
            <w:shd w:val="clear" w:color="auto" w:fill="E3E5EB"/>
          </w:tcPr>
          <w:p>
            <w:pPr>
              <w:spacing w:after="0"/>
              <w:rPr>
                <w:sz w:val="16"/>
                <w:szCs w:val="16"/>
                <w:color w:val="auto"/>
              </w:rPr>
            </w:pPr>
          </w:p>
        </w:tc>
        <w:tc>
          <w:tcPr>
            <w:tcW w:w="620" w:type="dxa"/>
            <w:vAlign w:val="bottom"/>
            <w:shd w:val="clear" w:color="auto" w:fill="E3E5EB"/>
          </w:tcPr>
          <w:p>
            <w:pPr>
              <w:spacing w:after="0"/>
              <w:rPr>
                <w:sz w:val="16"/>
                <w:szCs w:val="16"/>
                <w:color w:val="auto"/>
              </w:rPr>
            </w:pPr>
          </w:p>
        </w:tc>
        <w:tc>
          <w:tcPr>
            <w:tcW w:w="880" w:type="dxa"/>
            <w:vAlign w:val="bottom"/>
            <w:shd w:val="clear" w:color="auto" w:fill="E3E5EB"/>
          </w:tcPr>
          <w:p>
            <w:pPr>
              <w:spacing w:after="0"/>
              <w:rPr>
                <w:sz w:val="16"/>
                <w:szCs w:val="16"/>
                <w:color w:val="auto"/>
              </w:rPr>
            </w:pPr>
          </w:p>
        </w:tc>
        <w:tc>
          <w:tcPr>
            <w:tcW w:w="900" w:type="dxa"/>
            <w:vAlign w:val="bottom"/>
            <w:shd w:val="clear" w:color="auto" w:fill="E3E5EB"/>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rPr>
                <w:sz w:val="19"/>
                <w:szCs w:val="19"/>
                <w:color w:val="auto"/>
              </w:rPr>
            </w:pPr>
          </w:p>
        </w:tc>
        <w:tc>
          <w:tcPr>
            <w:tcW w:w="100" w:type="dxa"/>
            <w:vAlign w:val="bottom"/>
            <w:shd w:val="clear" w:color="auto" w:fill="E3E5EB"/>
          </w:tcPr>
          <w:p>
            <w:pPr>
              <w:spacing w:after="0"/>
              <w:rPr>
                <w:sz w:val="19"/>
                <w:szCs w:val="19"/>
                <w:color w:val="auto"/>
              </w:rPr>
            </w:pPr>
          </w:p>
        </w:tc>
        <w:tc>
          <w:tcPr>
            <w:tcW w:w="820" w:type="dxa"/>
            <w:vAlign w:val="bottom"/>
            <w:vMerge w:val="continue"/>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vMerge w:val="continue"/>
            <w:shd w:val="clear" w:color="auto" w:fill="E3E5EB"/>
          </w:tcPr>
          <w:p>
            <w:pPr>
              <w:spacing w:after="0"/>
              <w:rPr>
                <w:sz w:val="19"/>
                <w:szCs w:val="19"/>
                <w:color w:val="auto"/>
              </w:rPr>
            </w:pPr>
          </w:p>
        </w:tc>
        <w:tc>
          <w:tcPr>
            <w:tcW w:w="1020" w:type="dxa"/>
            <w:vAlign w:val="bottom"/>
            <w:vMerge w:val="continue"/>
            <w:shd w:val="clear" w:color="auto" w:fill="E3E5EB"/>
          </w:tcPr>
          <w:p>
            <w:pPr>
              <w:spacing w:after="0"/>
              <w:rPr>
                <w:sz w:val="19"/>
                <w:szCs w:val="19"/>
                <w:color w:val="auto"/>
              </w:rPr>
            </w:pPr>
          </w:p>
        </w:tc>
        <w:tc>
          <w:tcPr>
            <w:tcW w:w="840" w:type="dxa"/>
            <w:vAlign w:val="bottom"/>
            <w:shd w:val="clear" w:color="auto" w:fill="E3E5EB"/>
          </w:tcPr>
          <w:p>
            <w:pPr>
              <w:spacing w:after="0"/>
              <w:rPr>
                <w:sz w:val="19"/>
                <w:szCs w:val="19"/>
                <w:color w:val="auto"/>
              </w:rPr>
            </w:pPr>
          </w:p>
        </w:tc>
        <w:tc>
          <w:tcPr>
            <w:tcW w:w="800" w:type="dxa"/>
            <w:vAlign w:val="bottom"/>
            <w:shd w:val="clear" w:color="auto" w:fill="E3E5EB"/>
          </w:tcPr>
          <w:p>
            <w:pPr>
              <w:spacing w:after="0"/>
              <w:rPr>
                <w:sz w:val="19"/>
                <w:szCs w:val="19"/>
                <w:color w:val="auto"/>
              </w:rPr>
            </w:pPr>
          </w:p>
        </w:tc>
        <w:tc>
          <w:tcPr>
            <w:tcW w:w="620" w:type="dxa"/>
            <w:vAlign w:val="bottom"/>
            <w:shd w:val="clear" w:color="auto" w:fill="E3E5EB"/>
          </w:tcPr>
          <w:p>
            <w:pPr>
              <w:spacing w:after="0"/>
              <w:rPr>
                <w:sz w:val="19"/>
                <w:szCs w:val="19"/>
                <w:color w:val="auto"/>
              </w:rPr>
            </w:pPr>
          </w:p>
        </w:tc>
        <w:tc>
          <w:tcPr>
            <w:tcW w:w="880" w:type="dxa"/>
            <w:vAlign w:val="bottom"/>
            <w:shd w:val="clear" w:color="auto" w:fill="E3E5EB"/>
          </w:tcPr>
          <w:p>
            <w:pPr>
              <w:spacing w:after="0"/>
              <w:rPr>
                <w:sz w:val="19"/>
                <w:szCs w:val="19"/>
                <w:color w:val="auto"/>
              </w:rPr>
            </w:pPr>
          </w:p>
        </w:tc>
        <w:tc>
          <w:tcPr>
            <w:tcW w:w="90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rPr>
                <w:sz w:val="19"/>
                <w:szCs w:val="19"/>
                <w:color w:val="auto"/>
              </w:rPr>
            </w:pP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jc w:val="right"/>
              <w:spacing w:after="0" w:line="221" w:lineRule="exact"/>
              <w:rPr>
                <w:sz w:val="20"/>
                <w:szCs w:val="20"/>
                <w:color w:val="auto"/>
              </w:rPr>
            </w:pPr>
            <w:r>
              <w:rPr>
                <w:rFonts w:ascii="Arial" w:cs="Arial" w:eastAsia="Arial" w:hAnsi="Arial"/>
                <w:sz w:val="15"/>
                <w:szCs w:val="15"/>
                <w:color w:val="auto"/>
              </w:rPr>
              <w:t>1,200</w:t>
            </w:r>
            <w:r>
              <w:rPr>
                <w:rFonts w:ascii="Arial" w:cs="Arial" w:eastAsia="Arial" w:hAnsi="Arial"/>
                <w:sz w:val="25"/>
                <w:szCs w:val="25"/>
                <w:color w:val="auto"/>
                <w:vertAlign w:val="superscript"/>
              </w:rPr>
              <w:t>(7)</w:t>
            </w:r>
          </w:p>
        </w:tc>
        <w:tc>
          <w:tcPr>
            <w:tcW w:w="1020" w:type="dxa"/>
            <w:vAlign w:val="bottom"/>
            <w:shd w:val="clear" w:color="auto" w:fill="E3E5EB"/>
          </w:tcPr>
          <w:p>
            <w:pPr>
              <w:spacing w:after="0"/>
              <w:rPr>
                <w:sz w:val="19"/>
                <w:szCs w:val="19"/>
                <w:color w:val="auto"/>
              </w:rPr>
            </w:pPr>
          </w:p>
        </w:tc>
        <w:tc>
          <w:tcPr>
            <w:tcW w:w="840" w:type="dxa"/>
            <w:vAlign w:val="bottom"/>
            <w:shd w:val="clear" w:color="auto" w:fill="E3E5EB"/>
          </w:tcPr>
          <w:p>
            <w:pPr>
              <w:spacing w:after="0"/>
              <w:rPr>
                <w:sz w:val="19"/>
                <w:szCs w:val="19"/>
                <w:color w:val="auto"/>
              </w:rPr>
            </w:pPr>
          </w:p>
        </w:tc>
        <w:tc>
          <w:tcPr>
            <w:tcW w:w="800" w:type="dxa"/>
            <w:vAlign w:val="bottom"/>
            <w:shd w:val="clear" w:color="auto" w:fill="E3E5EB"/>
          </w:tcPr>
          <w:p>
            <w:pPr>
              <w:spacing w:after="0"/>
              <w:rPr>
                <w:sz w:val="19"/>
                <w:szCs w:val="19"/>
                <w:color w:val="auto"/>
              </w:rPr>
            </w:pPr>
          </w:p>
        </w:tc>
        <w:tc>
          <w:tcPr>
            <w:tcW w:w="620" w:type="dxa"/>
            <w:vAlign w:val="bottom"/>
            <w:shd w:val="clear" w:color="auto" w:fill="E3E5EB"/>
          </w:tcPr>
          <w:p>
            <w:pPr>
              <w:spacing w:after="0"/>
              <w:rPr>
                <w:sz w:val="19"/>
                <w:szCs w:val="19"/>
                <w:color w:val="auto"/>
              </w:rPr>
            </w:pPr>
          </w:p>
        </w:tc>
        <w:tc>
          <w:tcPr>
            <w:tcW w:w="880" w:type="dxa"/>
            <w:vAlign w:val="bottom"/>
            <w:shd w:val="clear" w:color="auto" w:fill="E3E5EB"/>
          </w:tcPr>
          <w:p>
            <w:pPr>
              <w:spacing w:after="0"/>
              <w:rPr>
                <w:sz w:val="19"/>
                <w:szCs w:val="19"/>
                <w:color w:val="auto"/>
              </w:rPr>
            </w:pPr>
          </w:p>
        </w:tc>
        <w:tc>
          <w:tcPr>
            <w:tcW w:w="900" w:type="dxa"/>
            <w:vAlign w:val="bottom"/>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220" w:type="dxa"/>
            <w:vAlign w:val="bottom"/>
            <w:tcBorders>
              <w:bottom w:val="single" w:sz="8" w:color="646466"/>
            </w:tcBorders>
            <w:shd w:val="clear" w:color="auto" w:fill="E3E5EB"/>
          </w:tcPr>
          <w:p>
            <w:pPr>
              <w:spacing w:after="0"/>
              <w:rPr>
                <w:sz w:val="19"/>
                <w:szCs w:val="19"/>
                <w:color w:val="auto"/>
              </w:rPr>
            </w:pPr>
          </w:p>
        </w:tc>
        <w:tc>
          <w:tcPr>
            <w:tcW w:w="80" w:type="dxa"/>
            <w:vAlign w:val="bottom"/>
            <w:tcBorders>
              <w:bottom w:val="single" w:sz="8" w:color="646466"/>
            </w:tcBorders>
            <w:shd w:val="clear" w:color="auto" w:fill="E3E5EB"/>
          </w:tcPr>
          <w:p>
            <w:pPr>
              <w:spacing w:after="0"/>
              <w:rPr>
                <w:sz w:val="19"/>
                <w:szCs w:val="19"/>
                <w:color w:val="auto"/>
              </w:rPr>
            </w:pPr>
          </w:p>
        </w:tc>
        <w:tc>
          <w:tcPr>
            <w:tcW w:w="960" w:type="dxa"/>
            <w:vAlign w:val="bottom"/>
            <w:tcBorders>
              <w:bottom w:val="single" w:sz="8" w:color="646466"/>
            </w:tcBorders>
            <w:shd w:val="clear" w:color="auto" w:fill="E3E5EB"/>
          </w:tcPr>
          <w:p>
            <w:pPr>
              <w:spacing w:after="0"/>
              <w:rPr>
                <w:sz w:val="19"/>
                <w:szCs w:val="19"/>
                <w:color w:val="auto"/>
              </w:rPr>
            </w:pPr>
          </w:p>
        </w:tc>
        <w:tc>
          <w:tcPr>
            <w:tcW w:w="100" w:type="dxa"/>
            <w:vAlign w:val="bottom"/>
            <w:tcBorders>
              <w:bottom w:val="single" w:sz="8" w:color="646466"/>
            </w:tcBorders>
            <w:shd w:val="clear" w:color="auto" w:fill="E3E5EB"/>
          </w:tcPr>
          <w:p>
            <w:pPr>
              <w:spacing w:after="0"/>
              <w:rPr>
                <w:sz w:val="19"/>
                <w:szCs w:val="19"/>
                <w:color w:val="auto"/>
              </w:rPr>
            </w:pPr>
          </w:p>
        </w:tc>
        <w:tc>
          <w:tcPr>
            <w:tcW w:w="820" w:type="dxa"/>
            <w:vAlign w:val="bottom"/>
            <w:tcBorders>
              <w:bottom w:val="single" w:sz="8" w:color="646466"/>
            </w:tcBorders>
            <w:shd w:val="clear" w:color="auto" w:fill="E3E5EB"/>
          </w:tcPr>
          <w:p>
            <w:pPr>
              <w:spacing w:after="0"/>
              <w:rPr>
                <w:sz w:val="19"/>
                <w:szCs w:val="19"/>
                <w:color w:val="auto"/>
              </w:rPr>
            </w:pPr>
          </w:p>
        </w:tc>
        <w:tc>
          <w:tcPr>
            <w:tcW w:w="80" w:type="dxa"/>
            <w:vAlign w:val="bottom"/>
            <w:tcBorders>
              <w:bottom w:val="single" w:sz="8" w:color="646466"/>
            </w:tcBorders>
            <w:shd w:val="clear" w:color="auto" w:fill="E3E5EB"/>
          </w:tcPr>
          <w:p>
            <w:pPr>
              <w:spacing w:after="0"/>
              <w:rPr>
                <w:sz w:val="19"/>
                <w:szCs w:val="19"/>
                <w:color w:val="auto"/>
              </w:rPr>
            </w:pPr>
          </w:p>
        </w:tc>
        <w:tc>
          <w:tcPr>
            <w:tcW w:w="920" w:type="dxa"/>
            <w:vAlign w:val="bottom"/>
            <w:tcBorders>
              <w:bottom w:val="single" w:sz="8" w:color="646466"/>
            </w:tcBorders>
            <w:shd w:val="clear" w:color="auto" w:fill="E3E5EB"/>
          </w:tcPr>
          <w:p>
            <w:pPr>
              <w:jc w:val="right"/>
              <w:spacing w:after="0" w:line="221" w:lineRule="exact"/>
              <w:rPr>
                <w:sz w:val="20"/>
                <w:szCs w:val="20"/>
                <w:color w:val="auto"/>
              </w:rPr>
            </w:pPr>
            <w:r>
              <w:rPr>
                <w:rFonts w:ascii="Arial" w:cs="Arial" w:eastAsia="Arial" w:hAnsi="Arial"/>
                <w:sz w:val="15"/>
                <w:szCs w:val="15"/>
                <w:color w:val="auto"/>
              </w:rPr>
              <w:t>1,200</w:t>
            </w:r>
            <w:r>
              <w:rPr>
                <w:rFonts w:ascii="Arial" w:cs="Arial" w:eastAsia="Arial" w:hAnsi="Arial"/>
                <w:sz w:val="25"/>
                <w:szCs w:val="25"/>
                <w:color w:val="auto"/>
                <w:vertAlign w:val="superscript"/>
              </w:rPr>
              <w:t>(7)</w:t>
            </w:r>
          </w:p>
        </w:tc>
        <w:tc>
          <w:tcPr>
            <w:tcW w:w="1020" w:type="dxa"/>
            <w:vAlign w:val="bottom"/>
            <w:tcBorders>
              <w:bottom w:val="single" w:sz="8" w:color="646466"/>
            </w:tcBorders>
            <w:shd w:val="clear" w:color="auto" w:fill="E3E5EB"/>
          </w:tcPr>
          <w:p>
            <w:pPr>
              <w:spacing w:after="0"/>
              <w:rPr>
                <w:sz w:val="19"/>
                <w:szCs w:val="19"/>
                <w:color w:val="auto"/>
              </w:rPr>
            </w:pPr>
          </w:p>
        </w:tc>
        <w:tc>
          <w:tcPr>
            <w:tcW w:w="840" w:type="dxa"/>
            <w:vAlign w:val="bottom"/>
            <w:tcBorders>
              <w:bottom w:val="single" w:sz="8" w:color="646466"/>
            </w:tcBorders>
            <w:shd w:val="clear" w:color="auto" w:fill="E3E5EB"/>
          </w:tcPr>
          <w:p>
            <w:pPr>
              <w:spacing w:after="0"/>
              <w:rPr>
                <w:sz w:val="19"/>
                <w:szCs w:val="19"/>
                <w:color w:val="auto"/>
              </w:rPr>
            </w:pPr>
          </w:p>
        </w:tc>
        <w:tc>
          <w:tcPr>
            <w:tcW w:w="800" w:type="dxa"/>
            <w:vAlign w:val="bottom"/>
            <w:tcBorders>
              <w:bottom w:val="single" w:sz="8" w:color="646466"/>
            </w:tcBorders>
            <w:shd w:val="clear" w:color="auto" w:fill="E3E5EB"/>
          </w:tcPr>
          <w:p>
            <w:pPr>
              <w:spacing w:after="0"/>
              <w:rPr>
                <w:sz w:val="19"/>
                <w:szCs w:val="19"/>
                <w:color w:val="auto"/>
              </w:rPr>
            </w:pPr>
          </w:p>
        </w:tc>
        <w:tc>
          <w:tcPr>
            <w:tcW w:w="620" w:type="dxa"/>
            <w:vAlign w:val="bottom"/>
            <w:tcBorders>
              <w:bottom w:val="single" w:sz="8" w:color="646466"/>
            </w:tcBorders>
            <w:shd w:val="clear" w:color="auto" w:fill="E3E5EB"/>
          </w:tcPr>
          <w:p>
            <w:pPr>
              <w:spacing w:after="0"/>
              <w:rPr>
                <w:sz w:val="19"/>
                <w:szCs w:val="19"/>
                <w:color w:val="auto"/>
              </w:rPr>
            </w:pPr>
          </w:p>
        </w:tc>
        <w:tc>
          <w:tcPr>
            <w:tcW w:w="880" w:type="dxa"/>
            <w:vAlign w:val="bottom"/>
            <w:tcBorders>
              <w:bottom w:val="single" w:sz="8" w:color="646466"/>
            </w:tcBorders>
            <w:shd w:val="clear" w:color="auto" w:fill="E3E5EB"/>
          </w:tcPr>
          <w:p>
            <w:pPr>
              <w:spacing w:after="0"/>
              <w:rPr>
                <w:sz w:val="19"/>
                <w:szCs w:val="19"/>
                <w:color w:val="auto"/>
              </w:rPr>
            </w:pPr>
          </w:p>
        </w:tc>
        <w:tc>
          <w:tcPr>
            <w:tcW w:w="900" w:type="dxa"/>
            <w:vAlign w:val="bottom"/>
            <w:tcBorders>
              <w:bottom w:val="single" w:sz="8" w:color="646466"/>
            </w:tcBorders>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1220" w:type="dxa"/>
            <w:vAlign w:val="bottom"/>
          </w:tcPr>
          <w:p>
            <w:pPr>
              <w:spacing w:after="0"/>
              <w:rPr>
                <w:sz w:val="20"/>
                <w:szCs w:val="20"/>
                <w:color w:val="auto"/>
              </w:rPr>
            </w:pPr>
            <w:r>
              <w:rPr>
                <w:rFonts w:ascii="Arial" w:cs="Arial" w:eastAsia="Arial" w:hAnsi="Arial"/>
                <w:sz w:val="16"/>
                <w:szCs w:val="16"/>
                <w:b w:val="1"/>
                <w:bCs w:val="1"/>
                <w:color w:val="auto"/>
              </w:rPr>
              <w:t>David P. Falck</w:t>
            </w:r>
          </w:p>
        </w:tc>
        <w:tc>
          <w:tcPr>
            <w:tcW w:w="1040" w:type="dxa"/>
            <w:vAlign w:val="bottom"/>
            <w:gridSpan w:val="2"/>
            <w:vMerge w:val="restart"/>
          </w:tcPr>
          <w:p>
            <w:pPr>
              <w:ind w:left="80"/>
              <w:spacing w:after="0"/>
              <w:rPr>
                <w:sz w:val="20"/>
                <w:szCs w:val="20"/>
                <w:color w:val="auto"/>
              </w:rPr>
            </w:pPr>
            <w:r>
              <w:rPr>
                <w:rFonts w:ascii="Arial" w:cs="Arial" w:eastAsia="Arial" w:hAnsi="Arial"/>
                <w:sz w:val="16"/>
                <w:szCs w:val="16"/>
                <w:color w:val="auto"/>
                <w:w w:val="92"/>
              </w:rPr>
              <w:t>02/17/2015</w:t>
            </w:r>
            <w:r>
              <w:rPr>
                <w:rFonts w:ascii="Arial" w:cs="Arial" w:eastAsia="Arial" w:hAnsi="Arial"/>
                <w:sz w:val="26"/>
                <w:szCs w:val="26"/>
                <w:color w:val="auto"/>
                <w:w w:val="92"/>
                <w:vertAlign w:val="superscript"/>
              </w:rPr>
              <w:t>(4)</w:t>
            </w:r>
          </w:p>
        </w:tc>
        <w:tc>
          <w:tcPr>
            <w:tcW w:w="100" w:type="dxa"/>
            <w:vAlign w:val="bottom"/>
          </w:tcPr>
          <w:p>
            <w:pPr>
              <w:spacing w:after="0"/>
              <w:rPr>
                <w:sz w:val="18"/>
                <w:szCs w:val="18"/>
                <w:color w:val="auto"/>
              </w:rPr>
            </w:pPr>
          </w:p>
        </w:tc>
        <w:tc>
          <w:tcPr>
            <w:tcW w:w="820" w:type="dxa"/>
            <w:vAlign w:val="bottom"/>
          </w:tcPr>
          <w:p>
            <w:pPr>
              <w:jc w:val="right"/>
              <w:ind w:right="172"/>
              <w:spacing w:after="0"/>
              <w:rPr>
                <w:sz w:val="20"/>
                <w:szCs w:val="20"/>
                <w:color w:val="auto"/>
              </w:rPr>
            </w:pPr>
            <w:r>
              <w:rPr>
                <w:rFonts w:ascii="Arial" w:cs="Arial" w:eastAsia="Arial" w:hAnsi="Arial"/>
                <w:sz w:val="16"/>
                <w:szCs w:val="16"/>
                <w:color w:val="auto"/>
              </w:rPr>
              <w:t>1,632</w:t>
            </w:r>
          </w:p>
        </w:tc>
        <w:tc>
          <w:tcPr>
            <w:tcW w:w="80" w:type="dxa"/>
            <w:vAlign w:val="bottom"/>
          </w:tcPr>
          <w:p>
            <w:pPr>
              <w:spacing w:after="0"/>
              <w:rPr>
                <w:sz w:val="18"/>
                <w:szCs w:val="18"/>
                <w:color w:val="auto"/>
              </w:rPr>
            </w:pPr>
          </w:p>
        </w:tc>
        <w:tc>
          <w:tcPr>
            <w:tcW w:w="920" w:type="dxa"/>
            <w:vAlign w:val="bottom"/>
          </w:tcPr>
          <w:p>
            <w:pPr>
              <w:jc w:val="right"/>
              <w:ind w:right="84"/>
              <w:spacing w:after="0"/>
              <w:rPr>
                <w:sz w:val="20"/>
                <w:szCs w:val="20"/>
                <w:color w:val="auto"/>
              </w:rPr>
            </w:pPr>
            <w:r>
              <w:rPr>
                <w:rFonts w:ascii="Arial" w:cs="Arial" w:eastAsia="Arial" w:hAnsi="Arial"/>
                <w:sz w:val="16"/>
                <w:szCs w:val="16"/>
                <w:color w:val="auto"/>
              </w:rPr>
              <w:t>326,400</w:t>
            </w:r>
          </w:p>
        </w:tc>
        <w:tc>
          <w:tcPr>
            <w:tcW w:w="1020" w:type="dxa"/>
            <w:vAlign w:val="bottom"/>
          </w:tcPr>
          <w:p>
            <w:pPr>
              <w:jc w:val="right"/>
              <w:ind w:right="124"/>
              <w:spacing w:after="0"/>
              <w:rPr>
                <w:sz w:val="20"/>
                <w:szCs w:val="20"/>
                <w:color w:val="auto"/>
              </w:rPr>
            </w:pPr>
            <w:r>
              <w:rPr>
                <w:rFonts w:ascii="Arial" w:cs="Arial" w:eastAsia="Arial" w:hAnsi="Arial"/>
                <w:sz w:val="16"/>
                <w:szCs w:val="16"/>
                <w:color w:val="auto"/>
              </w:rPr>
              <w:t>652,800</w:t>
            </w:r>
          </w:p>
        </w:tc>
        <w:tc>
          <w:tcPr>
            <w:tcW w:w="840" w:type="dxa"/>
            <w:vAlign w:val="bottom"/>
            <w:vMerge w:val="restart"/>
          </w:tcPr>
          <w:p>
            <w:pPr>
              <w:jc w:val="right"/>
              <w:ind w:right="67"/>
              <w:spacing w:after="0"/>
              <w:rPr>
                <w:sz w:val="20"/>
                <w:szCs w:val="20"/>
                <w:color w:val="auto"/>
              </w:rPr>
            </w:pPr>
            <w:r>
              <w:rPr>
                <w:rFonts w:ascii="Arial" w:cs="Arial" w:eastAsia="Arial" w:hAnsi="Arial"/>
                <w:sz w:val="16"/>
                <w:szCs w:val="16"/>
                <w:color w:val="auto"/>
              </w:rPr>
              <w:t>3,175</w:t>
            </w:r>
          </w:p>
        </w:tc>
        <w:tc>
          <w:tcPr>
            <w:tcW w:w="800" w:type="dxa"/>
            <w:vAlign w:val="bottom"/>
            <w:vMerge w:val="restart"/>
          </w:tcPr>
          <w:p>
            <w:pPr>
              <w:jc w:val="right"/>
              <w:ind w:right="103"/>
              <w:spacing w:after="0"/>
              <w:rPr>
                <w:sz w:val="20"/>
                <w:szCs w:val="20"/>
                <w:color w:val="auto"/>
              </w:rPr>
            </w:pPr>
            <w:r>
              <w:rPr>
                <w:rFonts w:ascii="Arial" w:cs="Arial" w:eastAsia="Arial" w:hAnsi="Arial"/>
                <w:sz w:val="16"/>
                <w:szCs w:val="16"/>
                <w:color w:val="auto"/>
              </w:rPr>
              <w:t>6,350</w:t>
            </w:r>
          </w:p>
        </w:tc>
        <w:tc>
          <w:tcPr>
            <w:tcW w:w="620" w:type="dxa"/>
            <w:vAlign w:val="bottom"/>
            <w:vMerge w:val="restart"/>
          </w:tcPr>
          <w:p>
            <w:pPr>
              <w:jc w:val="center"/>
              <w:ind w:right="23"/>
              <w:spacing w:after="0"/>
              <w:rPr>
                <w:sz w:val="20"/>
                <w:szCs w:val="20"/>
                <w:color w:val="auto"/>
              </w:rPr>
            </w:pPr>
            <w:r>
              <w:rPr>
                <w:rFonts w:ascii="Arial" w:cs="Arial" w:eastAsia="Arial" w:hAnsi="Arial"/>
                <w:sz w:val="16"/>
                <w:szCs w:val="16"/>
                <w:color w:val="auto"/>
                <w:w w:val="98"/>
              </w:rPr>
              <w:t>12,700</w:t>
            </w:r>
          </w:p>
        </w:tc>
        <w:tc>
          <w:tcPr>
            <w:tcW w:w="880" w:type="dxa"/>
            <w:vAlign w:val="bottom"/>
          </w:tcPr>
          <w:p>
            <w:pPr>
              <w:spacing w:after="0"/>
              <w:rPr>
                <w:sz w:val="18"/>
                <w:szCs w:val="18"/>
                <w:color w:val="auto"/>
              </w:rPr>
            </w:pPr>
          </w:p>
        </w:tc>
        <w:tc>
          <w:tcPr>
            <w:tcW w:w="900" w:type="dxa"/>
            <w:vAlign w:val="bottom"/>
            <w:vMerge w:val="restart"/>
          </w:tcPr>
          <w:p>
            <w:pPr>
              <w:jc w:val="right"/>
              <w:spacing w:after="0"/>
              <w:rPr>
                <w:sz w:val="20"/>
                <w:szCs w:val="20"/>
                <w:color w:val="auto"/>
              </w:rPr>
            </w:pPr>
            <w:r>
              <w:rPr>
                <w:rFonts w:ascii="Arial" w:cs="Arial" w:eastAsia="Arial" w:hAnsi="Arial"/>
                <w:sz w:val="16"/>
                <w:szCs w:val="16"/>
                <w:color w:val="auto"/>
              </w:rPr>
              <w:t>412,560</w:t>
            </w:r>
          </w:p>
        </w:tc>
        <w:tc>
          <w:tcPr>
            <w:tcW w:w="0" w:type="dxa"/>
            <w:vAlign w:val="bottom"/>
          </w:tcPr>
          <w:p>
            <w:pPr>
              <w:spacing w:after="0"/>
              <w:rPr>
                <w:sz w:val="1"/>
                <w:szCs w:val="1"/>
                <w:color w:val="auto"/>
              </w:rPr>
            </w:pPr>
          </w:p>
        </w:tc>
      </w:tr>
      <w:tr>
        <w:trPr>
          <w:trHeight w:val="176"/>
        </w:trPr>
        <w:tc>
          <w:tcPr>
            <w:tcW w:w="1220" w:type="dxa"/>
            <w:vAlign w:val="bottom"/>
          </w:tcPr>
          <w:p>
            <w:pPr>
              <w:spacing w:after="0"/>
              <w:rPr>
                <w:sz w:val="15"/>
                <w:szCs w:val="15"/>
                <w:color w:val="auto"/>
              </w:rPr>
            </w:pPr>
          </w:p>
        </w:tc>
        <w:tc>
          <w:tcPr>
            <w:tcW w:w="104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840" w:type="dxa"/>
            <w:vAlign w:val="bottom"/>
            <w:vMerge w:val="continue"/>
          </w:tcPr>
          <w:p>
            <w:pPr>
              <w:spacing w:after="0"/>
              <w:rPr>
                <w:sz w:val="15"/>
                <w:szCs w:val="15"/>
                <w:color w:val="auto"/>
              </w:rPr>
            </w:pPr>
          </w:p>
        </w:tc>
        <w:tc>
          <w:tcPr>
            <w:tcW w:w="800" w:type="dxa"/>
            <w:vAlign w:val="bottom"/>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80" w:type="dxa"/>
            <w:vAlign w:val="bottom"/>
          </w:tcPr>
          <w:p>
            <w:pPr>
              <w:spacing w:after="0"/>
              <w:rPr>
                <w:sz w:val="15"/>
                <w:szCs w:val="15"/>
                <w:color w:val="auto"/>
              </w:rPr>
            </w:pPr>
          </w:p>
        </w:tc>
        <w:tc>
          <w:tcPr>
            <w:tcW w:w="90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88"/>
        </w:trPr>
        <w:tc>
          <w:tcPr>
            <w:tcW w:w="1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60" w:type="dxa"/>
            <w:vAlign w:val="bottom"/>
          </w:tcPr>
          <w:p>
            <w:pPr>
              <w:spacing w:after="0"/>
              <w:rPr>
                <w:sz w:val="20"/>
                <w:szCs w:val="20"/>
                <w:color w:val="auto"/>
              </w:rPr>
            </w:pPr>
            <w:r>
              <w:rPr>
                <w:rFonts w:ascii="Arial" w:cs="Arial" w:eastAsia="Arial" w:hAnsi="Arial"/>
                <w:sz w:val="16"/>
                <w:szCs w:val="16"/>
                <w:color w:val="auto"/>
              </w:rPr>
              <w:t>(PS)</w:t>
            </w:r>
          </w:p>
        </w:tc>
        <w:tc>
          <w:tcPr>
            <w:tcW w:w="1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880" w:type="dxa"/>
            <w:vAlign w:val="bottom"/>
            <w:vMerge w:val="restart"/>
          </w:tcPr>
          <w:p>
            <w:pPr>
              <w:jc w:val="right"/>
              <w:ind w:right="129"/>
              <w:spacing w:after="0"/>
              <w:rPr>
                <w:sz w:val="20"/>
                <w:szCs w:val="20"/>
                <w:color w:val="auto"/>
              </w:rPr>
            </w:pPr>
            <w:r>
              <w:rPr>
                <w:rFonts w:ascii="Arial" w:cs="Arial" w:eastAsia="Arial" w:hAnsi="Arial"/>
                <w:sz w:val="16"/>
                <w:szCs w:val="16"/>
                <w:color w:val="auto"/>
              </w:rPr>
              <w:t>5,196</w:t>
            </w:r>
          </w:p>
        </w:tc>
        <w:tc>
          <w:tcPr>
            <w:tcW w:w="900" w:type="dxa"/>
            <w:vAlign w:val="bottom"/>
            <w:vMerge w:val="restart"/>
          </w:tcPr>
          <w:p>
            <w:pPr>
              <w:jc w:val="right"/>
              <w:spacing w:after="0"/>
              <w:rPr>
                <w:sz w:val="20"/>
                <w:szCs w:val="20"/>
                <w:color w:val="auto"/>
              </w:rPr>
            </w:pPr>
            <w:r>
              <w:rPr>
                <w:rFonts w:ascii="Arial" w:cs="Arial" w:eastAsia="Arial" w:hAnsi="Arial"/>
                <w:sz w:val="16"/>
                <w:szCs w:val="16"/>
                <w:color w:val="auto"/>
              </w:rPr>
              <w:t>337,584</w:t>
            </w:r>
          </w:p>
        </w:tc>
        <w:tc>
          <w:tcPr>
            <w:tcW w:w="0" w:type="dxa"/>
            <w:vAlign w:val="bottom"/>
          </w:tcPr>
          <w:p>
            <w:pPr>
              <w:spacing w:after="0"/>
              <w:rPr>
                <w:sz w:val="1"/>
                <w:szCs w:val="1"/>
                <w:color w:val="auto"/>
              </w:rPr>
            </w:pPr>
          </w:p>
        </w:tc>
      </w:tr>
      <w:tr>
        <w:trPr>
          <w:trHeight w:val="229"/>
        </w:trPr>
        <w:tc>
          <w:tcPr>
            <w:tcW w:w="1220" w:type="dxa"/>
            <w:vAlign w:val="bottom"/>
          </w:tcPr>
          <w:p>
            <w:pPr>
              <w:spacing w:after="0"/>
              <w:rPr>
                <w:sz w:val="19"/>
                <w:szCs w:val="19"/>
                <w:color w:val="auto"/>
              </w:rPr>
            </w:pPr>
          </w:p>
        </w:tc>
        <w:tc>
          <w:tcPr>
            <w:tcW w:w="1040" w:type="dxa"/>
            <w:vAlign w:val="bottom"/>
            <w:gridSpan w:val="2"/>
          </w:tcPr>
          <w:p>
            <w:pPr>
              <w:ind w:left="80"/>
              <w:spacing w:after="0" w:line="230" w:lineRule="exact"/>
              <w:rPr>
                <w:sz w:val="20"/>
                <w:szCs w:val="20"/>
                <w:color w:val="auto"/>
              </w:rPr>
            </w:pPr>
            <w:r>
              <w:rPr>
                <w:rFonts w:ascii="Arial" w:cs="Arial" w:eastAsia="Arial" w:hAnsi="Arial"/>
                <w:sz w:val="16"/>
                <w:szCs w:val="16"/>
                <w:color w:val="auto"/>
                <w:w w:val="92"/>
              </w:rPr>
              <w:t>02/17/2015</w:t>
            </w:r>
            <w:r>
              <w:rPr>
                <w:rFonts w:ascii="Arial" w:cs="Arial" w:eastAsia="Arial" w:hAnsi="Arial"/>
                <w:sz w:val="26"/>
                <w:szCs w:val="26"/>
                <w:color w:val="auto"/>
                <w:w w:val="92"/>
                <w:vertAlign w:val="superscript"/>
              </w:rPr>
              <w:t>(5)</w:t>
            </w:r>
          </w:p>
        </w:tc>
        <w:tc>
          <w:tcPr>
            <w:tcW w:w="1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880" w:type="dxa"/>
            <w:vAlign w:val="bottom"/>
            <w:vMerge w:val="continue"/>
          </w:tcPr>
          <w:p>
            <w:pPr>
              <w:spacing w:after="0"/>
              <w:rPr>
                <w:sz w:val="19"/>
                <w:szCs w:val="19"/>
                <w:color w:val="auto"/>
              </w:rPr>
            </w:pPr>
          </w:p>
        </w:tc>
        <w:tc>
          <w:tcPr>
            <w:tcW w:w="90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01"/>
        </w:trPr>
        <w:tc>
          <w:tcPr>
            <w:tcW w:w="1220" w:type="dxa"/>
            <w:vAlign w:val="bottom"/>
            <w:tcBorders>
              <w:bottom w:val="single" w:sz="8" w:color="646466"/>
            </w:tcBorders>
          </w:tcPr>
          <w:p>
            <w:pPr>
              <w:spacing w:after="0"/>
              <w:rPr>
                <w:sz w:val="17"/>
                <w:szCs w:val="17"/>
                <w:color w:val="auto"/>
              </w:rPr>
            </w:pPr>
          </w:p>
        </w:tc>
        <w:tc>
          <w:tcPr>
            <w:tcW w:w="80" w:type="dxa"/>
            <w:vAlign w:val="bottom"/>
            <w:tcBorders>
              <w:bottom w:val="single" w:sz="8" w:color="646466"/>
            </w:tcBorders>
          </w:tcPr>
          <w:p>
            <w:pPr>
              <w:spacing w:after="0"/>
              <w:rPr>
                <w:sz w:val="17"/>
                <w:szCs w:val="17"/>
                <w:color w:val="auto"/>
              </w:rPr>
            </w:pPr>
          </w:p>
        </w:tc>
        <w:tc>
          <w:tcPr>
            <w:tcW w:w="960" w:type="dxa"/>
            <w:vAlign w:val="bottom"/>
            <w:tcBorders>
              <w:bottom w:val="single" w:sz="8" w:color="646466"/>
            </w:tcBorders>
          </w:tcPr>
          <w:p>
            <w:pPr>
              <w:spacing w:after="0"/>
              <w:rPr>
                <w:sz w:val="20"/>
                <w:szCs w:val="20"/>
                <w:color w:val="auto"/>
              </w:rPr>
            </w:pPr>
            <w:r>
              <w:rPr>
                <w:rFonts w:ascii="Arial" w:cs="Arial" w:eastAsia="Arial" w:hAnsi="Arial"/>
                <w:sz w:val="16"/>
                <w:szCs w:val="16"/>
                <w:color w:val="auto"/>
              </w:rPr>
              <w:t>(RSU)</w:t>
            </w:r>
          </w:p>
        </w:tc>
        <w:tc>
          <w:tcPr>
            <w:tcW w:w="100" w:type="dxa"/>
            <w:vAlign w:val="bottom"/>
            <w:tcBorders>
              <w:bottom w:val="single" w:sz="8" w:color="646466"/>
            </w:tcBorders>
          </w:tcPr>
          <w:p>
            <w:pPr>
              <w:spacing w:after="0"/>
              <w:rPr>
                <w:sz w:val="17"/>
                <w:szCs w:val="17"/>
                <w:color w:val="auto"/>
              </w:rPr>
            </w:pPr>
          </w:p>
        </w:tc>
        <w:tc>
          <w:tcPr>
            <w:tcW w:w="820" w:type="dxa"/>
            <w:vAlign w:val="bottom"/>
            <w:tcBorders>
              <w:bottom w:val="single" w:sz="8" w:color="646466"/>
            </w:tcBorders>
          </w:tcPr>
          <w:p>
            <w:pPr>
              <w:spacing w:after="0"/>
              <w:rPr>
                <w:sz w:val="17"/>
                <w:szCs w:val="17"/>
                <w:color w:val="auto"/>
              </w:rPr>
            </w:pPr>
          </w:p>
        </w:tc>
        <w:tc>
          <w:tcPr>
            <w:tcW w:w="80" w:type="dxa"/>
            <w:vAlign w:val="bottom"/>
            <w:tcBorders>
              <w:bottom w:val="single" w:sz="8" w:color="646466"/>
            </w:tcBorders>
          </w:tcPr>
          <w:p>
            <w:pPr>
              <w:spacing w:after="0"/>
              <w:rPr>
                <w:sz w:val="17"/>
                <w:szCs w:val="17"/>
                <w:color w:val="auto"/>
              </w:rPr>
            </w:pPr>
          </w:p>
        </w:tc>
        <w:tc>
          <w:tcPr>
            <w:tcW w:w="920" w:type="dxa"/>
            <w:vAlign w:val="bottom"/>
            <w:tcBorders>
              <w:bottom w:val="single" w:sz="8" w:color="646466"/>
            </w:tcBorders>
          </w:tcPr>
          <w:p>
            <w:pPr>
              <w:spacing w:after="0"/>
              <w:rPr>
                <w:sz w:val="17"/>
                <w:szCs w:val="17"/>
                <w:color w:val="auto"/>
              </w:rPr>
            </w:pPr>
          </w:p>
        </w:tc>
        <w:tc>
          <w:tcPr>
            <w:tcW w:w="1020" w:type="dxa"/>
            <w:vAlign w:val="bottom"/>
            <w:tcBorders>
              <w:bottom w:val="single" w:sz="8" w:color="646466"/>
            </w:tcBorders>
          </w:tcPr>
          <w:p>
            <w:pPr>
              <w:spacing w:after="0"/>
              <w:rPr>
                <w:sz w:val="17"/>
                <w:szCs w:val="17"/>
                <w:color w:val="auto"/>
              </w:rPr>
            </w:pPr>
          </w:p>
        </w:tc>
        <w:tc>
          <w:tcPr>
            <w:tcW w:w="840" w:type="dxa"/>
            <w:vAlign w:val="bottom"/>
            <w:tcBorders>
              <w:bottom w:val="single" w:sz="8" w:color="646466"/>
            </w:tcBorders>
          </w:tcPr>
          <w:p>
            <w:pPr>
              <w:spacing w:after="0"/>
              <w:rPr>
                <w:sz w:val="17"/>
                <w:szCs w:val="17"/>
                <w:color w:val="auto"/>
              </w:rPr>
            </w:pPr>
          </w:p>
        </w:tc>
        <w:tc>
          <w:tcPr>
            <w:tcW w:w="800" w:type="dxa"/>
            <w:vAlign w:val="bottom"/>
            <w:tcBorders>
              <w:bottom w:val="single" w:sz="8" w:color="646466"/>
            </w:tcBorders>
          </w:tcPr>
          <w:p>
            <w:pPr>
              <w:spacing w:after="0"/>
              <w:rPr>
                <w:sz w:val="17"/>
                <w:szCs w:val="17"/>
                <w:color w:val="auto"/>
              </w:rPr>
            </w:pPr>
          </w:p>
        </w:tc>
        <w:tc>
          <w:tcPr>
            <w:tcW w:w="620" w:type="dxa"/>
            <w:vAlign w:val="bottom"/>
            <w:tcBorders>
              <w:bottom w:val="single" w:sz="8" w:color="646466"/>
            </w:tcBorders>
          </w:tcPr>
          <w:p>
            <w:pPr>
              <w:spacing w:after="0"/>
              <w:rPr>
                <w:sz w:val="17"/>
                <w:szCs w:val="17"/>
                <w:color w:val="auto"/>
              </w:rPr>
            </w:pPr>
          </w:p>
        </w:tc>
        <w:tc>
          <w:tcPr>
            <w:tcW w:w="880" w:type="dxa"/>
            <w:vAlign w:val="bottom"/>
            <w:tcBorders>
              <w:bottom w:val="single" w:sz="8" w:color="646466"/>
            </w:tcBorders>
          </w:tcPr>
          <w:p>
            <w:pPr>
              <w:spacing w:after="0"/>
              <w:rPr>
                <w:sz w:val="17"/>
                <w:szCs w:val="17"/>
                <w:color w:val="auto"/>
              </w:rPr>
            </w:pPr>
          </w:p>
        </w:tc>
        <w:tc>
          <w:tcPr>
            <w:tcW w:w="900" w:type="dxa"/>
            <w:vAlign w:val="bottom"/>
            <w:tcBorders>
              <w:bottom w:val="single" w:sz="8" w:color="646466"/>
            </w:tcBorders>
          </w:tcPr>
          <w:p>
            <w:pPr>
              <w:spacing w:after="0"/>
              <w:rPr>
                <w:sz w:val="17"/>
                <w:szCs w:val="17"/>
                <w:color w:val="auto"/>
              </w:rPr>
            </w:pPr>
          </w:p>
        </w:tc>
        <w:tc>
          <w:tcPr>
            <w:tcW w:w="0" w:type="dxa"/>
            <w:vAlign w:val="bottom"/>
          </w:tcPr>
          <w:p>
            <w:pPr>
              <w:spacing w:after="0"/>
              <w:rPr>
                <w:sz w:val="1"/>
                <w:szCs w:val="1"/>
                <w:color w:val="auto"/>
              </w:rPr>
            </w:pPr>
          </w:p>
        </w:tc>
      </w:tr>
      <w:tr>
        <w:trPr>
          <w:trHeight w:val="157"/>
        </w:trPr>
        <w:tc>
          <w:tcPr>
            <w:tcW w:w="1220" w:type="dxa"/>
            <w:vAlign w:val="bottom"/>
            <w:shd w:val="clear" w:color="auto" w:fill="E3E5EB"/>
          </w:tcPr>
          <w:p>
            <w:pPr>
              <w:spacing w:after="0" w:line="157" w:lineRule="exact"/>
              <w:rPr>
                <w:sz w:val="20"/>
                <w:szCs w:val="20"/>
                <w:color w:val="auto"/>
              </w:rPr>
            </w:pPr>
            <w:r>
              <w:rPr>
                <w:rFonts w:ascii="Arial" w:cs="Arial" w:eastAsia="Arial" w:hAnsi="Arial"/>
                <w:sz w:val="16"/>
                <w:szCs w:val="16"/>
                <w:b w:val="1"/>
                <w:bCs w:val="1"/>
                <w:color w:val="auto"/>
              </w:rPr>
              <w:t>Mark A.</w:t>
            </w:r>
          </w:p>
        </w:tc>
        <w:tc>
          <w:tcPr>
            <w:tcW w:w="80" w:type="dxa"/>
            <w:vAlign w:val="bottom"/>
            <w:shd w:val="clear" w:color="auto" w:fill="E3E5EB"/>
          </w:tcPr>
          <w:p>
            <w:pPr>
              <w:spacing w:after="0"/>
              <w:rPr>
                <w:sz w:val="13"/>
                <w:szCs w:val="13"/>
                <w:color w:val="auto"/>
              </w:rPr>
            </w:pPr>
          </w:p>
        </w:tc>
        <w:tc>
          <w:tcPr>
            <w:tcW w:w="960" w:type="dxa"/>
            <w:vAlign w:val="bottom"/>
            <w:shd w:val="clear" w:color="auto" w:fill="E3E5EB"/>
          </w:tcPr>
          <w:p>
            <w:pPr>
              <w:spacing w:after="0"/>
              <w:rPr>
                <w:sz w:val="13"/>
                <w:szCs w:val="13"/>
                <w:color w:val="auto"/>
              </w:rPr>
            </w:pPr>
          </w:p>
        </w:tc>
        <w:tc>
          <w:tcPr>
            <w:tcW w:w="100" w:type="dxa"/>
            <w:vAlign w:val="bottom"/>
            <w:shd w:val="clear" w:color="auto" w:fill="E3E5EB"/>
          </w:tcPr>
          <w:p>
            <w:pPr>
              <w:spacing w:after="0"/>
              <w:rPr>
                <w:sz w:val="13"/>
                <w:szCs w:val="13"/>
                <w:color w:val="auto"/>
              </w:rPr>
            </w:pPr>
          </w:p>
        </w:tc>
        <w:tc>
          <w:tcPr>
            <w:tcW w:w="820" w:type="dxa"/>
            <w:vAlign w:val="bottom"/>
            <w:shd w:val="clear" w:color="auto" w:fill="E3E5EB"/>
          </w:tcPr>
          <w:p>
            <w:pPr>
              <w:spacing w:after="0"/>
              <w:rPr>
                <w:sz w:val="13"/>
                <w:szCs w:val="13"/>
                <w:color w:val="auto"/>
              </w:rPr>
            </w:pPr>
          </w:p>
        </w:tc>
        <w:tc>
          <w:tcPr>
            <w:tcW w:w="80" w:type="dxa"/>
            <w:vAlign w:val="bottom"/>
            <w:shd w:val="clear" w:color="auto" w:fill="E3E5EB"/>
          </w:tcPr>
          <w:p>
            <w:pPr>
              <w:spacing w:after="0"/>
              <w:rPr>
                <w:sz w:val="13"/>
                <w:szCs w:val="13"/>
                <w:color w:val="auto"/>
              </w:rPr>
            </w:pPr>
          </w:p>
        </w:tc>
        <w:tc>
          <w:tcPr>
            <w:tcW w:w="920" w:type="dxa"/>
            <w:vAlign w:val="bottom"/>
            <w:shd w:val="clear" w:color="auto" w:fill="E3E5EB"/>
          </w:tcPr>
          <w:p>
            <w:pPr>
              <w:spacing w:after="0"/>
              <w:rPr>
                <w:sz w:val="13"/>
                <w:szCs w:val="13"/>
                <w:color w:val="auto"/>
              </w:rPr>
            </w:pPr>
          </w:p>
        </w:tc>
        <w:tc>
          <w:tcPr>
            <w:tcW w:w="1020" w:type="dxa"/>
            <w:vAlign w:val="bottom"/>
            <w:shd w:val="clear" w:color="auto" w:fill="E3E5EB"/>
          </w:tcPr>
          <w:p>
            <w:pPr>
              <w:spacing w:after="0"/>
              <w:rPr>
                <w:sz w:val="13"/>
                <w:szCs w:val="13"/>
                <w:color w:val="auto"/>
              </w:rPr>
            </w:pPr>
          </w:p>
        </w:tc>
        <w:tc>
          <w:tcPr>
            <w:tcW w:w="840" w:type="dxa"/>
            <w:vAlign w:val="bottom"/>
            <w:shd w:val="clear" w:color="auto" w:fill="E3E5EB"/>
          </w:tcPr>
          <w:p>
            <w:pPr>
              <w:spacing w:after="0"/>
              <w:rPr>
                <w:sz w:val="13"/>
                <w:szCs w:val="13"/>
                <w:color w:val="auto"/>
              </w:rPr>
            </w:pPr>
          </w:p>
        </w:tc>
        <w:tc>
          <w:tcPr>
            <w:tcW w:w="800" w:type="dxa"/>
            <w:vAlign w:val="bottom"/>
            <w:shd w:val="clear" w:color="auto" w:fill="E3E5EB"/>
          </w:tcPr>
          <w:p>
            <w:pPr>
              <w:spacing w:after="0"/>
              <w:rPr>
                <w:sz w:val="13"/>
                <w:szCs w:val="13"/>
                <w:color w:val="auto"/>
              </w:rPr>
            </w:pPr>
          </w:p>
        </w:tc>
        <w:tc>
          <w:tcPr>
            <w:tcW w:w="620" w:type="dxa"/>
            <w:vAlign w:val="bottom"/>
            <w:shd w:val="clear" w:color="auto" w:fill="E3E5EB"/>
          </w:tcPr>
          <w:p>
            <w:pPr>
              <w:spacing w:after="0"/>
              <w:rPr>
                <w:sz w:val="13"/>
                <w:szCs w:val="13"/>
                <w:color w:val="auto"/>
              </w:rPr>
            </w:pPr>
          </w:p>
        </w:tc>
        <w:tc>
          <w:tcPr>
            <w:tcW w:w="880" w:type="dxa"/>
            <w:vAlign w:val="bottom"/>
            <w:shd w:val="clear" w:color="auto" w:fill="E3E5EB"/>
          </w:tcPr>
          <w:p>
            <w:pPr>
              <w:spacing w:after="0"/>
              <w:rPr>
                <w:sz w:val="13"/>
                <w:szCs w:val="13"/>
                <w:color w:val="auto"/>
              </w:rPr>
            </w:pPr>
          </w:p>
        </w:tc>
        <w:tc>
          <w:tcPr>
            <w:tcW w:w="900" w:type="dxa"/>
            <w:vAlign w:val="bottom"/>
            <w:shd w:val="clear" w:color="auto" w:fill="E3E5EB"/>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20" w:type="dxa"/>
            <w:vAlign w:val="bottom"/>
            <w:shd w:val="clear" w:color="auto" w:fill="E3E5EB"/>
          </w:tcPr>
          <w:p>
            <w:pPr>
              <w:ind w:left="140"/>
              <w:spacing w:after="0"/>
              <w:rPr>
                <w:sz w:val="20"/>
                <w:szCs w:val="20"/>
                <w:color w:val="auto"/>
              </w:rPr>
            </w:pPr>
            <w:r>
              <w:rPr>
                <w:rFonts w:ascii="Arial" w:cs="Arial" w:eastAsia="Arial" w:hAnsi="Arial"/>
                <w:sz w:val="16"/>
                <w:szCs w:val="16"/>
                <w:b w:val="1"/>
                <w:bCs w:val="1"/>
                <w:color w:val="auto"/>
              </w:rPr>
              <w:t>Schiavoni</w:t>
            </w:r>
          </w:p>
        </w:tc>
        <w:tc>
          <w:tcPr>
            <w:tcW w:w="80" w:type="dxa"/>
            <w:vAlign w:val="bottom"/>
            <w:shd w:val="clear" w:color="auto" w:fill="E3E5EB"/>
          </w:tcPr>
          <w:p>
            <w:pPr>
              <w:spacing w:after="0"/>
              <w:rPr>
                <w:sz w:val="17"/>
                <w:szCs w:val="17"/>
                <w:color w:val="auto"/>
              </w:rPr>
            </w:pPr>
          </w:p>
        </w:tc>
        <w:tc>
          <w:tcPr>
            <w:tcW w:w="960" w:type="dxa"/>
            <w:vAlign w:val="bottom"/>
            <w:shd w:val="clear" w:color="auto" w:fill="E3E5EB"/>
          </w:tcPr>
          <w:p>
            <w:pPr>
              <w:spacing w:after="0"/>
              <w:rPr>
                <w:sz w:val="17"/>
                <w:szCs w:val="17"/>
                <w:color w:val="auto"/>
              </w:rPr>
            </w:pPr>
          </w:p>
        </w:tc>
        <w:tc>
          <w:tcPr>
            <w:tcW w:w="920" w:type="dxa"/>
            <w:vAlign w:val="bottom"/>
            <w:gridSpan w:val="2"/>
            <w:shd w:val="clear" w:color="auto" w:fill="E3E5EB"/>
          </w:tcPr>
          <w:p>
            <w:pPr>
              <w:jc w:val="right"/>
              <w:ind w:right="172"/>
              <w:spacing w:after="0"/>
              <w:rPr>
                <w:sz w:val="20"/>
                <w:szCs w:val="20"/>
                <w:color w:val="auto"/>
              </w:rPr>
            </w:pPr>
            <w:r>
              <w:rPr>
                <w:rFonts w:ascii="Arial" w:cs="Arial" w:eastAsia="Arial" w:hAnsi="Arial"/>
                <w:sz w:val="16"/>
                <w:szCs w:val="16"/>
                <w:color w:val="auto"/>
              </w:rPr>
              <w:t>2,240</w:t>
            </w:r>
          </w:p>
        </w:tc>
        <w:tc>
          <w:tcPr>
            <w:tcW w:w="1000" w:type="dxa"/>
            <w:vAlign w:val="bottom"/>
            <w:gridSpan w:val="2"/>
            <w:shd w:val="clear" w:color="auto" w:fill="E3E5EB"/>
          </w:tcPr>
          <w:p>
            <w:pPr>
              <w:jc w:val="right"/>
              <w:ind w:right="84"/>
              <w:spacing w:after="0"/>
              <w:rPr>
                <w:sz w:val="20"/>
                <w:szCs w:val="20"/>
                <w:color w:val="auto"/>
              </w:rPr>
            </w:pPr>
            <w:r>
              <w:rPr>
                <w:rFonts w:ascii="Arial" w:cs="Arial" w:eastAsia="Arial" w:hAnsi="Arial"/>
                <w:sz w:val="16"/>
                <w:szCs w:val="16"/>
                <w:color w:val="auto"/>
              </w:rPr>
              <w:t>448,000</w:t>
            </w:r>
          </w:p>
        </w:tc>
        <w:tc>
          <w:tcPr>
            <w:tcW w:w="1020" w:type="dxa"/>
            <w:vAlign w:val="bottom"/>
            <w:shd w:val="clear" w:color="auto" w:fill="E3E5EB"/>
          </w:tcPr>
          <w:p>
            <w:pPr>
              <w:jc w:val="right"/>
              <w:ind w:right="124"/>
              <w:spacing w:after="0"/>
              <w:rPr>
                <w:sz w:val="20"/>
                <w:szCs w:val="20"/>
                <w:color w:val="auto"/>
              </w:rPr>
            </w:pPr>
            <w:r>
              <w:rPr>
                <w:rFonts w:ascii="Arial" w:cs="Arial" w:eastAsia="Arial" w:hAnsi="Arial"/>
                <w:sz w:val="16"/>
                <w:szCs w:val="16"/>
                <w:color w:val="auto"/>
              </w:rPr>
              <w:t>896,000</w:t>
            </w:r>
          </w:p>
        </w:tc>
        <w:tc>
          <w:tcPr>
            <w:tcW w:w="840" w:type="dxa"/>
            <w:vAlign w:val="bottom"/>
            <w:vMerge w:val="restart"/>
            <w:shd w:val="clear" w:color="auto" w:fill="E3E5EB"/>
          </w:tcPr>
          <w:p>
            <w:pPr>
              <w:jc w:val="right"/>
              <w:ind w:right="67"/>
              <w:spacing w:after="0"/>
              <w:rPr>
                <w:sz w:val="20"/>
                <w:szCs w:val="20"/>
                <w:color w:val="auto"/>
              </w:rPr>
            </w:pPr>
            <w:r>
              <w:rPr>
                <w:rFonts w:ascii="Arial" w:cs="Arial" w:eastAsia="Arial" w:hAnsi="Arial"/>
                <w:sz w:val="16"/>
                <w:szCs w:val="16"/>
                <w:color w:val="auto"/>
              </w:rPr>
              <w:t>4,233</w:t>
            </w:r>
          </w:p>
        </w:tc>
        <w:tc>
          <w:tcPr>
            <w:tcW w:w="800" w:type="dxa"/>
            <w:vAlign w:val="bottom"/>
            <w:vMerge w:val="restart"/>
            <w:shd w:val="clear" w:color="auto" w:fill="E3E5EB"/>
          </w:tcPr>
          <w:p>
            <w:pPr>
              <w:jc w:val="right"/>
              <w:ind w:right="103"/>
              <w:spacing w:after="0"/>
              <w:rPr>
                <w:sz w:val="20"/>
                <w:szCs w:val="20"/>
                <w:color w:val="auto"/>
              </w:rPr>
            </w:pPr>
            <w:r>
              <w:rPr>
                <w:rFonts w:ascii="Arial" w:cs="Arial" w:eastAsia="Arial" w:hAnsi="Arial"/>
                <w:sz w:val="16"/>
                <w:szCs w:val="16"/>
                <w:color w:val="auto"/>
              </w:rPr>
              <w:t>8,466</w:t>
            </w:r>
          </w:p>
        </w:tc>
        <w:tc>
          <w:tcPr>
            <w:tcW w:w="620" w:type="dxa"/>
            <w:vAlign w:val="bottom"/>
            <w:vMerge w:val="restart"/>
            <w:shd w:val="clear" w:color="auto" w:fill="E3E5EB"/>
          </w:tcPr>
          <w:p>
            <w:pPr>
              <w:jc w:val="center"/>
              <w:ind w:right="23"/>
              <w:spacing w:after="0"/>
              <w:rPr>
                <w:sz w:val="20"/>
                <w:szCs w:val="20"/>
                <w:color w:val="auto"/>
              </w:rPr>
            </w:pPr>
            <w:r>
              <w:rPr>
                <w:rFonts w:ascii="Arial" w:cs="Arial" w:eastAsia="Arial" w:hAnsi="Arial"/>
                <w:sz w:val="16"/>
                <w:szCs w:val="16"/>
                <w:color w:val="auto"/>
                <w:w w:val="98"/>
              </w:rPr>
              <w:t>16,932</w:t>
            </w:r>
          </w:p>
        </w:tc>
        <w:tc>
          <w:tcPr>
            <w:tcW w:w="880" w:type="dxa"/>
            <w:vAlign w:val="bottom"/>
            <w:shd w:val="clear" w:color="auto" w:fill="E3E5EB"/>
          </w:tcPr>
          <w:p>
            <w:pPr>
              <w:spacing w:after="0"/>
              <w:rPr>
                <w:sz w:val="17"/>
                <w:szCs w:val="17"/>
                <w:color w:val="auto"/>
              </w:rPr>
            </w:pPr>
          </w:p>
        </w:tc>
        <w:tc>
          <w:tcPr>
            <w:tcW w:w="900" w:type="dxa"/>
            <w:vAlign w:val="bottom"/>
            <w:vMerge w:val="restart"/>
            <w:shd w:val="clear" w:color="auto" w:fill="E3E5EB"/>
          </w:tcPr>
          <w:p>
            <w:pPr>
              <w:jc w:val="right"/>
              <w:ind w:right="6"/>
              <w:spacing w:after="0"/>
              <w:rPr>
                <w:sz w:val="20"/>
                <w:szCs w:val="20"/>
                <w:color w:val="auto"/>
              </w:rPr>
            </w:pPr>
            <w:r>
              <w:rPr>
                <w:rFonts w:ascii="Arial" w:cs="Arial" w:eastAsia="Arial" w:hAnsi="Arial"/>
                <w:sz w:val="16"/>
                <w:szCs w:val="16"/>
                <w:color w:val="auto"/>
              </w:rPr>
              <w:t>550,036</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line="221" w:lineRule="exact"/>
              <w:rPr>
                <w:sz w:val="20"/>
                <w:szCs w:val="20"/>
                <w:color w:val="auto"/>
              </w:rPr>
            </w:pPr>
            <w:r>
              <w:rPr>
                <w:rFonts w:ascii="Arial" w:cs="Arial" w:eastAsia="Arial" w:hAnsi="Arial"/>
                <w:sz w:val="15"/>
                <w:szCs w:val="15"/>
                <w:color w:val="auto"/>
                <w:w w:val="98"/>
              </w:rPr>
              <w:t>02/17/2015</w:t>
            </w:r>
            <w:r>
              <w:rPr>
                <w:rFonts w:ascii="Arial" w:cs="Arial" w:eastAsia="Arial" w:hAnsi="Arial"/>
                <w:sz w:val="25"/>
                <w:szCs w:val="25"/>
                <w:color w:val="auto"/>
                <w:w w:val="98"/>
                <w:vertAlign w:val="superscript"/>
              </w:rPr>
              <w:t>(4)</w:t>
            </w: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vMerge w:val="continue"/>
            <w:shd w:val="clear" w:color="auto" w:fill="E3E5EB"/>
          </w:tcPr>
          <w:p>
            <w:pPr>
              <w:spacing w:after="0"/>
              <w:rPr>
                <w:sz w:val="19"/>
                <w:szCs w:val="19"/>
                <w:color w:val="auto"/>
              </w:rPr>
            </w:pPr>
          </w:p>
        </w:tc>
        <w:tc>
          <w:tcPr>
            <w:tcW w:w="800" w:type="dxa"/>
            <w:vAlign w:val="bottom"/>
            <w:vMerge w:val="continue"/>
            <w:shd w:val="clear" w:color="auto" w:fill="E3E5EB"/>
          </w:tcPr>
          <w:p>
            <w:pPr>
              <w:spacing w:after="0"/>
              <w:rPr>
                <w:sz w:val="19"/>
                <w:szCs w:val="19"/>
                <w:color w:val="auto"/>
              </w:rPr>
            </w:pPr>
          </w:p>
        </w:tc>
        <w:tc>
          <w:tcPr>
            <w:tcW w:w="620" w:type="dxa"/>
            <w:vAlign w:val="bottom"/>
            <w:vMerge w:val="continue"/>
            <w:shd w:val="clear" w:color="auto" w:fill="E3E5EB"/>
          </w:tcPr>
          <w:p>
            <w:pPr>
              <w:spacing w:after="0"/>
              <w:rPr>
                <w:sz w:val="19"/>
                <w:szCs w:val="19"/>
                <w:color w:val="auto"/>
              </w:rPr>
            </w:pPr>
          </w:p>
        </w:tc>
        <w:tc>
          <w:tcPr>
            <w:tcW w:w="880" w:type="dxa"/>
            <w:vAlign w:val="bottom"/>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60" w:type="dxa"/>
            <w:vAlign w:val="bottom"/>
            <w:shd w:val="clear" w:color="auto" w:fill="E3E5EB"/>
          </w:tcPr>
          <w:p>
            <w:pPr>
              <w:spacing w:after="0"/>
              <w:rPr>
                <w:sz w:val="20"/>
                <w:szCs w:val="20"/>
                <w:color w:val="auto"/>
              </w:rPr>
            </w:pPr>
            <w:r>
              <w:rPr>
                <w:rFonts w:ascii="Arial" w:cs="Arial" w:eastAsia="Arial" w:hAnsi="Arial"/>
                <w:sz w:val="16"/>
                <w:szCs w:val="16"/>
                <w:color w:val="auto"/>
              </w:rPr>
              <w:t>(PS)</w:t>
            </w:r>
          </w:p>
        </w:tc>
        <w:tc>
          <w:tcPr>
            <w:tcW w:w="100" w:type="dxa"/>
            <w:vAlign w:val="bottom"/>
            <w:shd w:val="clear" w:color="auto" w:fill="E3E5EB"/>
          </w:tcPr>
          <w:p>
            <w:pPr>
              <w:spacing w:after="0"/>
              <w:rPr>
                <w:sz w:val="16"/>
                <w:szCs w:val="16"/>
                <w:color w:val="auto"/>
              </w:rPr>
            </w:pPr>
          </w:p>
        </w:tc>
        <w:tc>
          <w:tcPr>
            <w:tcW w:w="820" w:type="dxa"/>
            <w:vAlign w:val="bottom"/>
            <w:shd w:val="clear" w:color="auto" w:fill="E3E5EB"/>
          </w:tcPr>
          <w:p>
            <w:pPr>
              <w:spacing w:after="0"/>
              <w:rPr>
                <w:sz w:val="16"/>
                <w:szCs w:val="16"/>
                <w:color w:val="auto"/>
              </w:rPr>
            </w:pPr>
          </w:p>
        </w:tc>
        <w:tc>
          <w:tcPr>
            <w:tcW w:w="80" w:type="dxa"/>
            <w:vAlign w:val="bottom"/>
            <w:shd w:val="clear" w:color="auto" w:fill="E3E5EB"/>
          </w:tcPr>
          <w:p>
            <w:pPr>
              <w:spacing w:after="0"/>
              <w:rPr>
                <w:sz w:val="16"/>
                <w:szCs w:val="16"/>
                <w:color w:val="auto"/>
              </w:rPr>
            </w:pPr>
          </w:p>
        </w:tc>
        <w:tc>
          <w:tcPr>
            <w:tcW w:w="920" w:type="dxa"/>
            <w:vAlign w:val="bottom"/>
            <w:shd w:val="clear" w:color="auto" w:fill="E3E5EB"/>
          </w:tcPr>
          <w:p>
            <w:pPr>
              <w:spacing w:after="0"/>
              <w:rPr>
                <w:sz w:val="16"/>
                <w:szCs w:val="16"/>
                <w:color w:val="auto"/>
              </w:rPr>
            </w:pPr>
          </w:p>
        </w:tc>
        <w:tc>
          <w:tcPr>
            <w:tcW w:w="1020" w:type="dxa"/>
            <w:vAlign w:val="bottom"/>
            <w:shd w:val="clear" w:color="auto" w:fill="E3E5EB"/>
          </w:tcPr>
          <w:p>
            <w:pPr>
              <w:spacing w:after="0"/>
              <w:rPr>
                <w:sz w:val="16"/>
                <w:szCs w:val="16"/>
                <w:color w:val="auto"/>
              </w:rPr>
            </w:pPr>
          </w:p>
        </w:tc>
        <w:tc>
          <w:tcPr>
            <w:tcW w:w="840" w:type="dxa"/>
            <w:vAlign w:val="bottom"/>
            <w:shd w:val="clear" w:color="auto" w:fill="E3E5EB"/>
          </w:tcPr>
          <w:p>
            <w:pPr>
              <w:spacing w:after="0"/>
              <w:rPr>
                <w:sz w:val="16"/>
                <w:szCs w:val="16"/>
                <w:color w:val="auto"/>
              </w:rPr>
            </w:pPr>
          </w:p>
        </w:tc>
        <w:tc>
          <w:tcPr>
            <w:tcW w:w="800" w:type="dxa"/>
            <w:vAlign w:val="bottom"/>
            <w:shd w:val="clear" w:color="auto" w:fill="E3E5EB"/>
          </w:tcPr>
          <w:p>
            <w:pPr>
              <w:spacing w:after="0"/>
              <w:rPr>
                <w:sz w:val="16"/>
                <w:szCs w:val="16"/>
                <w:color w:val="auto"/>
              </w:rPr>
            </w:pPr>
          </w:p>
        </w:tc>
        <w:tc>
          <w:tcPr>
            <w:tcW w:w="620" w:type="dxa"/>
            <w:vAlign w:val="bottom"/>
            <w:shd w:val="clear" w:color="auto" w:fill="E3E5EB"/>
          </w:tcPr>
          <w:p>
            <w:pPr>
              <w:spacing w:after="0"/>
              <w:rPr>
                <w:sz w:val="16"/>
                <w:szCs w:val="16"/>
                <w:color w:val="auto"/>
              </w:rPr>
            </w:pPr>
          </w:p>
        </w:tc>
        <w:tc>
          <w:tcPr>
            <w:tcW w:w="880" w:type="dxa"/>
            <w:vAlign w:val="bottom"/>
            <w:vMerge w:val="restart"/>
            <w:shd w:val="clear" w:color="auto" w:fill="E3E5EB"/>
          </w:tcPr>
          <w:p>
            <w:pPr>
              <w:jc w:val="right"/>
              <w:ind w:right="129"/>
              <w:spacing w:after="0"/>
              <w:rPr>
                <w:sz w:val="20"/>
                <w:szCs w:val="20"/>
                <w:color w:val="auto"/>
              </w:rPr>
            </w:pPr>
            <w:r>
              <w:rPr>
                <w:rFonts w:ascii="Arial" w:cs="Arial" w:eastAsia="Arial" w:hAnsi="Arial"/>
                <w:sz w:val="16"/>
                <w:szCs w:val="16"/>
                <w:color w:val="auto"/>
              </w:rPr>
              <w:t>6,928</w:t>
            </w:r>
          </w:p>
        </w:tc>
        <w:tc>
          <w:tcPr>
            <w:tcW w:w="900" w:type="dxa"/>
            <w:vAlign w:val="bottom"/>
            <w:vMerge w:val="restart"/>
            <w:shd w:val="clear" w:color="auto" w:fill="E3E5EB"/>
          </w:tcPr>
          <w:p>
            <w:pPr>
              <w:jc w:val="right"/>
              <w:ind w:right="6"/>
              <w:spacing w:after="0"/>
              <w:rPr>
                <w:sz w:val="20"/>
                <w:szCs w:val="20"/>
                <w:color w:val="auto"/>
              </w:rPr>
            </w:pPr>
            <w:r>
              <w:rPr>
                <w:rFonts w:ascii="Arial" w:cs="Arial" w:eastAsia="Arial" w:hAnsi="Arial"/>
                <w:sz w:val="16"/>
                <w:szCs w:val="16"/>
                <w:color w:val="auto"/>
              </w:rPr>
              <w:t>450,112</w:t>
            </w:r>
          </w:p>
        </w:tc>
        <w:tc>
          <w:tcPr>
            <w:tcW w:w="0" w:type="dxa"/>
            <w:vAlign w:val="bottom"/>
          </w:tcPr>
          <w:p>
            <w:pPr>
              <w:spacing w:after="0"/>
              <w:rPr>
                <w:sz w:val="1"/>
                <w:szCs w:val="1"/>
                <w:color w:val="auto"/>
              </w:rPr>
            </w:pPr>
          </w:p>
        </w:tc>
      </w:tr>
      <w:tr>
        <w:trPr>
          <w:trHeight w:val="221"/>
        </w:trPr>
        <w:tc>
          <w:tcPr>
            <w:tcW w:w="12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60" w:type="dxa"/>
            <w:vAlign w:val="bottom"/>
            <w:shd w:val="clear" w:color="auto" w:fill="E3E5EB"/>
          </w:tcPr>
          <w:p>
            <w:pPr>
              <w:spacing w:after="0" w:line="221" w:lineRule="exact"/>
              <w:rPr>
                <w:sz w:val="20"/>
                <w:szCs w:val="20"/>
                <w:color w:val="auto"/>
              </w:rPr>
            </w:pPr>
            <w:r>
              <w:rPr>
                <w:rFonts w:ascii="Arial" w:cs="Arial" w:eastAsia="Arial" w:hAnsi="Arial"/>
                <w:sz w:val="15"/>
                <w:szCs w:val="15"/>
                <w:color w:val="auto"/>
                <w:w w:val="98"/>
              </w:rPr>
              <w:t>02/17/2015</w:t>
            </w:r>
            <w:r>
              <w:rPr>
                <w:rFonts w:ascii="Arial" w:cs="Arial" w:eastAsia="Arial" w:hAnsi="Arial"/>
                <w:sz w:val="25"/>
                <w:szCs w:val="25"/>
                <w:color w:val="auto"/>
                <w:w w:val="98"/>
                <w:vertAlign w:val="superscript"/>
              </w:rPr>
              <w:t>(5)</w:t>
            </w:r>
          </w:p>
        </w:tc>
        <w:tc>
          <w:tcPr>
            <w:tcW w:w="100" w:type="dxa"/>
            <w:vAlign w:val="bottom"/>
            <w:shd w:val="clear" w:color="auto" w:fill="E3E5EB"/>
          </w:tcPr>
          <w:p>
            <w:pPr>
              <w:spacing w:after="0"/>
              <w:rPr>
                <w:sz w:val="19"/>
                <w:szCs w:val="19"/>
                <w:color w:val="auto"/>
              </w:rPr>
            </w:pPr>
          </w:p>
        </w:tc>
        <w:tc>
          <w:tcPr>
            <w:tcW w:w="820" w:type="dxa"/>
            <w:vAlign w:val="bottom"/>
            <w:shd w:val="clear" w:color="auto" w:fill="E3E5EB"/>
          </w:tcPr>
          <w:p>
            <w:pPr>
              <w:spacing w:after="0"/>
              <w:rPr>
                <w:sz w:val="19"/>
                <w:szCs w:val="19"/>
                <w:color w:val="auto"/>
              </w:rPr>
            </w:pPr>
          </w:p>
        </w:tc>
        <w:tc>
          <w:tcPr>
            <w:tcW w:w="80" w:type="dxa"/>
            <w:vAlign w:val="bottom"/>
            <w:shd w:val="clear" w:color="auto" w:fill="E3E5EB"/>
          </w:tcPr>
          <w:p>
            <w:pPr>
              <w:spacing w:after="0"/>
              <w:rPr>
                <w:sz w:val="19"/>
                <w:szCs w:val="19"/>
                <w:color w:val="auto"/>
              </w:rPr>
            </w:pPr>
          </w:p>
        </w:tc>
        <w:tc>
          <w:tcPr>
            <w:tcW w:w="920" w:type="dxa"/>
            <w:vAlign w:val="bottom"/>
            <w:shd w:val="clear" w:color="auto" w:fill="E3E5EB"/>
          </w:tcPr>
          <w:p>
            <w:pPr>
              <w:spacing w:after="0"/>
              <w:rPr>
                <w:sz w:val="19"/>
                <w:szCs w:val="19"/>
                <w:color w:val="auto"/>
              </w:rPr>
            </w:pPr>
          </w:p>
        </w:tc>
        <w:tc>
          <w:tcPr>
            <w:tcW w:w="1020" w:type="dxa"/>
            <w:vAlign w:val="bottom"/>
            <w:shd w:val="clear" w:color="auto" w:fill="E3E5EB"/>
          </w:tcPr>
          <w:p>
            <w:pPr>
              <w:spacing w:after="0"/>
              <w:rPr>
                <w:sz w:val="19"/>
                <w:szCs w:val="19"/>
                <w:color w:val="auto"/>
              </w:rPr>
            </w:pPr>
          </w:p>
        </w:tc>
        <w:tc>
          <w:tcPr>
            <w:tcW w:w="840" w:type="dxa"/>
            <w:vAlign w:val="bottom"/>
            <w:shd w:val="clear" w:color="auto" w:fill="E3E5EB"/>
          </w:tcPr>
          <w:p>
            <w:pPr>
              <w:spacing w:after="0"/>
              <w:rPr>
                <w:sz w:val="19"/>
                <w:szCs w:val="19"/>
                <w:color w:val="auto"/>
              </w:rPr>
            </w:pPr>
          </w:p>
        </w:tc>
        <w:tc>
          <w:tcPr>
            <w:tcW w:w="800" w:type="dxa"/>
            <w:vAlign w:val="bottom"/>
            <w:shd w:val="clear" w:color="auto" w:fill="E3E5EB"/>
          </w:tcPr>
          <w:p>
            <w:pPr>
              <w:spacing w:after="0"/>
              <w:rPr>
                <w:sz w:val="19"/>
                <w:szCs w:val="19"/>
                <w:color w:val="auto"/>
              </w:rPr>
            </w:pPr>
          </w:p>
        </w:tc>
        <w:tc>
          <w:tcPr>
            <w:tcW w:w="620" w:type="dxa"/>
            <w:vAlign w:val="bottom"/>
            <w:shd w:val="clear" w:color="auto" w:fill="E3E5EB"/>
          </w:tcPr>
          <w:p>
            <w:pPr>
              <w:spacing w:after="0"/>
              <w:rPr>
                <w:sz w:val="19"/>
                <w:szCs w:val="19"/>
                <w:color w:val="auto"/>
              </w:rPr>
            </w:pPr>
          </w:p>
        </w:tc>
        <w:tc>
          <w:tcPr>
            <w:tcW w:w="880" w:type="dxa"/>
            <w:vAlign w:val="bottom"/>
            <w:vMerge w:val="continue"/>
            <w:shd w:val="clear" w:color="auto" w:fill="E3E5EB"/>
          </w:tcPr>
          <w:p>
            <w:pPr>
              <w:spacing w:after="0"/>
              <w:rPr>
                <w:sz w:val="19"/>
                <w:szCs w:val="19"/>
                <w:color w:val="auto"/>
              </w:rPr>
            </w:pPr>
          </w:p>
        </w:tc>
        <w:tc>
          <w:tcPr>
            <w:tcW w:w="900" w:type="dxa"/>
            <w:vAlign w:val="bottom"/>
            <w:vMerge w:val="continue"/>
            <w:shd w:val="clear" w:color="auto" w:fill="E3E5EB"/>
          </w:tcPr>
          <w:p>
            <w:pPr>
              <w:spacing w:after="0"/>
              <w:rPr>
                <w:sz w:val="19"/>
                <w:szCs w:val="19"/>
                <w:color w:val="auto"/>
              </w:rPr>
            </w:pPr>
          </w:p>
        </w:tc>
        <w:tc>
          <w:tcPr>
            <w:tcW w:w="0" w:type="dxa"/>
            <w:vAlign w:val="bottom"/>
          </w:tcPr>
          <w:p>
            <w:pPr>
              <w:spacing w:after="0"/>
              <w:rPr>
                <w:sz w:val="1"/>
                <w:szCs w:val="1"/>
                <w:color w:val="auto"/>
              </w:rPr>
            </w:pPr>
          </w:p>
        </w:tc>
      </w:tr>
      <w:tr>
        <w:trPr>
          <w:trHeight w:val="184"/>
        </w:trPr>
        <w:tc>
          <w:tcPr>
            <w:tcW w:w="1220" w:type="dxa"/>
            <w:vAlign w:val="bottom"/>
            <w:tcBorders>
              <w:bottom w:val="single" w:sz="8" w:color="888992"/>
            </w:tcBorders>
            <w:shd w:val="clear" w:color="auto" w:fill="E3E5EB"/>
          </w:tcPr>
          <w:p>
            <w:pPr>
              <w:spacing w:after="0"/>
              <w:rPr>
                <w:sz w:val="16"/>
                <w:szCs w:val="16"/>
                <w:color w:val="auto"/>
              </w:rPr>
            </w:pPr>
          </w:p>
        </w:tc>
        <w:tc>
          <w:tcPr>
            <w:tcW w:w="80" w:type="dxa"/>
            <w:vAlign w:val="bottom"/>
            <w:tcBorders>
              <w:bottom w:val="single" w:sz="8" w:color="888992"/>
            </w:tcBorders>
            <w:shd w:val="clear" w:color="auto" w:fill="E3E5EB"/>
          </w:tcPr>
          <w:p>
            <w:pPr>
              <w:spacing w:after="0"/>
              <w:rPr>
                <w:sz w:val="16"/>
                <w:szCs w:val="16"/>
                <w:color w:val="auto"/>
              </w:rPr>
            </w:pPr>
          </w:p>
        </w:tc>
        <w:tc>
          <w:tcPr>
            <w:tcW w:w="960" w:type="dxa"/>
            <w:vAlign w:val="bottom"/>
            <w:tcBorders>
              <w:bottom w:val="single" w:sz="8" w:color="888992"/>
            </w:tcBorders>
            <w:shd w:val="clear" w:color="auto" w:fill="E3E5EB"/>
          </w:tcPr>
          <w:p>
            <w:pPr>
              <w:spacing w:after="0"/>
              <w:rPr>
                <w:sz w:val="20"/>
                <w:szCs w:val="20"/>
                <w:color w:val="auto"/>
              </w:rPr>
            </w:pPr>
            <w:r>
              <w:rPr>
                <w:rFonts w:ascii="Arial" w:cs="Arial" w:eastAsia="Arial" w:hAnsi="Arial"/>
                <w:sz w:val="16"/>
                <w:szCs w:val="16"/>
                <w:color w:val="auto"/>
              </w:rPr>
              <w:t>(RSU)</w:t>
            </w:r>
          </w:p>
        </w:tc>
        <w:tc>
          <w:tcPr>
            <w:tcW w:w="100" w:type="dxa"/>
            <w:vAlign w:val="bottom"/>
            <w:tcBorders>
              <w:bottom w:val="single" w:sz="8" w:color="888992"/>
            </w:tcBorders>
            <w:shd w:val="clear" w:color="auto" w:fill="E3E5EB"/>
          </w:tcPr>
          <w:p>
            <w:pPr>
              <w:spacing w:after="0"/>
              <w:rPr>
                <w:sz w:val="16"/>
                <w:szCs w:val="16"/>
                <w:color w:val="auto"/>
              </w:rPr>
            </w:pPr>
          </w:p>
        </w:tc>
        <w:tc>
          <w:tcPr>
            <w:tcW w:w="820" w:type="dxa"/>
            <w:vAlign w:val="bottom"/>
            <w:tcBorders>
              <w:bottom w:val="single" w:sz="8" w:color="888992"/>
            </w:tcBorders>
            <w:shd w:val="clear" w:color="auto" w:fill="E3E5EB"/>
          </w:tcPr>
          <w:p>
            <w:pPr>
              <w:spacing w:after="0"/>
              <w:rPr>
                <w:sz w:val="16"/>
                <w:szCs w:val="16"/>
                <w:color w:val="auto"/>
              </w:rPr>
            </w:pPr>
          </w:p>
        </w:tc>
        <w:tc>
          <w:tcPr>
            <w:tcW w:w="80" w:type="dxa"/>
            <w:vAlign w:val="bottom"/>
            <w:tcBorders>
              <w:bottom w:val="single" w:sz="8" w:color="888992"/>
            </w:tcBorders>
            <w:shd w:val="clear" w:color="auto" w:fill="E3E5EB"/>
          </w:tcPr>
          <w:p>
            <w:pPr>
              <w:spacing w:after="0"/>
              <w:rPr>
                <w:sz w:val="16"/>
                <w:szCs w:val="16"/>
                <w:color w:val="auto"/>
              </w:rPr>
            </w:pPr>
          </w:p>
        </w:tc>
        <w:tc>
          <w:tcPr>
            <w:tcW w:w="920" w:type="dxa"/>
            <w:vAlign w:val="bottom"/>
            <w:tcBorders>
              <w:bottom w:val="single" w:sz="8" w:color="888992"/>
            </w:tcBorders>
            <w:shd w:val="clear" w:color="auto" w:fill="E3E5EB"/>
          </w:tcPr>
          <w:p>
            <w:pPr>
              <w:spacing w:after="0"/>
              <w:rPr>
                <w:sz w:val="16"/>
                <w:szCs w:val="16"/>
                <w:color w:val="auto"/>
              </w:rPr>
            </w:pPr>
          </w:p>
        </w:tc>
        <w:tc>
          <w:tcPr>
            <w:tcW w:w="1020" w:type="dxa"/>
            <w:vAlign w:val="bottom"/>
            <w:tcBorders>
              <w:bottom w:val="single" w:sz="8" w:color="888992"/>
            </w:tcBorders>
            <w:shd w:val="clear" w:color="auto" w:fill="E3E5EB"/>
          </w:tcPr>
          <w:p>
            <w:pPr>
              <w:spacing w:after="0"/>
              <w:rPr>
                <w:sz w:val="16"/>
                <w:szCs w:val="16"/>
                <w:color w:val="auto"/>
              </w:rPr>
            </w:pPr>
          </w:p>
        </w:tc>
        <w:tc>
          <w:tcPr>
            <w:tcW w:w="840" w:type="dxa"/>
            <w:vAlign w:val="bottom"/>
            <w:tcBorders>
              <w:bottom w:val="single" w:sz="8" w:color="888992"/>
            </w:tcBorders>
            <w:shd w:val="clear" w:color="auto" w:fill="E3E5EB"/>
          </w:tcPr>
          <w:p>
            <w:pPr>
              <w:spacing w:after="0"/>
              <w:rPr>
                <w:sz w:val="16"/>
                <w:szCs w:val="16"/>
                <w:color w:val="auto"/>
              </w:rPr>
            </w:pPr>
          </w:p>
        </w:tc>
        <w:tc>
          <w:tcPr>
            <w:tcW w:w="800" w:type="dxa"/>
            <w:vAlign w:val="bottom"/>
            <w:tcBorders>
              <w:bottom w:val="single" w:sz="8" w:color="888992"/>
            </w:tcBorders>
            <w:shd w:val="clear" w:color="auto" w:fill="E3E5EB"/>
          </w:tcPr>
          <w:p>
            <w:pPr>
              <w:spacing w:after="0"/>
              <w:rPr>
                <w:sz w:val="16"/>
                <w:szCs w:val="16"/>
                <w:color w:val="auto"/>
              </w:rPr>
            </w:pPr>
          </w:p>
        </w:tc>
        <w:tc>
          <w:tcPr>
            <w:tcW w:w="620" w:type="dxa"/>
            <w:vAlign w:val="bottom"/>
            <w:tcBorders>
              <w:bottom w:val="single" w:sz="8" w:color="888992"/>
            </w:tcBorders>
            <w:shd w:val="clear" w:color="auto" w:fill="E3E5EB"/>
          </w:tcPr>
          <w:p>
            <w:pPr>
              <w:spacing w:after="0"/>
              <w:rPr>
                <w:sz w:val="16"/>
                <w:szCs w:val="16"/>
                <w:color w:val="auto"/>
              </w:rPr>
            </w:pPr>
          </w:p>
        </w:tc>
        <w:tc>
          <w:tcPr>
            <w:tcW w:w="880" w:type="dxa"/>
            <w:vAlign w:val="bottom"/>
            <w:tcBorders>
              <w:bottom w:val="single" w:sz="8" w:color="888992"/>
            </w:tcBorders>
            <w:shd w:val="clear" w:color="auto" w:fill="E3E5EB"/>
          </w:tcPr>
          <w:p>
            <w:pPr>
              <w:spacing w:after="0"/>
              <w:rPr>
                <w:sz w:val="16"/>
                <w:szCs w:val="16"/>
                <w:color w:val="auto"/>
              </w:rPr>
            </w:pPr>
          </w:p>
        </w:tc>
        <w:tc>
          <w:tcPr>
            <w:tcW w:w="900" w:type="dxa"/>
            <w:vAlign w:val="bottom"/>
            <w:tcBorders>
              <w:bottom w:val="single" w:sz="8" w:color="888992"/>
            </w:tcBorders>
            <w:shd w:val="clear" w:color="auto" w:fill="E3E5EB"/>
          </w:tcPr>
          <w:p>
            <w:pPr>
              <w:spacing w:after="0"/>
              <w:rPr>
                <w:sz w:val="16"/>
                <w:szCs w:val="1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1640" w:hanging="499"/>
        <w:spacing w:after="0"/>
        <w:tabs>
          <w:tab w:leader="none" w:pos="1640" w:val="left"/>
        </w:tabs>
        <w:numPr>
          <w:ilvl w:val="0"/>
          <w:numId w:val="82"/>
        </w:numPr>
        <w:rPr>
          <w:rFonts w:ascii="Arial" w:cs="Arial" w:eastAsia="Arial" w:hAnsi="Arial"/>
          <w:sz w:val="16"/>
          <w:szCs w:val="16"/>
          <w:color w:val="auto"/>
        </w:rPr>
      </w:pPr>
      <w:r>
        <w:rPr>
          <w:rFonts w:ascii="Arial" w:cs="Arial" w:eastAsia="Arial" w:hAnsi="Arial"/>
          <w:sz w:val="16"/>
          <w:szCs w:val="16"/>
          <w:color w:val="auto"/>
        </w:rPr>
        <w:t>In this column the abbreviation "PS" means performance share awards and "RSU" means restricted stock unit awards.</w:t>
      </w:r>
    </w:p>
    <w:p>
      <w:pPr>
        <w:spacing w:after="0" w:line="183" w:lineRule="exact"/>
        <w:rPr>
          <w:rFonts w:ascii="Arial" w:cs="Arial" w:eastAsia="Arial" w:hAnsi="Arial"/>
          <w:sz w:val="16"/>
          <w:szCs w:val="16"/>
          <w:color w:val="auto"/>
        </w:rPr>
      </w:pPr>
    </w:p>
    <w:p>
      <w:pPr>
        <w:ind w:left="1640" w:right="40" w:hanging="499"/>
        <w:spacing w:after="0" w:line="243" w:lineRule="auto"/>
        <w:tabs>
          <w:tab w:leader="none" w:pos="1640" w:val="left"/>
        </w:tabs>
        <w:numPr>
          <w:ilvl w:val="0"/>
          <w:numId w:val="82"/>
        </w:numPr>
        <w:rPr>
          <w:rFonts w:ascii="Arial" w:cs="Arial" w:eastAsia="Arial" w:hAnsi="Arial"/>
          <w:sz w:val="16"/>
          <w:szCs w:val="16"/>
          <w:color w:val="auto"/>
        </w:rPr>
      </w:pPr>
      <w:r>
        <w:rPr>
          <w:rFonts w:ascii="Arial" w:cs="Arial" w:eastAsia="Arial" w:hAnsi="Arial"/>
          <w:sz w:val="16"/>
          <w:szCs w:val="16"/>
          <w:color w:val="auto"/>
        </w:rPr>
        <w:t>As required by SEC rules, the "Estimated Possible Payouts" represent the "threshold," "target," and "maximum" payouts the Named Executive Officers were eligible to receive under the 2015 Incentive Plans. The actual awards paid to the Named Executive Officers under the 2015 Incentive Plans are disclosed in the "Non-Equity Incentive Plan Compensation" column of the Summary Compensation Table. With respect to Messrs. Hatfield, Falck and Schiavoni, the minimum amount each officer would have been eligible to receive was calculated based on the minimum earnings level that would generate a payout and no achievement of the business unit performance metrics. The minimum amount for Mr. Edington is based on the minimum business unit performance that would generate a payout and no achievement of the APS earnings goals under the Palo Verde Plan. The CEO Incentive Plan does not specify a target opportunity. We calculated a representative target amount for Mr. Brandt by using the final results of the earnings and business unit components from 2014 (each of which were factors in Mr. Brandt's 2014 incentive award) to compute a hypothetical payout under the current 2015 CEO Incentive Plan. That hypothetical payout is used as a representative target amount. See "2015 Compensation — Annual Cash Incentives" in the CD&amp;A for additional information about the 2015 Incentive Plans.</w:t>
      </w:r>
    </w:p>
    <w:p>
      <w:pPr>
        <w:spacing w:after="0" w:line="9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76" w:name="page77"/>
    <w:bookmarkEnd w:id="76"/>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0" w:lineRule="exact"/>
        <w:rPr>
          <w:rFonts w:ascii="Arial" w:cs="Arial" w:eastAsia="Arial" w:hAnsi="Arial"/>
          <w:sz w:val="13"/>
          <w:szCs w:val="13"/>
          <w:b w:val="1"/>
          <w:bCs w:val="1"/>
          <w:color w:val="FFFFFE"/>
        </w:rPr>
      </w:pPr>
    </w:p>
    <w:p>
      <w:pPr>
        <w:ind w:left="2340" w:right="80"/>
        <w:spacing w:after="0" w:line="269" w:lineRule="auto"/>
        <w:rPr>
          <w:sz w:val="20"/>
          <w:szCs w:val="20"/>
          <w:color w:val="auto"/>
        </w:rPr>
      </w:pPr>
      <w:r>
        <w:rPr>
          <w:rFonts w:ascii="Arial" w:cs="Arial" w:eastAsia="Arial" w:hAnsi="Arial"/>
          <w:sz w:val="15"/>
          <w:szCs w:val="15"/>
          <w:color w:val="auto"/>
        </w:rPr>
        <w:t>(3)The amount in this column represents the full grant date fair value for financial reporting purposes for the 2015 Performance Shares and RSUs. We describe the 2015 Performance Shares and RSUs under "2015 Compensation — Long-Term Incentives"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-234315</wp:posOffset>
            </wp:positionV>
            <wp:extent cx="1487805" cy="15557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1640"/>
        <w:spacing w:after="0"/>
        <w:rPr>
          <w:sz w:val="20"/>
          <w:szCs w:val="20"/>
          <w:color w:val="auto"/>
        </w:rPr>
      </w:pPr>
      <w:r>
        <w:rPr>
          <w:rFonts w:ascii="Arial" w:cs="Arial" w:eastAsia="Arial" w:hAnsi="Arial"/>
          <w:sz w:val="16"/>
          <w:szCs w:val="16"/>
          <w:color w:val="auto"/>
        </w:rPr>
        <w:t>in the CD&amp;A.</w:t>
      </w:r>
    </w:p>
    <w:p>
      <w:pPr>
        <w:spacing w:after="0" w:line="176" w:lineRule="exact"/>
        <w:rPr>
          <w:rFonts w:ascii="Arial" w:cs="Arial" w:eastAsia="Arial" w:hAnsi="Arial"/>
          <w:sz w:val="13"/>
          <w:szCs w:val="13"/>
          <w:b w:val="1"/>
          <w:bCs w:val="1"/>
          <w:color w:val="FFFFFE"/>
        </w:rPr>
      </w:pPr>
    </w:p>
    <w:p>
      <w:pPr>
        <w:ind w:left="1640" w:right="80" w:hanging="499"/>
        <w:spacing w:after="0" w:line="253" w:lineRule="auto"/>
        <w:tabs>
          <w:tab w:leader="none" w:pos="164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This amount represents the 2015 Performance Shares described under "2015 Compensation — Long-Term Incentives — Performance Shares" in the CD&amp;A. In accordance with SEC rules, we valued the awards based on the probable outcome at the time of the grant, which assumes the grant will be paid at 100% of the Base Grant and, in accordance with FASB ASC Topic 718, the closing stock price on the date of the grant. There were no forfeitures in 2015.</w:t>
      </w:r>
    </w:p>
    <w:p>
      <w:pPr>
        <w:spacing w:after="0" w:line="144" w:lineRule="exact"/>
        <w:rPr>
          <w:rFonts w:ascii="Arial" w:cs="Arial" w:eastAsia="Arial" w:hAnsi="Arial"/>
          <w:sz w:val="16"/>
          <w:szCs w:val="16"/>
          <w:color w:val="auto"/>
        </w:rPr>
      </w:pPr>
    </w:p>
    <w:p>
      <w:pPr>
        <w:ind w:left="1640" w:right="160" w:hanging="499"/>
        <w:spacing w:after="0" w:line="259" w:lineRule="auto"/>
        <w:tabs>
          <w:tab w:leader="none" w:pos="164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This amount represents the 2015 RSU awards described under "2015 Compensation — Long-Term Incentives — RSUs" in the CD&amp;A. In accordance with FASB ASC Topic 718, we valued the RSUs using the number of RSUs awarded multiplied by the closing stock price on the date of the grant. There were no forfeitures in 2015.</w:t>
      </w:r>
    </w:p>
    <w:p>
      <w:pPr>
        <w:spacing w:after="0" w:line="140" w:lineRule="exact"/>
        <w:rPr>
          <w:rFonts w:ascii="Arial" w:cs="Arial" w:eastAsia="Arial" w:hAnsi="Arial"/>
          <w:sz w:val="16"/>
          <w:szCs w:val="16"/>
          <w:color w:val="auto"/>
        </w:rPr>
      </w:pPr>
    </w:p>
    <w:p>
      <w:pPr>
        <w:ind w:left="1640" w:right="200" w:hanging="499"/>
        <w:spacing w:after="0" w:line="259" w:lineRule="auto"/>
        <w:tabs>
          <w:tab w:leader="none" w:pos="164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This amount represents the dollar value of the 2015 Palo Verde Specific Compensation Opportunity described under "2015 Compensation — Annual Cash Incentives" in the CD&amp;A. The actual amount paid to Mr. Edington is included in the "Non-Equity Incentive Plan Compensation" column of the Summary Compensation Table.</w:t>
      </w:r>
    </w:p>
    <w:p>
      <w:pPr>
        <w:spacing w:after="0" w:line="152" w:lineRule="exact"/>
        <w:rPr>
          <w:rFonts w:ascii="Arial" w:cs="Arial" w:eastAsia="Arial" w:hAnsi="Arial"/>
          <w:sz w:val="16"/>
          <w:szCs w:val="16"/>
          <w:color w:val="auto"/>
        </w:rPr>
      </w:pPr>
    </w:p>
    <w:p>
      <w:pPr>
        <w:ind w:left="1640" w:right="20" w:hanging="499"/>
        <w:spacing w:after="0" w:line="279" w:lineRule="auto"/>
        <w:tabs>
          <w:tab w:leader="none" w:pos="1640" w:val="left"/>
        </w:tabs>
        <w:numPr>
          <w:ilvl w:val="0"/>
          <w:numId w:val="83"/>
        </w:numPr>
        <w:rPr>
          <w:rFonts w:ascii="Arial" w:cs="Arial" w:eastAsia="Arial" w:hAnsi="Arial"/>
          <w:sz w:val="16"/>
          <w:szCs w:val="16"/>
          <w:color w:val="auto"/>
        </w:rPr>
      </w:pPr>
      <w:r>
        <w:rPr>
          <w:rFonts w:ascii="Arial" w:cs="Arial" w:eastAsia="Arial" w:hAnsi="Arial"/>
          <w:sz w:val="16"/>
          <w:szCs w:val="16"/>
          <w:color w:val="auto"/>
        </w:rPr>
        <w:t>These amounts represent the payout opportunity under the outage incentive plans for the Refueling Outages. These incentive plans do not provide for a threshold or maximum payment.</w:t>
      </w:r>
    </w:p>
    <w:p>
      <w:pPr>
        <w:spacing w:after="0" w:line="120"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2"/>
          <w:szCs w:val="22"/>
          <w:b w:val="1"/>
          <w:bCs w:val="1"/>
          <w:color w:val="3A5575"/>
        </w:rPr>
        <w:t>Narrative Disclosure to Summary Compensation Table and Grants of Plan-Based Awards Table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rFonts w:ascii="Arial" w:cs="Arial" w:eastAsia="Arial" w:hAnsi="Arial"/>
          <w:sz w:val="13"/>
          <w:szCs w:val="13"/>
          <w:b w:val="1"/>
          <w:bCs w:val="1"/>
          <w:color w:val="FFFFFE"/>
        </w:rPr>
      </w:pPr>
    </w:p>
    <w:p>
      <w:pPr>
        <w:ind w:right="140"/>
        <w:spacing w:after="0" w:line="247" w:lineRule="auto"/>
        <w:rPr>
          <w:sz w:val="20"/>
          <w:szCs w:val="20"/>
          <w:color w:val="auto"/>
        </w:rPr>
      </w:pPr>
      <w:r>
        <w:rPr>
          <w:rFonts w:ascii="Arial" w:cs="Arial" w:eastAsia="Arial" w:hAnsi="Arial"/>
          <w:sz w:val="20"/>
          <w:szCs w:val="20"/>
          <w:color w:val="auto"/>
        </w:rPr>
        <w:t>See the CD&amp;A for further information regarding the terms of awards reported in the Summary Compensation Table and the Grants of Plan-Based Awards table, and for discussions regarding the formulas or criteria to be applied in determining the amounts payable, vesting schedules, and the treatment of dividends.</w:t>
      </w:r>
    </w:p>
    <w:p>
      <w:pPr>
        <w:spacing w:after="0" w:line="149" w:lineRule="exact"/>
        <w:rPr>
          <w:rFonts w:ascii="Arial" w:cs="Arial" w:eastAsia="Arial" w:hAnsi="Arial"/>
          <w:sz w:val="13"/>
          <w:szCs w:val="13"/>
          <w:b w:val="1"/>
          <w:bCs w:val="1"/>
          <w:color w:val="FFFFFE"/>
        </w:rPr>
      </w:pPr>
    </w:p>
    <w:p>
      <w:pPr>
        <w:ind w:right="280"/>
        <w:spacing w:after="0" w:line="247" w:lineRule="auto"/>
        <w:rPr>
          <w:sz w:val="20"/>
          <w:szCs w:val="20"/>
          <w:color w:val="auto"/>
        </w:rPr>
      </w:pPr>
      <w:r>
        <w:rPr>
          <w:rFonts w:ascii="Arial" w:cs="Arial" w:eastAsia="Arial" w:hAnsi="Arial"/>
          <w:sz w:val="20"/>
          <w:szCs w:val="20"/>
          <w:color w:val="auto"/>
        </w:rPr>
        <w:t>The Company does not have formal employment agreements with its Named Executive Officers; however, we typically enter into offer letters with new executive officers. Deferred compensation credits granted to Mr. Falck are discussed under the heading "Discussion of Nonqualified Deferred Compensation."</w:t>
      </w:r>
    </w:p>
    <w:p>
      <w:pPr>
        <w:spacing w:after="0" w:line="149" w:lineRule="exact"/>
        <w:rPr>
          <w:rFonts w:ascii="Arial" w:cs="Arial" w:eastAsia="Arial" w:hAnsi="Arial"/>
          <w:sz w:val="13"/>
          <w:szCs w:val="13"/>
          <w:b w:val="1"/>
          <w:bCs w:val="1"/>
          <w:color w:val="FFFFFE"/>
        </w:rPr>
      </w:pPr>
    </w:p>
    <w:p>
      <w:pPr>
        <w:ind w:right="60"/>
        <w:spacing w:after="0" w:line="234" w:lineRule="auto"/>
        <w:rPr>
          <w:sz w:val="20"/>
          <w:szCs w:val="20"/>
          <w:color w:val="auto"/>
        </w:rPr>
      </w:pPr>
      <w:r>
        <w:rPr>
          <w:rFonts w:ascii="Arial" w:cs="Arial" w:eastAsia="Arial" w:hAnsi="Arial"/>
          <w:sz w:val="20"/>
          <w:szCs w:val="20"/>
          <w:color w:val="auto"/>
        </w:rPr>
        <w:t>APS and Mr. Edington executed an offer letter dated December 20, 2006. The remaining portions of that letter still in effect are lifetime medical coverage for Mr. Edington and his spouse and a total pension benefit (including the benefit due under the Company's qualified plan and general non-qualified plan) that will accrue at 10% per year, up to a maximum of 60%, and which benefit vested in January 2012. The percentage is applied to his final average wage (highest 3 years in the final 10 years of employment and includes both base salary and annual incentives) to determine his lifetime benefit. In addition, retention units granted to him in January 2007 are also included in the calculation of pension benefits. The vested pension benefit will be paid to Mr. Edington in two forms: one-half of the benefit will be paid to him in a lump sum; and the second half of the benefit will be paid in a 100% joint and survivor annuity. The terms of the vested pension benefit and the lifetime medical coverage for Mr. Edington and his spouse are set forth in the 2008 Agreement (defined below). Mr. Edington's offer letter also provides that he will participate in specific Palo Verde annual incentive opportunities. The specific incentive opportunity for 2015 is set forth in the CD&amp;A under "2015 Compensation — Annual Cash Incentives."</w:t>
      </w:r>
    </w:p>
    <w:p>
      <w:pPr>
        <w:spacing w:after="0" w:line="158" w:lineRule="exact"/>
        <w:rPr>
          <w:rFonts w:ascii="Arial" w:cs="Arial" w:eastAsia="Arial" w:hAnsi="Arial"/>
          <w:sz w:val="13"/>
          <w:szCs w:val="13"/>
          <w:b w:val="1"/>
          <w:bCs w:val="1"/>
          <w:color w:val="FFFFFE"/>
        </w:rPr>
      </w:pPr>
    </w:p>
    <w:p>
      <w:pPr>
        <w:ind w:right="140"/>
        <w:spacing w:after="0" w:line="247" w:lineRule="auto"/>
        <w:rPr>
          <w:sz w:val="20"/>
          <w:szCs w:val="20"/>
          <w:color w:val="auto"/>
        </w:rPr>
      </w:pPr>
      <w:r>
        <w:rPr>
          <w:rFonts w:ascii="Arial" w:cs="Arial" w:eastAsia="Arial" w:hAnsi="Arial"/>
          <w:sz w:val="20"/>
          <w:szCs w:val="20"/>
          <w:color w:val="auto"/>
        </w:rPr>
        <w:t>On July 18, 2008, APS and Mr. Edington entered into a letter agreement. In December 2008, APS and Mr. Edington entered into a supplemental agreement further defining Mr. Edington's pension benefits and the lifetime medical coverage as set forth in the December 20, 2006 offer</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160020</wp:posOffset>
            </wp:positionV>
            <wp:extent cx="841375" cy="16383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0"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68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77" w:name="page78"/>
    <w:bookmarkEnd w:id="77"/>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
        <w:spacing w:after="0" w:line="247" w:lineRule="auto"/>
        <w:rPr>
          <w:sz w:val="20"/>
          <w:szCs w:val="20"/>
          <w:color w:val="auto"/>
        </w:rPr>
      </w:pPr>
      <w:r>
        <w:rPr>
          <w:rFonts w:ascii="Arial" w:cs="Arial" w:eastAsia="Arial" w:hAnsi="Arial"/>
          <w:sz w:val="20"/>
          <w:szCs w:val="20"/>
          <w:color w:val="auto"/>
        </w:rPr>
        <w:t>letter and formally memorializing certain provisions of the July 18, 2008 letter agreement (the "2008 Agreement"). The provisions of the 2008 Agreement still in effect are (i) the supplemental pension benefit, and (ii) lifetime medical coverage for Mr. Edington and his spouse.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-116840</wp:posOffset>
            </wp:positionV>
            <wp:extent cx="1487805" cy="15557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644" w:lineRule="exact"/>
        <w:rPr>
          <w:sz w:val="20"/>
          <w:szCs w:val="20"/>
          <w:color w:val="auto"/>
        </w:rPr>
      </w:pPr>
    </w:p>
    <w:p>
      <w:pPr>
        <w:sectPr>
          <w:pgSz w:w="11900" w:h="16838" w:orient="portrait"/>
          <w:cols w:equalWidth="0" w:num="2">
            <w:col w:w="8602" w:space="540"/>
            <w:col w:w="2300"/>
          </w:cols>
          <w:pgMar w:left="238" w:top="110" w:right="219" w:bottom="1440" w:gutter="0" w:footer="0" w:header="0"/>
        </w:sectPr>
      </w:pPr>
    </w:p>
    <w:p>
      <w:pPr>
        <w:ind w:left="2" w:right="40"/>
        <w:spacing w:after="0" w:line="247" w:lineRule="auto"/>
        <w:rPr>
          <w:sz w:val="20"/>
          <w:szCs w:val="20"/>
          <w:color w:val="auto"/>
        </w:rPr>
      </w:pPr>
      <w:r>
        <w:rPr>
          <w:rFonts w:ascii="Arial" w:cs="Arial" w:eastAsia="Arial" w:hAnsi="Arial"/>
          <w:sz w:val="20"/>
          <w:szCs w:val="20"/>
          <w:color w:val="auto"/>
        </w:rPr>
        <w:t>In June 2012, the Committee approved a supplemental agreement for Mr. Edington in order to incentivize the retention of his critical skills and nuclear expertise (the "2012 Supplemental Agreement"). The provisions of the 2012 Supplemental Agreement that are still in effect are the following:</w:t>
      </w:r>
    </w:p>
    <w:p>
      <w:pPr>
        <w:spacing w:after="0" w:line="136" w:lineRule="exact"/>
        <w:rPr>
          <w:sz w:val="20"/>
          <w:szCs w:val="20"/>
          <w:color w:val="auto"/>
        </w:rPr>
      </w:pPr>
    </w:p>
    <w:p>
      <w:pPr>
        <w:ind w:left="482" w:right="260" w:hanging="482"/>
        <w:spacing w:after="0" w:line="242" w:lineRule="auto"/>
        <w:tabs>
          <w:tab w:leader="none" w:pos="482" w:val="left"/>
        </w:tabs>
        <w:numPr>
          <w:ilvl w:val="0"/>
          <w:numId w:val="84"/>
        </w:numPr>
        <w:rPr>
          <w:rFonts w:ascii="Arial" w:cs="Arial" w:eastAsia="Arial" w:hAnsi="Arial"/>
          <w:sz w:val="20"/>
          <w:szCs w:val="20"/>
          <w:color w:val="3A5575"/>
        </w:rPr>
      </w:pPr>
      <w:r>
        <w:rPr>
          <w:rFonts w:ascii="Arial" w:cs="Arial" w:eastAsia="Arial" w:hAnsi="Arial"/>
          <w:sz w:val="20"/>
          <w:szCs w:val="20"/>
          <w:color w:val="auto"/>
        </w:rPr>
        <w:t>The Company has provided interest-bearing, deferred compensation credits to Mr. Edington consisting of $350,000 as of January 1, 2012; $350,000 as of January 1, 2013; and $350,000 as of January 1, 2014. The discretionary credits vested on December 31, 2014, and will be payable over a 10-year period following his termination of employment (the "2012 Edington DCP Discretionary Credits");</w:t>
      </w:r>
    </w:p>
    <w:p>
      <w:pPr>
        <w:spacing w:after="0" w:line="176" w:lineRule="exact"/>
        <w:rPr>
          <w:rFonts w:ascii="Arial" w:cs="Arial" w:eastAsia="Arial" w:hAnsi="Arial"/>
          <w:sz w:val="20"/>
          <w:szCs w:val="20"/>
          <w:color w:val="3A5575"/>
        </w:rPr>
      </w:pPr>
    </w:p>
    <w:p>
      <w:pPr>
        <w:ind w:left="482" w:right="80" w:hanging="482"/>
        <w:spacing w:after="0" w:line="267" w:lineRule="auto"/>
        <w:tabs>
          <w:tab w:leader="none" w:pos="482" w:val="left"/>
        </w:tabs>
        <w:numPr>
          <w:ilvl w:val="0"/>
          <w:numId w:val="84"/>
        </w:numPr>
        <w:rPr>
          <w:rFonts w:ascii="Arial" w:cs="Arial" w:eastAsia="Arial" w:hAnsi="Arial"/>
          <w:sz w:val="19"/>
          <w:szCs w:val="19"/>
          <w:color w:val="3A5575"/>
        </w:rPr>
      </w:pPr>
      <w:r>
        <w:rPr>
          <w:rFonts w:ascii="Arial" w:cs="Arial" w:eastAsia="Arial" w:hAnsi="Arial"/>
          <w:sz w:val="19"/>
          <w:szCs w:val="19"/>
          <w:color w:val="auto"/>
        </w:rPr>
        <w:t>As of December 31, 2013, Mr. Edington's existing supplemental pension benefit set forth in the 2008 Agreement increased by an amount equal to 5% of the benefit otherwise payable; and as of December 31, 2014, the supplemental pension benefit increased by an amount equal to 10% (inclusive of the preceding 5% increase) of the benefit otherwise payable; and</w:t>
      </w:r>
    </w:p>
    <w:p>
      <w:pPr>
        <w:spacing w:after="0" w:line="141" w:lineRule="exact"/>
        <w:rPr>
          <w:rFonts w:ascii="Arial" w:cs="Arial" w:eastAsia="Arial" w:hAnsi="Arial"/>
          <w:sz w:val="19"/>
          <w:szCs w:val="19"/>
          <w:color w:val="3A5575"/>
        </w:rPr>
      </w:pPr>
    </w:p>
    <w:p>
      <w:pPr>
        <w:ind w:left="482" w:right="80" w:hanging="482"/>
        <w:spacing w:after="0" w:line="252" w:lineRule="auto"/>
        <w:tabs>
          <w:tab w:leader="none" w:pos="482" w:val="left"/>
        </w:tabs>
        <w:numPr>
          <w:ilvl w:val="0"/>
          <w:numId w:val="84"/>
        </w:numPr>
        <w:rPr>
          <w:rFonts w:ascii="Arial" w:cs="Arial" w:eastAsia="Arial" w:hAnsi="Arial"/>
          <w:sz w:val="19"/>
          <w:szCs w:val="19"/>
          <w:color w:val="3A5575"/>
        </w:rPr>
      </w:pPr>
      <w:r>
        <w:rPr>
          <w:rFonts w:ascii="Arial" w:cs="Arial" w:eastAsia="Arial" w:hAnsi="Arial"/>
          <w:sz w:val="19"/>
          <w:szCs w:val="19"/>
          <w:color w:val="auto"/>
        </w:rPr>
        <w:t>If Mr. Edington terminates his employment after December 31, 2014, within six months thereafter decides to relocate from Arizona, and is unable to recover the original purchase price on the sale of his residence in Arizona (after making reasonable efforts to do so), the Company will purchase his home for the original purchase price. The Company will then resell the home, so the Company's financial exposure, if any, will be the difference between the sales price and the original purchase price. The Company believes the terms of this home purchase arrangement, including its conditions, appropriately balance the desire to retain Mr. Edington's services compared to the modest economic cost to the Company, if any.</w:t>
      </w:r>
    </w:p>
    <w:p>
      <w:pPr>
        <w:spacing w:after="0" w:line="144" w:lineRule="exact"/>
        <w:rPr>
          <w:sz w:val="20"/>
          <w:szCs w:val="20"/>
          <w:color w:val="auto"/>
        </w:rPr>
      </w:pPr>
    </w:p>
    <w:p>
      <w:pPr>
        <w:ind w:left="2" w:right="320"/>
        <w:spacing w:after="0" w:line="247" w:lineRule="auto"/>
        <w:rPr>
          <w:sz w:val="20"/>
          <w:szCs w:val="20"/>
          <w:color w:val="auto"/>
        </w:rPr>
      </w:pPr>
      <w:r>
        <w:rPr>
          <w:rFonts w:ascii="Arial" w:cs="Arial" w:eastAsia="Arial" w:hAnsi="Arial"/>
          <w:sz w:val="20"/>
          <w:szCs w:val="20"/>
          <w:color w:val="auto"/>
        </w:rPr>
        <w:t>In October 2014, the Committee approved a supplemental agreement for Mr. Edington that provides for additional compensation terms supplemental to those set forth in the 2012 Supplemental Agreement to incentivize the retention of his critical skills and nuclear expertise (the "2014 Supplemental Agreement"). This agreement provides:</w:t>
      </w:r>
    </w:p>
    <w:p>
      <w:pPr>
        <w:spacing w:after="0" w:line="136" w:lineRule="exact"/>
        <w:rPr>
          <w:sz w:val="20"/>
          <w:szCs w:val="20"/>
          <w:color w:val="auto"/>
        </w:rPr>
      </w:pPr>
    </w:p>
    <w:p>
      <w:pPr>
        <w:ind w:left="482" w:right="880" w:hanging="482"/>
        <w:spacing w:after="0" w:line="265" w:lineRule="auto"/>
        <w:tabs>
          <w:tab w:leader="none" w:pos="482" w:val="left"/>
        </w:tabs>
        <w:numPr>
          <w:ilvl w:val="0"/>
          <w:numId w:val="85"/>
        </w:numPr>
        <w:rPr>
          <w:rFonts w:ascii="Arial" w:cs="Arial" w:eastAsia="Arial" w:hAnsi="Arial"/>
          <w:sz w:val="20"/>
          <w:szCs w:val="20"/>
          <w:color w:val="3A5575"/>
        </w:rPr>
      </w:pPr>
      <w:r>
        <w:rPr>
          <w:rFonts w:ascii="Arial" w:cs="Arial" w:eastAsia="Arial" w:hAnsi="Arial"/>
          <w:sz w:val="20"/>
          <w:szCs w:val="20"/>
          <w:color w:val="auto"/>
        </w:rPr>
        <w:t>Mr. Edington's base salary increased to $1,000,000 effective September 30, 2014, increased to $1,050,000 effective January 1, 2015 and increased to $1,100,000 effective January 1, 2016;</w:t>
      </w:r>
    </w:p>
    <w:p>
      <w:pPr>
        <w:spacing w:after="0" w:line="154" w:lineRule="exact"/>
        <w:rPr>
          <w:rFonts w:ascii="Arial" w:cs="Arial" w:eastAsia="Arial" w:hAnsi="Arial"/>
          <w:sz w:val="20"/>
          <w:szCs w:val="20"/>
          <w:color w:val="3A5575"/>
        </w:rPr>
      </w:pPr>
    </w:p>
    <w:p>
      <w:pPr>
        <w:ind w:left="482" w:right="240" w:hanging="482"/>
        <w:spacing w:after="0" w:line="249" w:lineRule="auto"/>
        <w:tabs>
          <w:tab w:leader="none" w:pos="482" w:val="left"/>
        </w:tabs>
        <w:numPr>
          <w:ilvl w:val="0"/>
          <w:numId w:val="85"/>
        </w:numPr>
        <w:rPr>
          <w:rFonts w:ascii="Arial" w:cs="Arial" w:eastAsia="Arial" w:hAnsi="Arial"/>
          <w:sz w:val="19"/>
          <w:szCs w:val="19"/>
          <w:color w:val="3A5575"/>
        </w:rPr>
      </w:pPr>
      <w:r>
        <w:rPr>
          <w:rFonts w:ascii="Arial" w:cs="Arial" w:eastAsia="Arial" w:hAnsi="Arial"/>
          <w:sz w:val="19"/>
          <w:szCs w:val="19"/>
          <w:color w:val="auto"/>
        </w:rPr>
        <w:t>The Company provided interest-bearing, deferred compensation credits to Mr. Edington consisting of $200,000 as of July 1, 2014, $300,000 as of January 1, 2015, and $300,000 as of January 1, 2016. The discretionary credits will vest on June 30, 2016, if Mr. Edington is actively employed by the Company on that date, and will be payable over a 10-year period following his termination of employment. Additionally, the Company provided interest-bearing, deferred compensation credits to</w:t>
      </w:r>
    </w:p>
    <w:p>
      <w:pPr>
        <w:ind w:left="482" w:right="220"/>
        <w:spacing w:after="0" w:line="234" w:lineRule="auto"/>
        <w:rPr>
          <w:rFonts w:ascii="Arial" w:cs="Arial" w:eastAsia="Arial" w:hAnsi="Arial"/>
          <w:sz w:val="19"/>
          <w:szCs w:val="19"/>
          <w:color w:val="3A5575"/>
        </w:rPr>
      </w:pPr>
      <w:r>
        <w:rPr>
          <w:rFonts w:ascii="Arial" w:cs="Arial" w:eastAsia="Arial" w:hAnsi="Arial"/>
          <w:sz w:val="20"/>
          <w:szCs w:val="20"/>
          <w:color w:val="auto"/>
        </w:rPr>
        <w:t>Mr. Edington consisting of $500,000 as of September 30, 2014. These discretionary credits will vest 180 days after Mr. Edington's termination of employment if such termination is after June 30, 2016 and provided that Palo Verde's key regulatory and oversight evaluations and assessments have not declined during the period beginning September 30, 2014 and ending as of the date 180 days after Mr. Edington's termination of employment. These credits will be payable over a 10-year period following his termination of employment (collectively, the "2014 Edington DCP</w:t>
      </w:r>
    </w:p>
    <w:p>
      <w:pPr>
        <w:spacing w:after="0" w:line="236"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7263765" cy="2032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type w:val="continuous"/>
        </w:sectPr>
      </w:pPr>
    </w:p>
    <w:bookmarkStart w:id="78" w:name="page79"/>
    <w:bookmarkEnd w:id="78"/>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2342" w:right="360" w:hanging="1884"/>
        <w:spacing w:after="0" w:line="292" w:lineRule="auto"/>
        <w:rPr>
          <w:sz w:val="20"/>
          <w:szCs w:val="20"/>
          <w:color w:val="auto"/>
        </w:rPr>
      </w:pPr>
      <w:r>
        <w:rPr>
          <w:rFonts w:ascii="Arial" w:cs="Arial" w:eastAsia="Arial" w:hAnsi="Arial"/>
          <w:sz w:val="13"/>
          <w:szCs w:val="13"/>
          <w:b w:val="1"/>
          <w:bCs w:val="1"/>
          <w:color w:val="FFFFFE"/>
        </w:rPr>
        <w:t xml:space="preserve">EXECUTIVE COMPENSATION </w:t>
      </w:r>
      <w:r>
        <w:rPr>
          <w:rFonts w:ascii="Arial" w:cs="Arial" w:eastAsia="Arial" w:hAnsi="Arial"/>
          <w:sz w:val="19"/>
          <w:szCs w:val="19"/>
          <w:color w:val="000000"/>
        </w:rPr>
        <w:t>Discretionary Credits" and together with the 2012 Edington DCP Discretionary Credits, the "Edington</w:t>
      </w:r>
      <w:r>
        <w:rPr>
          <w:rFonts w:ascii="Arial" w:cs="Arial" w:eastAsia="Arial" w:hAnsi="Arial"/>
          <w:sz w:val="13"/>
          <w:szCs w:val="13"/>
          <w:b w:val="1"/>
          <w:bCs w:val="1"/>
          <w:color w:val="FFFFFE"/>
        </w:rPr>
        <w:t xml:space="preserve"> </w:t>
      </w:r>
      <w:r>
        <w:rPr>
          <w:rFonts w:ascii="Arial" w:cs="Arial" w:eastAsia="Arial" w:hAnsi="Arial"/>
          <w:sz w:val="19"/>
          <w:szCs w:val="19"/>
          <w:color w:val="000000"/>
        </w:rPr>
        <w:t>DCP Discretionary Credits");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-318135</wp:posOffset>
            </wp:positionV>
            <wp:extent cx="1487805" cy="15557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74" w:lineRule="exact"/>
        <w:rPr>
          <w:sz w:val="20"/>
          <w:szCs w:val="20"/>
          <w:color w:val="auto"/>
        </w:rPr>
      </w:pPr>
    </w:p>
    <w:p>
      <w:pPr>
        <w:ind w:left="482" w:right="60" w:hanging="482"/>
        <w:spacing w:after="0" w:line="247" w:lineRule="auto"/>
        <w:tabs>
          <w:tab w:leader="none" w:pos="482" w:val="left"/>
        </w:tabs>
        <w:numPr>
          <w:ilvl w:val="0"/>
          <w:numId w:val="86"/>
        </w:numPr>
        <w:rPr>
          <w:rFonts w:ascii="Arial" w:cs="Arial" w:eastAsia="Arial" w:hAnsi="Arial"/>
          <w:sz w:val="20"/>
          <w:szCs w:val="20"/>
          <w:color w:val="3A5575"/>
        </w:rPr>
      </w:pPr>
      <w:r>
        <w:rPr>
          <w:rFonts w:ascii="Arial" w:cs="Arial" w:eastAsia="Arial" w:hAnsi="Arial"/>
          <w:sz w:val="20"/>
          <w:szCs w:val="20"/>
          <w:color w:val="auto"/>
        </w:rPr>
        <w:t>If Mr. Edington is actively employed with the Company on June 30, 2016, Mr. Edington's existing supplemental pension benefit set forth in the 2008 Agreement as increased by the 2012 Supplemental Agreement, will increase by an amount equal to 5% of the benefit that would have otherwise been payable;</w:t>
      </w:r>
    </w:p>
    <w:p>
      <w:pPr>
        <w:spacing w:after="0" w:line="173" w:lineRule="exact"/>
        <w:rPr>
          <w:rFonts w:ascii="Arial" w:cs="Arial" w:eastAsia="Arial" w:hAnsi="Arial"/>
          <w:sz w:val="20"/>
          <w:szCs w:val="20"/>
          <w:color w:val="3A5575"/>
        </w:rPr>
      </w:pPr>
    </w:p>
    <w:p>
      <w:pPr>
        <w:ind w:left="482" w:right="20" w:hanging="482"/>
        <w:spacing w:after="0" w:line="239" w:lineRule="auto"/>
        <w:tabs>
          <w:tab w:leader="none" w:pos="482" w:val="left"/>
        </w:tabs>
        <w:numPr>
          <w:ilvl w:val="0"/>
          <w:numId w:val="86"/>
        </w:numPr>
        <w:rPr>
          <w:rFonts w:ascii="Arial" w:cs="Arial" w:eastAsia="Arial" w:hAnsi="Arial"/>
          <w:sz w:val="20"/>
          <w:szCs w:val="20"/>
          <w:color w:val="3A5575"/>
        </w:rPr>
      </w:pPr>
      <w:r>
        <w:rPr>
          <w:rFonts w:ascii="Arial" w:cs="Arial" w:eastAsia="Arial" w:hAnsi="Arial"/>
          <w:sz w:val="20"/>
          <w:szCs w:val="20"/>
          <w:color w:val="auto"/>
        </w:rPr>
        <w:t>Mr. Edington's award opportunity target for the Palo Verde Incentive Plan for 2014 was increased from 50% to 65% of his base salary, depending on the achievement of the earnings and business unit performance goals, separately or in combination, and before adjustment for individual performance. Subject to the normal approval process by the Committee, the award opportunity target was 65% of Mr. Edington's base salary under APS's Annual Incentive Award Plan for Palo Verde Employees for each of 2015 and 2016; and</w:t>
      </w:r>
    </w:p>
    <w:p>
      <w:pPr>
        <w:spacing w:after="0" w:line="167" w:lineRule="exact"/>
        <w:rPr>
          <w:rFonts w:ascii="Arial" w:cs="Arial" w:eastAsia="Arial" w:hAnsi="Arial"/>
          <w:sz w:val="20"/>
          <w:szCs w:val="20"/>
          <w:color w:val="3A5575"/>
        </w:rPr>
      </w:pPr>
    </w:p>
    <w:p>
      <w:pPr>
        <w:jc w:val="both"/>
        <w:ind w:left="482" w:right="260" w:hanging="482"/>
        <w:spacing w:after="0" w:line="267" w:lineRule="auto"/>
        <w:tabs>
          <w:tab w:leader="none" w:pos="482" w:val="left"/>
        </w:tabs>
        <w:numPr>
          <w:ilvl w:val="0"/>
          <w:numId w:val="86"/>
        </w:numPr>
        <w:rPr>
          <w:rFonts w:ascii="Arial" w:cs="Arial" w:eastAsia="Arial" w:hAnsi="Arial"/>
          <w:sz w:val="19"/>
          <w:szCs w:val="19"/>
          <w:color w:val="3A5575"/>
        </w:rPr>
      </w:pPr>
      <w:r>
        <w:rPr>
          <w:rFonts w:ascii="Arial" w:cs="Arial" w:eastAsia="Arial" w:hAnsi="Arial"/>
          <w:sz w:val="19"/>
          <w:szCs w:val="19"/>
          <w:color w:val="auto"/>
        </w:rPr>
        <w:t>Mr. Edington's equity awards that were granted by the Company to Mr. Edington in February 2015 and granted in February 2016 will have a grant date fair value of $600,000 for each year, subject to the normal approval process by the Committee. Mr. Edington's 2015 and 2016 RSU grants will vest in full on Mr. Edington's retirement if it occurs on or after June 30, 2016.</w:t>
      </w:r>
    </w:p>
    <w:p>
      <w:pPr>
        <w:spacing w:after="0" w:line="129" w:lineRule="exact"/>
        <w:rPr>
          <w:sz w:val="20"/>
          <w:szCs w:val="20"/>
          <w:color w:val="auto"/>
        </w:rPr>
      </w:pPr>
    </w:p>
    <w:p>
      <w:pPr>
        <w:ind w:left="2"/>
        <w:spacing w:after="0"/>
        <w:rPr>
          <w:sz w:val="20"/>
          <w:szCs w:val="20"/>
          <w:color w:val="auto"/>
        </w:rPr>
      </w:pPr>
      <w:r>
        <w:rPr>
          <w:rFonts w:ascii="Arial" w:cs="Arial" w:eastAsia="Arial" w:hAnsi="Arial"/>
          <w:sz w:val="19"/>
          <w:szCs w:val="19"/>
          <w:color w:val="auto"/>
        </w:rPr>
        <w:t>APS pays 29.1% of Mr. Edington's compensation expense. The balance is reimbursed to APS by the other owners of Palo Verde.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199390</wp:posOffset>
            </wp:positionV>
            <wp:extent cx="841375" cy="16383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300"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70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79" w:name="page80"/>
    <w:bookmarkEnd w:id="79"/>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137795</wp:posOffset>
            </wp:positionV>
            <wp:extent cx="1487805" cy="15557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9140"/>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Outstanding Equity Awards at Fiscal Year-End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tbl>
      <w:tblPr>
        <w:tblLayout w:type="fixed"/>
        <w:tblInd w:w="1460" w:type="dxa"/>
        <w:tblCellMar>
          <w:top w:w="0" w:type="dxa"/>
          <w:left w:w="0" w:type="dxa"/>
          <w:bottom w:w="0" w:type="dxa"/>
          <w:right w:w="0" w:type="dxa"/>
        </w:tblCellMar>
      </w:tblPr>
      <w:tr>
        <w:trPr>
          <w:trHeight w:val="191"/>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Borders>
              <w:bottom w:val="single" w:sz="8" w:color="3A5575"/>
            </w:tcBorders>
          </w:tcPr>
          <w:p>
            <w:pPr>
              <w:spacing w:after="0"/>
              <w:rPr>
                <w:sz w:val="16"/>
                <w:szCs w:val="16"/>
                <w:color w:val="auto"/>
              </w:rPr>
            </w:pPr>
          </w:p>
        </w:tc>
        <w:tc>
          <w:tcPr>
            <w:tcW w:w="160" w:type="dxa"/>
            <w:vAlign w:val="bottom"/>
            <w:tcBorders>
              <w:bottom w:val="single" w:sz="8" w:color="3A5575"/>
            </w:tcBorders>
          </w:tcPr>
          <w:p>
            <w:pPr>
              <w:spacing w:after="0"/>
              <w:rPr>
                <w:sz w:val="16"/>
                <w:szCs w:val="16"/>
                <w:color w:val="auto"/>
              </w:rPr>
            </w:pPr>
          </w:p>
        </w:tc>
        <w:tc>
          <w:tcPr>
            <w:tcW w:w="1280" w:type="dxa"/>
            <w:vAlign w:val="bottom"/>
            <w:tcBorders>
              <w:bottom w:val="single" w:sz="8" w:color="3A5575"/>
            </w:tcBorders>
          </w:tcPr>
          <w:p>
            <w:pPr>
              <w:spacing w:after="0"/>
              <w:rPr>
                <w:sz w:val="16"/>
                <w:szCs w:val="16"/>
                <w:color w:val="auto"/>
              </w:rPr>
            </w:pPr>
          </w:p>
        </w:tc>
        <w:tc>
          <w:tcPr>
            <w:tcW w:w="1660" w:type="dxa"/>
            <w:vAlign w:val="bottom"/>
            <w:tcBorders>
              <w:bottom w:val="single" w:sz="8" w:color="3A5575"/>
            </w:tcBorders>
          </w:tcPr>
          <w:p>
            <w:pPr>
              <w:ind w:left="20"/>
              <w:spacing w:after="0"/>
              <w:rPr>
                <w:sz w:val="20"/>
                <w:szCs w:val="20"/>
                <w:color w:val="auto"/>
              </w:rPr>
            </w:pPr>
            <w:r>
              <w:rPr>
                <w:rFonts w:ascii="Arial" w:cs="Arial" w:eastAsia="Arial" w:hAnsi="Arial"/>
                <w:sz w:val="13"/>
                <w:szCs w:val="13"/>
                <w:b w:val="1"/>
                <w:bCs w:val="1"/>
                <w:color w:val="3A5575"/>
              </w:rPr>
              <w:t>STOCK AWARDS</w:t>
            </w:r>
          </w:p>
        </w:tc>
        <w:tc>
          <w:tcPr>
            <w:tcW w:w="2140" w:type="dxa"/>
            <w:vAlign w:val="bottom"/>
            <w:tcBorders>
              <w:bottom w:val="single" w:sz="8" w:color="3A5575"/>
            </w:tcBorders>
          </w:tcPr>
          <w:p>
            <w:pPr>
              <w:spacing w:after="0"/>
              <w:rPr>
                <w:sz w:val="16"/>
                <w:szCs w:val="16"/>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20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1660" w:type="dxa"/>
            <w:vAlign w:val="bottom"/>
          </w:tcPr>
          <w:p>
            <w:pPr>
              <w:jc w:val="center"/>
              <w:ind w:left="6"/>
              <w:spacing w:after="0" w:line="133" w:lineRule="exact"/>
              <w:rPr>
                <w:sz w:val="20"/>
                <w:szCs w:val="20"/>
                <w:color w:val="auto"/>
              </w:rPr>
            </w:pPr>
            <w:r>
              <w:rPr>
                <w:rFonts w:ascii="Arial" w:cs="Arial" w:eastAsia="Arial" w:hAnsi="Arial"/>
                <w:sz w:val="13"/>
                <w:szCs w:val="13"/>
                <w:b w:val="1"/>
                <w:bCs w:val="1"/>
                <w:color w:val="3A5575"/>
              </w:rPr>
              <w:t>EQUITY INCENTIVE</w:t>
            </w:r>
          </w:p>
        </w:tc>
        <w:tc>
          <w:tcPr>
            <w:tcW w:w="2140" w:type="dxa"/>
            <w:vAlign w:val="bottom"/>
            <w:vMerge w:val="restart"/>
          </w:tcPr>
          <w:p>
            <w:pPr>
              <w:jc w:val="center"/>
              <w:ind w:left="5"/>
              <w:spacing w:after="0"/>
              <w:rPr>
                <w:sz w:val="20"/>
                <w:szCs w:val="20"/>
                <w:color w:val="auto"/>
              </w:rPr>
            </w:pPr>
            <w:r>
              <w:rPr>
                <w:rFonts w:ascii="Arial" w:cs="Arial" w:eastAsia="Arial" w:hAnsi="Arial"/>
                <w:sz w:val="13"/>
                <w:szCs w:val="13"/>
                <w:b w:val="1"/>
                <w:bCs w:val="1"/>
                <w:color w:val="3A5575"/>
              </w:rPr>
              <w:t>EQUITY INCENTIVE PLAN</w:t>
            </w: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0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1660" w:type="dxa"/>
            <w:vAlign w:val="bottom"/>
          </w:tcPr>
          <w:p>
            <w:pPr>
              <w:jc w:val="center"/>
              <w:ind w:left="6"/>
              <w:spacing w:after="0" w:line="136" w:lineRule="exact"/>
              <w:rPr>
                <w:sz w:val="20"/>
                <w:szCs w:val="20"/>
                <w:color w:val="auto"/>
              </w:rPr>
            </w:pPr>
            <w:r>
              <w:rPr>
                <w:rFonts w:ascii="Arial" w:cs="Arial" w:eastAsia="Arial" w:hAnsi="Arial"/>
                <w:sz w:val="13"/>
                <w:szCs w:val="13"/>
                <w:b w:val="1"/>
                <w:bCs w:val="1"/>
                <w:color w:val="3A5575"/>
              </w:rPr>
              <w:t>PLAN AWARDS:</w:t>
            </w:r>
          </w:p>
        </w:tc>
        <w:tc>
          <w:tcPr>
            <w:tcW w:w="21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240" w:type="dxa"/>
            <w:vAlign w:val="bottom"/>
            <w:vMerge w:val="restart"/>
          </w:tcPr>
          <w:p>
            <w:pPr>
              <w:jc w:val="center"/>
              <w:spacing w:after="0"/>
              <w:rPr>
                <w:sz w:val="20"/>
                <w:szCs w:val="20"/>
                <w:color w:val="auto"/>
              </w:rPr>
            </w:pPr>
            <w:r>
              <w:rPr>
                <w:rFonts w:ascii="Arial" w:cs="Arial" w:eastAsia="Arial" w:hAnsi="Arial"/>
                <w:sz w:val="13"/>
                <w:szCs w:val="13"/>
                <w:b w:val="1"/>
                <w:bCs w:val="1"/>
                <w:color w:val="3A5575"/>
                <w:w w:val="99"/>
              </w:rPr>
              <w:t>NUMBER OF</w:t>
            </w:r>
          </w:p>
        </w:tc>
        <w:tc>
          <w:tcPr>
            <w:tcW w:w="160" w:type="dxa"/>
            <w:vAlign w:val="bottom"/>
          </w:tcPr>
          <w:p>
            <w:pPr>
              <w:spacing w:after="0"/>
              <w:rPr>
                <w:sz w:val="12"/>
                <w:szCs w:val="12"/>
                <w:color w:val="auto"/>
              </w:rPr>
            </w:pPr>
          </w:p>
        </w:tc>
        <w:tc>
          <w:tcPr>
            <w:tcW w:w="1280" w:type="dxa"/>
            <w:vAlign w:val="bottom"/>
            <w:vMerge w:val="restart"/>
          </w:tcPr>
          <w:p>
            <w:pPr>
              <w:jc w:val="center"/>
              <w:spacing w:after="0"/>
              <w:rPr>
                <w:sz w:val="20"/>
                <w:szCs w:val="20"/>
                <w:color w:val="auto"/>
              </w:rPr>
            </w:pPr>
            <w:r>
              <w:rPr>
                <w:rFonts w:ascii="Arial" w:cs="Arial" w:eastAsia="Arial" w:hAnsi="Arial"/>
                <w:sz w:val="13"/>
                <w:szCs w:val="13"/>
                <w:b w:val="1"/>
                <w:bCs w:val="1"/>
                <w:color w:val="3A5575"/>
                <w:w w:val="99"/>
              </w:rPr>
              <w:t>MARKET VALUE OF</w:t>
            </w:r>
          </w:p>
        </w:tc>
        <w:tc>
          <w:tcPr>
            <w:tcW w:w="1660" w:type="dxa"/>
            <w:vAlign w:val="bottom"/>
          </w:tcPr>
          <w:p>
            <w:pPr>
              <w:jc w:val="center"/>
              <w:ind w:left="6"/>
              <w:spacing w:after="0" w:line="148" w:lineRule="exact"/>
              <w:rPr>
                <w:sz w:val="20"/>
                <w:szCs w:val="20"/>
                <w:color w:val="auto"/>
              </w:rPr>
            </w:pPr>
            <w:r>
              <w:rPr>
                <w:rFonts w:ascii="Arial" w:cs="Arial" w:eastAsia="Arial" w:hAnsi="Arial"/>
                <w:sz w:val="13"/>
                <w:szCs w:val="13"/>
                <w:b w:val="1"/>
                <w:bCs w:val="1"/>
                <w:color w:val="3A5575"/>
                <w:w w:val="99"/>
              </w:rPr>
              <w:t>NUMBER OF</w:t>
            </w:r>
          </w:p>
        </w:tc>
        <w:tc>
          <w:tcPr>
            <w:tcW w:w="2140" w:type="dxa"/>
            <w:vAlign w:val="bottom"/>
          </w:tcPr>
          <w:p>
            <w:pPr>
              <w:jc w:val="center"/>
              <w:ind w:left="5"/>
              <w:spacing w:after="0" w:line="148" w:lineRule="exact"/>
              <w:rPr>
                <w:sz w:val="20"/>
                <w:szCs w:val="20"/>
                <w:color w:val="auto"/>
              </w:rPr>
            </w:pPr>
            <w:r>
              <w:rPr>
                <w:rFonts w:ascii="Arial" w:cs="Arial" w:eastAsia="Arial" w:hAnsi="Arial"/>
                <w:sz w:val="13"/>
                <w:szCs w:val="13"/>
                <w:b w:val="1"/>
                <w:bCs w:val="1"/>
                <w:color w:val="3A5575"/>
                <w:w w:val="99"/>
              </w:rPr>
              <w:t>AWARDS: MARKET OR PAYOUT</w:t>
            </w: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24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vMerge w:val="continue"/>
          </w:tcPr>
          <w:p>
            <w:pPr>
              <w:spacing w:after="0"/>
              <w:rPr>
                <w:sz w:val="12"/>
                <w:szCs w:val="12"/>
                <w:color w:val="auto"/>
              </w:rPr>
            </w:pPr>
          </w:p>
        </w:tc>
        <w:tc>
          <w:tcPr>
            <w:tcW w:w="1660" w:type="dxa"/>
            <w:vAlign w:val="bottom"/>
          </w:tcPr>
          <w:p>
            <w:pPr>
              <w:jc w:val="center"/>
              <w:ind w:left="6"/>
              <w:spacing w:after="0" w:line="148" w:lineRule="exact"/>
              <w:rPr>
                <w:sz w:val="20"/>
                <w:szCs w:val="20"/>
                <w:color w:val="auto"/>
              </w:rPr>
            </w:pPr>
            <w:r>
              <w:rPr>
                <w:rFonts w:ascii="Arial" w:cs="Arial" w:eastAsia="Arial" w:hAnsi="Arial"/>
                <w:sz w:val="13"/>
                <w:szCs w:val="13"/>
                <w:b w:val="1"/>
                <w:bCs w:val="1"/>
                <w:color w:val="3A5575"/>
                <w:w w:val="99"/>
              </w:rPr>
              <w:t>UNEARNED SHARES,</w:t>
            </w:r>
          </w:p>
        </w:tc>
        <w:tc>
          <w:tcPr>
            <w:tcW w:w="2140" w:type="dxa"/>
            <w:vAlign w:val="bottom"/>
          </w:tcPr>
          <w:p>
            <w:pPr>
              <w:jc w:val="center"/>
              <w:ind w:left="5"/>
              <w:spacing w:after="0" w:line="148" w:lineRule="exact"/>
              <w:rPr>
                <w:sz w:val="20"/>
                <w:szCs w:val="20"/>
                <w:color w:val="auto"/>
              </w:rPr>
            </w:pPr>
            <w:r>
              <w:rPr>
                <w:rFonts w:ascii="Arial" w:cs="Arial" w:eastAsia="Arial" w:hAnsi="Arial"/>
                <w:sz w:val="13"/>
                <w:szCs w:val="13"/>
                <w:b w:val="1"/>
                <w:bCs w:val="1"/>
                <w:color w:val="3A5575"/>
                <w:w w:val="99"/>
              </w:rPr>
              <w:t>VALUE OF UNEARNED</w:t>
            </w: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2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SHARES OR UNITS</w:t>
            </w:r>
          </w:p>
        </w:tc>
        <w:tc>
          <w:tcPr>
            <w:tcW w:w="160" w:type="dxa"/>
            <w:vAlign w:val="bottom"/>
          </w:tcPr>
          <w:p>
            <w:pPr>
              <w:spacing w:after="0"/>
              <w:rPr>
                <w:sz w:val="12"/>
                <w:szCs w:val="12"/>
                <w:color w:val="auto"/>
              </w:rPr>
            </w:pPr>
          </w:p>
        </w:tc>
        <w:tc>
          <w:tcPr>
            <w:tcW w:w="12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SHARES OR UNITS</w:t>
            </w:r>
          </w:p>
        </w:tc>
        <w:tc>
          <w:tcPr>
            <w:tcW w:w="1660" w:type="dxa"/>
            <w:vAlign w:val="bottom"/>
          </w:tcPr>
          <w:p>
            <w:pPr>
              <w:jc w:val="center"/>
              <w:ind w:left="6"/>
              <w:spacing w:after="0" w:line="148" w:lineRule="exact"/>
              <w:rPr>
                <w:sz w:val="20"/>
                <w:szCs w:val="20"/>
                <w:color w:val="auto"/>
              </w:rPr>
            </w:pPr>
            <w:r>
              <w:rPr>
                <w:rFonts w:ascii="Arial" w:cs="Arial" w:eastAsia="Arial" w:hAnsi="Arial"/>
                <w:sz w:val="13"/>
                <w:szCs w:val="13"/>
                <w:b w:val="1"/>
                <w:bCs w:val="1"/>
                <w:color w:val="3A5575"/>
                <w:w w:val="98"/>
              </w:rPr>
              <w:t>UNITS OR OTHER</w:t>
            </w:r>
          </w:p>
        </w:tc>
        <w:tc>
          <w:tcPr>
            <w:tcW w:w="2140" w:type="dxa"/>
            <w:vAlign w:val="bottom"/>
          </w:tcPr>
          <w:p>
            <w:pPr>
              <w:jc w:val="center"/>
              <w:ind w:left="5"/>
              <w:spacing w:after="0" w:line="148" w:lineRule="exact"/>
              <w:rPr>
                <w:sz w:val="20"/>
                <w:szCs w:val="20"/>
                <w:color w:val="auto"/>
              </w:rPr>
            </w:pPr>
            <w:r>
              <w:rPr>
                <w:rFonts w:ascii="Arial" w:cs="Arial" w:eastAsia="Arial" w:hAnsi="Arial"/>
                <w:sz w:val="13"/>
                <w:szCs w:val="13"/>
                <w:b w:val="1"/>
                <w:bCs w:val="1"/>
                <w:color w:val="3A5575"/>
              </w:rPr>
              <w:t>SHARES, UNITS OR OTHER</w:t>
            </w: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12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OF STOCK THAT</w:t>
            </w:r>
          </w:p>
        </w:tc>
        <w:tc>
          <w:tcPr>
            <w:tcW w:w="160" w:type="dxa"/>
            <w:vAlign w:val="bottom"/>
          </w:tcPr>
          <w:p>
            <w:pPr>
              <w:spacing w:after="0"/>
              <w:rPr>
                <w:sz w:val="12"/>
                <w:szCs w:val="12"/>
                <w:color w:val="auto"/>
              </w:rPr>
            </w:pPr>
          </w:p>
        </w:tc>
        <w:tc>
          <w:tcPr>
            <w:tcW w:w="12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w w:val="98"/>
              </w:rPr>
              <w:t>OF STOCK THAT</w:t>
            </w:r>
          </w:p>
        </w:tc>
        <w:tc>
          <w:tcPr>
            <w:tcW w:w="1660" w:type="dxa"/>
            <w:vAlign w:val="bottom"/>
          </w:tcPr>
          <w:p>
            <w:pPr>
              <w:jc w:val="center"/>
              <w:ind w:left="6"/>
              <w:spacing w:after="0" w:line="148" w:lineRule="exact"/>
              <w:rPr>
                <w:sz w:val="20"/>
                <w:szCs w:val="20"/>
                <w:color w:val="auto"/>
              </w:rPr>
            </w:pPr>
            <w:r>
              <w:rPr>
                <w:rFonts w:ascii="Arial" w:cs="Arial" w:eastAsia="Arial" w:hAnsi="Arial"/>
                <w:sz w:val="13"/>
                <w:szCs w:val="13"/>
                <w:b w:val="1"/>
                <w:bCs w:val="1"/>
                <w:color w:val="3A5575"/>
                <w:w w:val="99"/>
              </w:rPr>
              <w:t>RIGHTS THAT HAVE</w:t>
            </w:r>
          </w:p>
        </w:tc>
        <w:tc>
          <w:tcPr>
            <w:tcW w:w="2140" w:type="dxa"/>
            <w:vAlign w:val="bottom"/>
          </w:tcPr>
          <w:p>
            <w:pPr>
              <w:jc w:val="center"/>
              <w:ind w:left="5"/>
              <w:spacing w:after="0" w:line="148" w:lineRule="exact"/>
              <w:rPr>
                <w:sz w:val="20"/>
                <w:szCs w:val="20"/>
                <w:color w:val="auto"/>
              </w:rPr>
            </w:pPr>
            <w:r>
              <w:rPr>
                <w:rFonts w:ascii="Arial" w:cs="Arial" w:eastAsia="Arial" w:hAnsi="Arial"/>
                <w:sz w:val="13"/>
                <w:szCs w:val="13"/>
                <w:b w:val="1"/>
                <w:bCs w:val="1"/>
                <w:color w:val="3A5575"/>
                <w:w w:val="99"/>
              </w:rPr>
              <w:t>RIGHTS THAT HAVE NOT</w:t>
            </w:r>
          </w:p>
        </w:tc>
        <w:tc>
          <w:tcPr>
            <w:tcW w:w="0" w:type="dxa"/>
            <w:vAlign w:val="bottom"/>
          </w:tcPr>
          <w:p>
            <w:pPr>
              <w:spacing w:after="0"/>
              <w:rPr>
                <w:sz w:val="1"/>
                <w:szCs w:val="1"/>
                <w:color w:val="auto"/>
              </w:rPr>
            </w:pPr>
          </w:p>
        </w:tc>
      </w:tr>
      <w:tr>
        <w:trPr>
          <w:trHeight w:val="147"/>
        </w:trPr>
        <w:tc>
          <w:tcPr>
            <w:tcW w:w="2100" w:type="dxa"/>
            <w:vAlign w:val="bottom"/>
            <w:gridSpan w:val="2"/>
            <w:vMerge w:val="restart"/>
          </w:tcPr>
          <w:p>
            <w:pPr>
              <w:spacing w:after="0"/>
              <w:rPr>
                <w:sz w:val="20"/>
                <w:szCs w:val="20"/>
                <w:color w:val="auto"/>
              </w:rPr>
            </w:pPr>
            <w:r>
              <w:rPr>
                <w:rFonts w:ascii="Arial" w:cs="Arial" w:eastAsia="Arial" w:hAnsi="Arial"/>
                <w:sz w:val="13"/>
                <w:szCs w:val="13"/>
                <w:b w:val="1"/>
                <w:bCs w:val="1"/>
                <w:color w:val="3A5575"/>
              </w:rPr>
              <w:t>NAME</w:t>
            </w:r>
          </w:p>
        </w:tc>
        <w:tc>
          <w:tcPr>
            <w:tcW w:w="124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w w:val="99"/>
              </w:rPr>
              <w:t>HAVE NOT VESTED</w:t>
            </w:r>
          </w:p>
        </w:tc>
        <w:tc>
          <w:tcPr>
            <w:tcW w:w="160" w:type="dxa"/>
            <w:vAlign w:val="bottom"/>
          </w:tcPr>
          <w:p>
            <w:pPr>
              <w:spacing w:after="0"/>
              <w:rPr>
                <w:sz w:val="12"/>
                <w:szCs w:val="12"/>
                <w:color w:val="auto"/>
              </w:rPr>
            </w:pPr>
          </w:p>
        </w:tc>
        <w:tc>
          <w:tcPr>
            <w:tcW w:w="1280" w:type="dxa"/>
            <w:vAlign w:val="bottom"/>
          </w:tcPr>
          <w:p>
            <w:pPr>
              <w:jc w:val="center"/>
              <w:spacing w:after="0" w:line="148" w:lineRule="exact"/>
              <w:rPr>
                <w:sz w:val="20"/>
                <w:szCs w:val="20"/>
                <w:color w:val="auto"/>
              </w:rPr>
            </w:pPr>
            <w:r>
              <w:rPr>
                <w:rFonts w:ascii="Arial" w:cs="Arial" w:eastAsia="Arial" w:hAnsi="Arial"/>
                <w:sz w:val="13"/>
                <w:szCs w:val="13"/>
                <w:b w:val="1"/>
                <w:bCs w:val="1"/>
                <w:color w:val="3A5575"/>
              </w:rPr>
              <w:t>HAVE NOT VESTED</w:t>
            </w:r>
          </w:p>
        </w:tc>
        <w:tc>
          <w:tcPr>
            <w:tcW w:w="1660" w:type="dxa"/>
            <w:vAlign w:val="bottom"/>
          </w:tcPr>
          <w:p>
            <w:pPr>
              <w:jc w:val="center"/>
              <w:ind w:left="6"/>
              <w:spacing w:after="0" w:line="148" w:lineRule="exact"/>
              <w:rPr>
                <w:sz w:val="20"/>
                <w:szCs w:val="20"/>
                <w:color w:val="auto"/>
              </w:rPr>
            </w:pPr>
            <w:r>
              <w:rPr>
                <w:rFonts w:ascii="Arial" w:cs="Arial" w:eastAsia="Arial" w:hAnsi="Arial"/>
                <w:sz w:val="13"/>
                <w:szCs w:val="13"/>
                <w:b w:val="1"/>
                <w:bCs w:val="1"/>
                <w:color w:val="3A5575"/>
                <w:w w:val="98"/>
              </w:rPr>
              <w:t>NOT VESTED</w:t>
            </w:r>
          </w:p>
        </w:tc>
        <w:tc>
          <w:tcPr>
            <w:tcW w:w="2140" w:type="dxa"/>
            <w:vAlign w:val="bottom"/>
          </w:tcPr>
          <w:p>
            <w:pPr>
              <w:jc w:val="center"/>
              <w:ind w:left="25"/>
              <w:spacing w:after="0" w:line="148" w:lineRule="exact"/>
              <w:rPr>
                <w:sz w:val="20"/>
                <w:szCs w:val="20"/>
                <w:color w:val="auto"/>
              </w:rPr>
            </w:pPr>
            <w:r>
              <w:rPr>
                <w:rFonts w:ascii="Arial" w:cs="Arial" w:eastAsia="Arial" w:hAnsi="Arial"/>
                <w:sz w:val="13"/>
                <w:szCs w:val="13"/>
                <w:b w:val="1"/>
                <w:bCs w:val="1"/>
                <w:color w:val="3A5575"/>
                <w:w w:val="99"/>
              </w:rPr>
              <w:t>VESTED</w:t>
            </w:r>
          </w:p>
        </w:tc>
        <w:tc>
          <w:tcPr>
            <w:tcW w:w="0" w:type="dxa"/>
            <w:vAlign w:val="bottom"/>
          </w:tcPr>
          <w:p>
            <w:pPr>
              <w:spacing w:after="0"/>
              <w:rPr>
                <w:sz w:val="1"/>
                <w:szCs w:val="1"/>
                <w:color w:val="auto"/>
              </w:rPr>
            </w:pPr>
          </w:p>
        </w:tc>
      </w:tr>
      <w:tr>
        <w:trPr>
          <w:trHeight w:val="172"/>
        </w:trPr>
        <w:tc>
          <w:tcPr>
            <w:tcW w:w="2100" w:type="dxa"/>
            <w:vAlign w:val="bottom"/>
            <w:tcBorders>
              <w:bottom w:val="single" w:sz="8" w:color="auto"/>
            </w:tcBorders>
            <w:gridSpan w:val="2"/>
            <w:vMerge w:val="continue"/>
          </w:tcPr>
          <w:p>
            <w:pPr>
              <w:spacing w:after="0"/>
              <w:rPr>
                <w:sz w:val="14"/>
                <w:szCs w:val="14"/>
                <w:color w:val="auto"/>
              </w:rPr>
            </w:pPr>
          </w:p>
        </w:tc>
        <w:tc>
          <w:tcPr>
            <w:tcW w:w="12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3A5575"/>
              </w:rPr>
              <w:t>(#)</w:t>
            </w:r>
          </w:p>
        </w:tc>
        <w:tc>
          <w:tcPr>
            <w:tcW w:w="1440" w:type="dxa"/>
            <w:vAlign w:val="bottom"/>
            <w:tcBorders>
              <w:bottom w:val="single" w:sz="8" w:color="auto"/>
            </w:tcBorders>
            <w:gridSpan w:val="2"/>
          </w:tcPr>
          <w:p>
            <w:pPr>
              <w:jc w:val="center"/>
              <w:ind w:left="81"/>
              <w:spacing w:after="0" w:line="172" w:lineRule="exact"/>
              <w:rPr>
                <w:sz w:val="20"/>
                <w:szCs w:val="20"/>
                <w:color w:val="auto"/>
              </w:rPr>
            </w:pPr>
            <w:r>
              <w:rPr>
                <w:rFonts w:ascii="Arial" w:cs="Arial" w:eastAsia="Arial" w:hAnsi="Arial"/>
                <w:sz w:val="13"/>
                <w:szCs w:val="13"/>
                <w:b w:val="1"/>
                <w:bCs w:val="1"/>
                <w:color w:val="3A5575"/>
                <w:w w:val="89"/>
              </w:rPr>
              <w:t>($)</w:t>
            </w:r>
            <w:r>
              <w:rPr>
                <w:rFonts w:ascii="Arial" w:cs="Arial" w:eastAsia="Arial" w:hAnsi="Arial"/>
                <w:sz w:val="19"/>
                <w:szCs w:val="19"/>
                <w:b w:val="1"/>
                <w:bCs w:val="1"/>
                <w:color w:val="3A5575"/>
                <w:w w:val="89"/>
                <w:vertAlign w:val="superscript"/>
              </w:rPr>
              <w:t>(1)</w:t>
            </w:r>
          </w:p>
        </w:tc>
        <w:tc>
          <w:tcPr>
            <w:tcW w:w="1660" w:type="dxa"/>
            <w:vAlign w:val="bottom"/>
            <w:tcBorders>
              <w:bottom w:val="single" w:sz="8" w:color="auto"/>
            </w:tcBorders>
          </w:tcPr>
          <w:p>
            <w:pPr>
              <w:jc w:val="center"/>
              <w:ind w:left="26"/>
              <w:spacing w:after="0"/>
              <w:rPr>
                <w:sz w:val="20"/>
                <w:szCs w:val="20"/>
                <w:color w:val="auto"/>
              </w:rPr>
            </w:pPr>
            <w:r>
              <w:rPr>
                <w:rFonts w:ascii="Arial" w:cs="Arial" w:eastAsia="Arial" w:hAnsi="Arial"/>
                <w:sz w:val="13"/>
                <w:szCs w:val="13"/>
                <w:b w:val="1"/>
                <w:bCs w:val="1"/>
                <w:color w:val="3A5575"/>
              </w:rPr>
              <w:t>(#)</w:t>
            </w:r>
          </w:p>
        </w:tc>
        <w:tc>
          <w:tcPr>
            <w:tcW w:w="2140" w:type="dxa"/>
            <w:vAlign w:val="bottom"/>
            <w:tcBorders>
              <w:bottom w:val="single" w:sz="8" w:color="auto"/>
            </w:tcBorders>
          </w:tcPr>
          <w:p>
            <w:pPr>
              <w:jc w:val="center"/>
              <w:ind w:left="25"/>
              <w:spacing w:after="0" w:line="172" w:lineRule="exact"/>
              <w:rPr>
                <w:sz w:val="20"/>
                <w:szCs w:val="20"/>
                <w:color w:val="auto"/>
              </w:rPr>
            </w:pPr>
            <w:r>
              <w:rPr>
                <w:rFonts w:ascii="Arial" w:cs="Arial" w:eastAsia="Arial" w:hAnsi="Arial"/>
                <w:sz w:val="13"/>
                <w:szCs w:val="13"/>
                <w:b w:val="1"/>
                <w:bCs w:val="1"/>
                <w:color w:val="3A5575"/>
                <w:w w:val="89"/>
              </w:rPr>
              <w:t>($)</w:t>
            </w:r>
            <w:r>
              <w:rPr>
                <w:rFonts w:ascii="Arial" w:cs="Arial" w:eastAsia="Arial" w:hAnsi="Arial"/>
                <w:sz w:val="19"/>
                <w:szCs w:val="19"/>
                <w:b w:val="1"/>
                <w:bCs w:val="1"/>
                <w:color w:val="3A5575"/>
                <w:w w:val="89"/>
                <w:vertAlign w:val="superscript"/>
              </w:rPr>
              <w:t>(1)</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Donald E. Brandt</w:t>
            </w:r>
          </w:p>
        </w:tc>
        <w:tc>
          <w:tcPr>
            <w:tcW w:w="1240" w:type="dxa"/>
            <w:vAlign w:val="bottom"/>
            <w:shd w:val="clear" w:color="auto" w:fill="E3E5EB"/>
          </w:tcPr>
          <w:p>
            <w:pPr>
              <w:jc w:val="center"/>
              <w:spacing w:after="0" w:line="195" w:lineRule="exact"/>
              <w:rPr>
                <w:sz w:val="20"/>
                <w:szCs w:val="20"/>
                <w:color w:val="auto"/>
              </w:rPr>
            </w:pPr>
            <w:r>
              <w:rPr>
                <w:rFonts w:ascii="Arial" w:cs="Arial" w:eastAsia="Arial" w:hAnsi="Arial"/>
                <w:sz w:val="14"/>
                <w:szCs w:val="14"/>
                <w:color w:val="auto"/>
              </w:rPr>
              <w:t>30,912</w:t>
            </w:r>
            <w:r>
              <w:rPr>
                <w:rFonts w:ascii="Arial" w:cs="Arial" w:eastAsia="Arial" w:hAnsi="Arial"/>
                <w:sz w:val="22"/>
                <w:szCs w:val="22"/>
                <w:color w:val="auto"/>
                <w:vertAlign w:val="superscript"/>
              </w:rPr>
              <w:t>(2)</w:t>
            </w:r>
          </w:p>
        </w:tc>
        <w:tc>
          <w:tcPr>
            <w:tcW w:w="1440" w:type="dxa"/>
            <w:vAlign w:val="bottom"/>
            <w:gridSpan w:val="2"/>
            <w:shd w:val="clear" w:color="auto" w:fill="E3E5EB"/>
          </w:tcPr>
          <w:p>
            <w:pPr>
              <w:jc w:val="right"/>
              <w:ind w:right="208"/>
              <w:spacing w:after="0"/>
              <w:rPr>
                <w:sz w:val="20"/>
                <w:szCs w:val="20"/>
                <w:color w:val="auto"/>
              </w:rPr>
            </w:pPr>
            <w:r>
              <w:rPr>
                <w:rFonts w:ascii="Arial" w:cs="Arial" w:eastAsia="Arial" w:hAnsi="Arial"/>
                <w:sz w:val="16"/>
                <w:szCs w:val="16"/>
                <w:color w:val="auto"/>
              </w:rPr>
              <w:t>1,993,205</w:t>
            </w:r>
          </w:p>
        </w:tc>
        <w:tc>
          <w:tcPr>
            <w:tcW w:w="1660" w:type="dxa"/>
            <w:vAlign w:val="bottom"/>
            <w:shd w:val="clear" w:color="auto" w:fill="E3E5EB"/>
          </w:tcPr>
          <w:p>
            <w:pPr>
              <w:jc w:val="center"/>
              <w:ind w:left="6"/>
              <w:spacing w:after="0" w:line="195" w:lineRule="exact"/>
              <w:rPr>
                <w:sz w:val="20"/>
                <w:szCs w:val="20"/>
                <w:color w:val="auto"/>
              </w:rPr>
            </w:pPr>
            <w:r>
              <w:rPr>
                <w:rFonts w:ascii="Arial" w:cs="Arial" w:eastAsia="Arial" w:hAnsi="Arial"/>
                <w:sz w:val="14"/>
                <w:szCs w:val="14"/>
                <w:color w:val="auto"/>
              </w:rPr>
              <w:t>38,314</w:t>
            </w:r>
            <w:r>
              <w:rPr>
                <w:rFonts w:ascii="Arial" w:cs="Arial" w:eastAsia="Arial" w:hAnsi="Arial"/>
                <w:sz w:val="22"/>
                <w:szCs w:val="22"/>
                <w:color w:val="auto"/>
                <w:vertAlign w:val="superscript"/>
              </w:rPr>
              <w:t>(7)</w:t>
            </w:r>
          </w:p>
        </w:tc>
        <w:tc>
          <w:tcPr>
            <w:tcW w:w="2140" w:type="dxa"/>
            <w:vAlign w:val="bottom"/>
            <w:shd w:val="clear" w:color="auto" w:fill="E3E5EB"/>
          </w:tcPr>
          <w:p>
            <w:pPr>
              <w:jc w:val="right"/>
              <w:ind w:right="605"/>
              <w:spacing w:after="0"/>
              <w:rPr>
                <w:sz w:val="20"/>
                <w:szCs w:val="20"/>
                <w:color w:val="auto"/>
              </w:rPr>
            </w:pPr>
            <w:r>
              <w:rPr>
                <w:rFonts w:ascii="Arial" w:cs="Arial" w:eastAsia="Arial" w:hAnsi="Arial"/>
                <w:sz w:val="16"/>
                <w:szCs w:val="16"/>
                <w:color w:val="auto"/>
              </w:rPr>
              <w:t>2,470,487</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4,902,286</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target)</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5,795,462</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76,028</w:t>
            </w:r>
            <w:r>
              <w:rPr>
                <w:rFonts w:ascii="Arial" w:cs="Arial" w:eastAsia="Arial" w:hAnsi="Arial"/>
                <w:sz w:val="23"/>
                <w:szCs w:val="23"/>
                <w:color w:val="auto"/>
                <w:vertAlign w:val="superscript"/>
              </w:rPr>
              <w:t>(3)</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89,880</w:t>
            </w:r>
            <w:r>
              <w:rPr>
                <w:rFonts w:ascii="Arial" w:cs="Arial" w:eastAsia="Arial" w:hAnsi="Arial"/>
                <w:sz w:val="23"/>
                <w:szCs w:val="23"/>
                <w:color w:val="auto"/>
                <w:vertAlign w:val="superscript"/>
              </w:rPr>
              <w:t>(8)</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8"/>
              </w:rPr>
              <w:t>(Retention Grant)</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1,722,454</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5,704,094</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26,713</w:t>
            </w:r>
            <w:r>
              <w:rPr>
                <w:rFonts w:ascii="Arial" w:cs="Arial" w:eastAsia="Arial" w:hAnsi="Arial"/>
                <w:sz w:val="23"/>
                <w:szCs w:val="23"/>
                <w:color w:val="auto"/>
                <w:vertAlign w:val="superscript"/>
              </w:rPr>
              <w:t>(4)</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88,463</w:t>
            </w:r>
            <w:r>
              <w:rPr>
                <w:rFonts w:ascii="Arial" w:cs="Arial" w:eastAsia="Arial" w:hAnsi="Arial"/>
                <w:sz w:val="23"/>
                <w:szCs w:val="23"/>
                <w:color w:val="auto"/>
                <w:vertAlign w:val="superscript"/>
              </w:rPr>
              <w:t>(9)</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shd w:val="clear" w:color="auto" w:fill="E3E5EB"/>
          </w:tcPr>
          <w:p>
            <w:pPr>
              <w:spacing w:after="0"/>
              <w:rPr>
                <w:sz w:val="17"/>
                <w:szCs w:val="17"/>
                <w:color w:val="auto"/>
              </w:rPr>
            </w:pPr>
          </w:p>
        </w:tc>
        <w:tc>
          <w:tcPr>
            <w:tcW w:w="1280" w:type="dxa"/>
            <w:vAlign w:val="bottom"/>
            <w:vMerge w:val="restart"/>
            <w:shd w:val="clear" w:color="auto" w:fill="E3E5EB"/>
          </w:tcPr>
          <w:p>
            <w:pPr>
              <w:jc w:val="right"/>
              <w:ind w:right="228"/>
              <w:spacing w:after="0"/>
              <w:rPr>
                <w:sz w:val="20"/>
                <w:szCs w:val="20"/>
                <w:color w:val="auto"/>
              </w:rPr>
            </w:pPr>
            <w:r>
              <w:rPr>
                <w:rFonts w:ascii="Arial" w:cs="Arial" w:eastAsia="Arial" w:hAnsi="Arial"/>
                <w:sz w:val="16"/>
                <w:szCs w:val="16"/>
                <w:color w:val="auto"/>
              </w:rPr>
              <w:t>1,111,313</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17,235</w:t>
            </w:r>
            <w:r>
              <w:rPr>
                <w:rFonts w:ascii="Arial" w:cs="Arial" w:eastAsia="Arial" w:hAnsi="Arial"/>
                <w:sz w:val="23"/>
                <w:szCs w:val="23"/>
                <w:color w:val="auto"/>
                <w:vertAlign w:val="superscript"/>
              </w:rPr>
              <w:t>(5)</w:t>
            </w:r>
          </w:p>
        </w:tc>
        <w:tc>
          <w:tcPr>
            <w:tcW w:w="160" w:type="dxa"/>
            <w:vAlign w:val="bottom"/>
            <w:shd w:val="clear" w:color="auto" w:fill="E3E5EB"/>
          </w:tcPr>
          <w:p>
            <w:pPr>
              <w:spacing w:after="0"/>
              <w:rPr>
                <w:sz w:val="17"/>
                <w:szCs w:val="17"/>
                <w:color w:val="auto"/>
              </w:rPr>
            </w:pPr>
          </w:p>
        </w:tc>
        <w:tc>
          <w:tcPr>
            <w:tcW w:w="1280" w:type="dxa"/>
            <w:vAlign w:val="bottom"/>
            <w:vMerge w:val="continue"/>
            <w:shd w:val="clear" w:color="auto" w:fill="E3E5EB"/>
          </w:tcPr>
          <w:p>
            <w:pPr>
              <w:spacing w:after="0"/>
              <w:rPr>
                <w:sz w:val="17"/>
                <w:szCs w:val="17"/>
                <w:color w:val="auto"/>
              </w:rPr>
            </w:pPr>
          </w:p>
        </w:tc>
        <w:tc>
          <w:tcPr>
            <w:tcW w:w="1660" w:type="dxa"/>
            <w:vAlign w:val="bottom"/>
            <w:shd w:val="clear" w:color="auto" w:fill="E3E5EB"/>
          </w:tcPr>
          <w:p>
            <w:pPr>
              <w:spacing w:after="0"/>
              <w:rPr>
                <w:sz w:val="17"/>
                <w:szCs w:val="17"/>
                <w:color w:val="auto"/>
              </w:rPr>
            </w:pP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shd w:val="clear" w:color="auto" w:fill="E3E5EB"/>
          </w:tcPr>
          <w:p>
            <w:pPr>
              <w:spacing w:after="0"/>
              <w:rPr>
                <w:sz w:val="17"/>
                <w:szCs w:val="17"/>
                <w:color w:val="auto"/>
              </w:rPr>
            </w:pPr>
          </w:p>
        </w:tc>
        <w:tc>
          <w:tcPr>
            <w:tcW w:w="1280" w:type="dxa"/>
            <w:vAlign w:val="bottom"/>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590,830</w:t>
            </w:r>
          </w:p>
        </w:tc>
        <w:tc>
          <w:tcPr>
            <w:tcW w:w="1660" w:type="dxa"/>
            <w:vAlign w:val="bottom"/>
            <w:shd w:val="clear" w:color="auto" w:fill="E3E5EB"/>
          </w:tcPr>
          <w:p>
            <w:pPr>
              <w:spacing w:after="0"/>
              <w:rPr>
                <w:sz w:val="17"/>
                <w:szCs w:val="17"/>
                <w:color w:val="auto"/>
              </w:rPr>
            </w:pP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9,163</w:t>
            </w:r>
            <w:r>
              <w:rPr>
                <w:rFonts w:ascii="Arial" w:cs="Arial" w:eastAsia="Arial" w:hAnsi="Arial"/>
                <w:sz w:val="23"/>
                <w:szCs w:val="23"/>
                <w:color w:val="auto"/>
                <w:vertAlign w:val="superscript"/>
              </w:rPr>
              <w:t>(6)</w:t>
            </w:r>
          </w:p>
        </w:tc>
        <w:tc>
          <w:tcPr>
            <w:tcW w:w="160" w:type="dxa"/>
            <w:vAlign w:val="bottom"/>
            <w:shd w:val="clear" w:color="auto" w:fill="E3E5EB"/>
          </w:tcPr>
          <w:p>
            <w:pPr>
              <w:spacing w:after="0"/>
              <w:rPr>
                <w:sz w:val="17"/>
                <w:szCs w:val="17"/>
                <w:color w:val="auto"/>
              </w:rPr>
            </w:pPr>
          </w:p>
        </w:tc>
        <w:tc>
          <w:tcPr>
            <w:tcW w:w="1280" w:type="dxa"/>
            <w:vAlign w:val="bottom"/>
            <w:vMerge w:val="continue"/>
            <w:shd w:val="clear" w:color="auto" w:fill="E3E5EB"/>
          </w:tcPr>
          <w:p>
            <w:pPr>
              <w:spacing w:after="0"/>
              <w:rPr>
                <w:sz w:val="17"/>
                <w:szCs w:val="17"/>
                <w:color w:val="auto"/>
              </w:rPr>
            </w:pPr>
          </w:p>
        </w:tc>
        <w:tc>
          <w:tcPr>
            <w:tcW w:w="1660" w:type="dxa"/>
            <w:vAlign w:val="bottom"/>
            <w:shd w:val="clear" w:color="auto" w:fill="E3E5EB"/>
          </w:tcPr>
          <w:p>
            <w:pPr>
              <w:spacing w:after="0"/>
              <w:rPr>
                <w:sz w:val="17"/>
                <w:szCs w:val="17"/>
                <w:color w:val="auto"/>
              </w:rPr>
            </w:pP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tcBorders>
              <w:bottom w:val="single" w:sz="8" w:color="auto"/>
            </w:tcBorders>
            <w:shd w:val="clear" w:color="auto" w:fill="E3E5EB"/>
          </w:tcPr>
          <w:p>
            <w:pPr>
              <w:spacing w:after="0"/>
              <w:rPr>
                <w:sz w:val="17"/>
                <w:szCs w:val="17"/>
                <w:color w:val="auto"/>
              </w:rPr>
            </w:pPr>
          </w:p>
        </w:tc>
        <w:tc>
          <w:tcPr>
            <w:tcW w:w="1240" w:type="dxa"/>
            <w:vAlign w:val="bottom"/>
            <w:tcBorders>
              <w:bottom w:val="single" w:sz="8" w:color="auto"/>
            </w:tcBorders>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tcBorders>
              <w:bottom w:val="single" w:sz="8" w:color="auto"/>
            </w:tcBorders>
            <w:shd w:val="clear" w:color="auto" w:fill="E3E5EB"/>
          </w:tcPr>
          <w:p>
            <w:pPr>
              <w:spacing w:after="0"/>
              <w:rPr>
                <w:sz w:val="17"/>
                <w:szCs w:val="17"/>
                <w:color w:val="auto"/>
              </w:rPr>
            </w:pPr>
          </w:p>
        </w:tc>
        <w:tc>
          <w:tcPr>
            <w:tcW w:w="1280" w:type="dxa"/>
            <w:vAlign w:val="bottom"/>
            <w:tcBorders>
              <w:bottom w:val="single" w:sz="8" w:color="auto"/>
            </w:tcBorders>
            <w:shd w:val="clear" w:color="auto" w:fill="E3E5EB"/>
          </w:tcPr>
          <w:p>
            <w:pPr>
              <w:spacing w:after="0"/>
              <w:rPr>
                <w:sz w:val="17"/>
                <w:szCs w:val="17"/>
                <w:color w:val="auto"/>
              </w:rPr>
            </w:pPr>
          </w:p>
        </w:tc>
        <w:tc>
          <w:tcPr>
            <w:tcW w:w="1660" w:type="dxa"/>
            <w:vAlign w:val="bottom"/>
            <w:tcBorders>
              <w:bottom w:val="single" w:sz="8" w:color="auto"/>
            </w:tcBorders>
            <w:shd w:val="clear" w:color="auto" w:fill="E3E5EB"/>
          </w:tcPr>
          <w:p>
            <w:pPr>
              <w:spacing w:after="0"/>
              <w:rPr>
                <w:sz w:val="17"/>
                <w:szCs w:val="17"/>
                <w:color w:val="auto"/>
              </w:rPr>
            </w:pPr>
          </w:p>
        </w:tc>
        <w:tc>
          <w:tcPr>
            <w:tcW w:w="2140" w:type="dxa"/>
            <w:vAlign w:val="bottom"/>
            <w:tcBorders>
              <w:bottom w:val="single" w:sz="8" w:color="auto"/>
            </w:tcBorders>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2080" w:type="dxa"/>
            <w:vAlign w:val="bottom"/>
          </w:tcPr>
          <w:p>
            <w:pPr>
              <w:spacing w:after="0"/>
              <w:rPr>
                <w:sz w:val="20"/>
                <w:szCs w:val="20"/>
                <w:color w:val="auto"/>
              </w:rPr>
            </w:pPr>
            <w:r>
              <w:rPr>
                <w:rFonts w:ascii="Arial" w:cs="Arial" w:eastAsia="Arial" w:hAnsi="Arial"/>
                <w:sz w:val="16"/>
                <w:szCs w:val="16"/>
                <w:b w:val="1"/>
                <w:bCs w:val="1"/>
                <w:color w:val="auto"/>
              </w:rPr>
              <w:t>James R. Hatfield</w:t>
            </w:r>
          </w:p>
        </w:tc>
        <w:tc>
          <w:tcPr>
            <w:tcW w:w="1240" w:type="dxa"/>
            <w:vAlign w:val="bottom"/>
          </w:tcPr>
          <w:p>
            <w:pPr>
              <w:jc w:val="center"/>
              <w:spacing w:after="0" w:line="195" w:lineRule="exact"/>
              <w:rPr>
                <w:sz w:val="20"/>
                <w:szCs w:val="20"/>
                <w:color w:val="auto"/>
              </w:rPr>
            </w:pPr>
            <w:r>
              <w:rPr>
                <w:rFonts w:ascii="Arial" w:cs="Arial" w:eastAsia="Arial" w:hAnsi="Arial"/>
                <w:sz w:val="14"/>
                <w:szCs w:val="14"/>
                <w:color w:val="auto"/>
              </w:rPr>
              <w:t>5,270</w:t>
            </w:r>
            <w:r>
              <w:rPr>
                <w:rFonts w:ascii="Arial" w:cs="Arial" w:eastAsia="Arial" w:hAnsi="Arial"/>
                <w:sz w:val="22"/>
                <w:szCs w:val="22"/>
                <w:color w:val="auto"/>
                <w:vertAlign w:val="superscript"/>
              </w:rPr>
              <w:t>(2)</w:t>
            </w:r>
          </w:p>
        </w:tc>
        <w:tc>
          <w:tcPr>
            <w:tcW w:w="160" w:type="dxa"/>
            <w:vAlign w:val="bottom"/>
          </w:tcPr>
          <w:p>
            <w:pPr>
              <w:spacing w:after="0"/>
              <w:rPr>
                <w:sz w:val="17"/>
                <w:szCs w:val="17"/>
                <w:color w:val="auto"/>
              </w:rPr>
            </w:pPr>
          </w:p>
        </w:tc>
        <w:tc>
          <w:tcPr>
            <w:tcW w:w="1280" w:type="dxa"/>
            <w:vAlign w:val="bottom"/>
          </w:tcPr>
          <w:p>
            <w:pPr>
              <w:jc w:val="right"/>
              <w:ind w:right="208"/>
              <w:spacing w:after="0"/>
              <w:rPr>
                <w:sz w:val="20"/>
                <w:szCs w:val="20"/>
                <w:color w:val="auto"/>
              </w:rPr>
            </w:pPr>
            <w:r>
              <w:rPr>
                <w:rFonts w:ascii="Arial" w:cs="Arial" w:eastAsia="Arial" w:hAnsi="Arial"/>
                <w:sz w:val="16"/>
                <w:szCs w:val="16"/>
                <w:color w:val="auto"/>
              </w:rPr>
              <w:t>339,810</w:t>
            </w:r>
          </w:p>
        </w:tc>
        <w:tc>
          <w:tcPr>
            <w:tcW w:w="1660" w:type="dxa"/>
            <w:vAlign w:val="bottom"/>
          </w:tcPr>
          <w:p>
            <w:pPr>
              <w:jc w:val="center"/>
              <w:ind w:left="6"/>
              <w:spacing w:after="0" w:line="195" w:lineRule="exact"/>
              <w:rPr>
                <w:sz w:val="20"/>
                <w:szCs w:val="20"/>
                <w:color w:val="auto"/>
              </w:rPr>
            </w:pPr>
            <w:r>
              <w:rPr>
                <w:rFonts w:ascii="Arial" w:cs="Arial" w:eastAsia="Arial" w:hAnsi="Arial"/>
                <w:sz w:val="14"/>
                <w:szCs w:val="14"/>
                <w:color w:val="auto"/>
              </w:rPr>
              <w:t>6,532</w:t>
            </w:r>
            <w:r>
              <w:rPr>
                <w:rFonts w:ascii="Arial" w:cs="Arial" w:eastAsia="Arial" w:hAnsi="Arial"/>
                <w:sz w:val="22"/>
                <w:szCs w:val="22"/>
                <w:color w:val="auto"/>
                <w:vertAlign w:val="superscript"/>
              </w:rPr>
              <w:t>(7)</w:t>
            </w:r>
          </w:p>
        </w:tc>
        <w:tc>
          <w:tcPr>
            <w:tcW w:w="2140" w:type="dxa"/>
            <w:vAlign w:val="bottom"/>
          </w:tcPr>
          <w:p>
            <w:pPr>
              <w:jc w:val="right"/>
              <w:ind w:right="605"/>
              <w:spacing w:after="0"/>
              <w:rPr>
                <w:sz w:val="20"/>
                <w:szCs w:val="20"/>
                <w:color w:val="auto"/>
              </w:rPr>
            </w:pPr>
            <w:r>
              <w:rPr>
                <w:rFonts w:ascii="Arial" w:cs="Arial" w:eastAsia="Arial" w:hAnsi="Arial"/>
                <w:sz w:val="16"/>
                <w:szCs w:val="16"/>
                <w:color w:val="auto"/>
              </w:rPr>
              <w:t>421,183</w:t>
            </w: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208"/>
              <w:spacing w:after="0"/>
              <w:rPr>
                <w:sz w:val="20"/>
                <w:szCs w:val="20"/>
                <w:color w:val="auto"/>
              </w:rPr>
            </w:pPr>
            <w:r>
              <w:rPr>
                <w:rFonts w:ascii="Arial" w:cs="Arial" w:eastAsia="Arial" w:hAnsi="Arial"/>
                <w:sz w:val="16"/>
                <w:szCs w:val="16"/>
                <w:color w:val="auto"/>
              </w:rPr>
              <w:t>317,822</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target)</w:t>
            </w:r>
          </w:p>
        </w:tc>
        <w:tc>
          <w:tcPr>
            <w:tcW w:w="2140" w:type="dxa"/>
            <w:vAlign w:val="bottom"/>
            <w:vMerge w:val="restart"/>
          </w:tcPr>
          <w:p>
            <w:pPr>
              <w:jc w:val="right"/>
              <w:ind w:right="605"/>
              <w:spacing w:after="0"/>
              <w:rPr>
                <w:sz w:val="20"/>
                <w:szCs w:val="20"/>
                <w:color w:val="auto"/>
              </w:rPr>
            </w:pPr>
            <w:r>
              <w:rPr>
                <w:rFonts w:ascii="Arial" w:cs="Arial" w:eastAsia="Arial" w:hAnsi="Arial"/>
                <w:sz w:val="16"/>
                <w:szCs w:val="16"/>
                <w:color w:val="auto"/>
              </w:rPr>
              <w:t>1,034,904</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4,929</w:t>
            </w:r>
            <w:r>
              <w:rPr>
                <w:rFonts w:ascii="Arial" w:cs="Arial" w:eastAsia="Arial" w:hAnsi="Arial"/>
                <w:sz w:val="25"/>
                <w:szCs w:val="25"/>
                <w:color w:val="auto"/>
                <w:w w:val="96"/>
                <w:vertAlign w:val="superscript"/>
              </w:rPr>
              <w:t>(4)</w:t>
            </w:r>
          </w:p>
        </w:tc>
        <w:tc>
          <w:tcPr>
            <w:tcW w:w="1440" w:type="dxa"/>
            <w:vAlign w:val="bottom"/>
            <w:gridSpan w:val="2"/>
            <w:vMerge w:val="continue"/>
          </w:tcPr>
          <w:p>
            <w:pPr>
              <w:spacing w:after="0"/>
              <w:rPr>
                <w:sz w:val="18"/>
                <w:szCs w:val="18"/>
                <w:color w:val="auto"/>
              </w:rPr>
            </w:pPr>
          </w:p>
        </w:tc>
        <w:tc>
          <w:tcPr>
            <w:tcW w:w="1660" w:type="dxa"/>
            <w:vAlign w:val="bottom"/>
          </w:tcPr>
          <w:p>
            <w:pPr>
              <w:jc w:val="center"/>
              <w:ind w:left="6"/>
              <w:spacing w:after="0" w:line="217" w:lineRule="exact"/>
              <w:rPr>
                <w:sz w:val="20"/>
                <w:szCs w:val="20"/>
                <w:color w:val="auto"/>
              </w:rPr>
            </w:pPr>
            <w:r>
              <w:rPr>
                <w:rFonts w:ascii="Arial" w:cs="Arial" w:eastAsia="Arial" w:hAnsi="Arial"/>
                <w:sz w:val="15"/>
                <w:szCs w:val="15"/>
                <w:color w:val="auto"/>
                <w:w w:val="99"/>
              </w:rPr>
              <w:t>16,050</w:t>
            </w:r>
            <w:r>
              <w:rPr>
                <w:rFonts w:ascii="Arial" w:cs="Arial" w:eastAsia="Arial" w:hAnsi="Arial"/>
                <w:sz w:val="25"/>
                <w:szCs w:val="25"/>
                <w:color w:val="auto"/>
                <w:w w:val="99"/>
                <w:vertAlign w:val="superscript"/>
              </w:rPr>
              <w:t>(8)</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208"/>
              <w:spacing w:after="0"/>
              <w:rPr>
                <w:sz w:val="20"/>
                <w:szCs w:val="20"/>
                <w:color w:val="auto"/>
              </w:rPr>
            </w:pPr>
            <w:r>
              <w:rPr>
                <w:rFonts w:ascii="Arial" w:cs="Arial" w:eastAsia="Arial" w:hAnsi="Arial"/>
                <w:sz w:val="16"/>
                <w:szCs w:val="16"/>
                <w:color w:val="auto"/>
              </w:rPr>
              <w:t>204,144</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vMerge w:val="restart"/>
          </w:tcPr>
          <w:p>
            <w:pPr>
              <w:jc w:val="right"/>
              <w:ind w:right="605"/>
              <w:spacing w:after="0"/>
              <w:rPr>
                <w:sz w:val="20"/>
                <w:szCs w:val="20"/>
                <w:color w:val="auto"/>
              </w:rPr>
            </w:pPr>
            <w:r>
              <w:rPr>
                <w:rFonts w:ascii="Arial" w:cs="Arial" w:eastAsia="Arial" w:hAnsi="Arial"/>
                <w:sz w:val="16"/>
                <w:szCs w:val="16"/>
                <w:color w:val="auto"/>
              </w:rPr>
              <w:t>998,408</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3,166</w:t>
            </w:r>
            <w:r>
              <w:rPr>
                <w:rFonts w:ascii="Arial" w:cs="Arial" w:eastAsia="Arial" w:hAnsi="Arial"/>
                <w:sz w:val="25"/>
                <w:szCs w:val="25"/>
                <w:color w:val="auto"/>
                <w:w w:val="96"/>
                <w:vertAlign w:val="superscript"/>
              </w:rPr>
              <w:t>(5)</w:t>
            </w:r>
          </w:p>
        </w:tc>
        <w:tc>
          <w:tcPr>
            <w:tcW w:w="1440" w:type="dxa"/>
            <w:vAlign w:val="bottom"/>
            <w:gridSpan w:val="2"/>
            <w:vMerge w:val="continue"/>
          </w:tcPr>
          <w:p>
            <w:pPr>
              <w:spacing w:after="0"/>
              <w:rPr>
                <w:sz w:val="18"/>
                <w:szCs w:val="18"/>
                <w:color w:val="auto"/>
              </w:rPr>
            </w:pPr>
          </w:p>
        </w:tc>
        <w:tc>
          <w:tcPr>
            <w:tcW w:w="1660" w:type="dxa"/>
            <w:vAlign w:val="bottom"/>
          </w:tcPr>
          <w:p>
            <w:pPr>
              <w:jc w:val="center"/>
              <w:ind w:left="6"/>
              <w:spacing w:after="0" w:line="217" w:lineRule="exact"/>
              <w:rPr>
                <w:sz w:val="20"/>
                <w:szCs w:val="20"/>
                <w:color w:val="auto"/>
              </w:rPr>
            </w:pPr>
            <w:r>
              <w:rPr>
                <w:rFonts w:ascii="Arial" w:cs="Arial" w:eastAsia="Arial" w:hAnsi="Arial"/>
                <w:sz w:val="15"/>
                <w:szCs w:val="15"/>
                <w:color w:val="auto"/>
                <w:w w:val="99"/>
              </w:rPr>
              <w:t>15,484</w:t>
            </w:r>
            <w:r>
              <w:rPr>
                <w:rFonts w:ascii="Arial" w:cs="Arial" w:eastAsia="Arial" w:hAnsi="Arial"/>
                <w:sz w:val="25"/>
                <w:szCs w:val="25"/>
                <w:color w:val="auto"/>
                <w:w w:val="99"/>
                <w:vertAlign w:val="superscript"/>
              </w:rPr>
              <w:t>(9)</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188"/>
              <w:spacing w:after="0"/>
              <w:rPr>
                <w:sz w:val="20"/>
                <w:szCs w:val="20"/>
                <w:color w:val="auto"/>
              </w:rPr>
            </w:pPr>
            <w:r>
              <w:rPr>
                <w:rFonts w:ascii="Arial" w:cs="Arial" w:eastAsia="Arial" w:hAnsi="Arial"/>
                <w:sz w:val="16"/>
                <w:szCs w:val="16"/>
                <w:color w:val="auto"/>
              </w:rPr>
              <w:t>87,628</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1,359</w:t>
            </w:r>
            <w:r>
              <w:rPr>
                <w:rFonts w:ascii="Arial" w:cs="Arial" w:eastAsia="Arial" w:hAnsi="Arial"/>
                <w:sz w:val="25"/>
                <w:szCs w:val="25"/>
                <w:color w:val="auto"/>
                <w:w w:val="96"/>
                <w:vertAlign w:val="superscript"/>
              </w:rPr>
              <w:t>(6)</w:t>
            </w:r>
          </w:p>
        </w:tc>
        <w:tc>
          <w:tcPr>
            <w:tcW w:w="1440" w:type="dxa"/>
            <w:vAlign w:val="bottom"/>
            <w:gridSpan w:val="2"/>
            <w:vMerge w:val="continue"/>
          </w:tcPr>
          <w:p>
            <w:pPr>
              <w:spacing w:after="0"/>
              <w:rPr>
                <w:sz w:val="18"/>
                <w:szCs w:val="18"/>
                <w:color w:val="auto"/>
              </w:rPr>
            </w:pPr>
          </w:p>
        </w:tc>
        <w:tc>
          <w:tcPr>
            <w:tcW w:w="166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tcBorders>
              <w:bottom w:val="single" w:sz="8" w:color="auto"/>
            </w:tcBorders>
          </w:tcPr>
          <w:p>
            <w:pPr>
              <w:spacing w:after="0"/>
              <w:rPr>
                <w:sz w:val="17"/>
                <w:szCs w:val="17"/>
                <w:color w:val="auto"/>
              </w:rPr>
            </w:pPr>
          </w:p>
        </w:tc>
        <w:tc>
          <w:tcPr>
            <w:tcW w:w="1240" w:type="dxa"/>
            <w:vAlign w:val="bottom"/>
            <w:tcBorders>
              <w:bottom w:val="single" w:sz="8" w:color="auto"/>
            </w:tcBorders>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tcBorders>
              <w:bottom w:val="single" w:sz="8" w:color="auto"/>
            </w:tcBorders>
          </w:tcPr>
          <w:p>
            <w:pPr>
              <w:spacing w:after="0"/>
              <w:rPr>
                <w:sz w:val="17"/>
                <w:szCs w:val="17"/>
                <w:color w:val="auto"/>
              </w:rPr>
            </w:pPr>
          </w:p>
        </w:tc>
        <w:tc>
          <w:tcPr>
            <w:tcW w:w="1280" w:type="dxa"/>
            <w:vAlign w:val="bottom"/>
            <w:tcBorders>
              <w:bottom w:val="single" w:sz="8" w:color="auto"/>
            </w:tcBorders>
          </w:tcPr>
          <w:p>
            <w:pPr>
              <w:spacing w:after="0"/>
              <w:rPr>
                <w:sz w:val="17"/>
                <w:szCs w:val="17"/>
                <w:color w:val="auto"/>
              </w:rPr>
            </w:pPr>
          </w:p>
        </w:tc>
        <w:tc>
          <w:tcPr>
            <w:tcW w:w="1660" w:type="dxa"/>
            <w:vAlign w:val="bottom"/>
            <w:tcBorders>
              <w:bottom w:val="single" w:sz="8" w:color="auto"/>
            </w:tcBorders>
          </w:tcPr>
          <w:p>
            <w:pPr>
              <w:spacing w:after="0"/>
              <w:rPr>
                <w:sz w:val="17"/>
                <w:szCs w:val="17"/>
                <w:color w:val="auto"/>
              </w:rPr>
            </w:pPr>
          </w:p>
        </w:tc>
        <w:tc>
          <w:tcPr>
            <w:tcW w:w="214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Randall K. Edington</w:t>
            </w:r>
          </w:p>
        </w:tc>
        <w:tc>
          <w:tcPr>
            <w:tcW w:w="1240" w:type="dxa"/>
            <w:vAlign w:val="bottom"/>
            <w:shd w:val="clear" w:color="auto" w:fill="E3E5EB"/>
          </w:tcPr>
          <w:p>
            <w:pPr>
              <w:jc w:val="center"/>
              <w:spacing w:after="0" w:line="195" w:lineRule="exact"/>
              <w:rPr>
                <w:sz w:val="20"/>
                <w:szCs w:val="20"/>
                <w:color w:val="auto"/>
              </w:rPr>
            </w:pPr>
            <w:r>
              <w:rPr>
                <w:rFonts w:ascii="Arial" w:cs="Arial" w:eastAsia="Arial" w:hAnsi="Arial"/>
                <w:sz w:val="14"/>
                <w:szCs w:val="14"/>
                <w:color w:val="auto"/>
              </w:rPr>
              <w:t>4,215</w:t>
            </w:r>
            <w:r>
              <w:rPr>
                <w:rFonts w:ascii="Arial" w:cs="Arial" w:eastAsia="Arial" w:hAnsi="Arial"/>
                <w:sz w:val="22"/>
                <w:szCs w:val="22"/>
                <w:color w:val="auto"/>
                <w:vertAlign w:val="superscript"/>
              </w:rPr>
              <w:t>(2)</w:t>
            </w:r>
          </w:p>
        </w:tc>
        <w:tc>
          <w:tcPr>
            <w:tcW w:w="1440" w:type="dxa"/>
            <w:vAlign w:val="bottom"/>
            <w:gridSpan w:val="2"/>
            <w:shd w:val="clear" w:color="auto" w:fill="E3E5EB"/>
          </w:tcPr>
          <w:p>
            <w:pPr>
              <w:jc w:val="right"/>
              <w:ind w:right="208"/>
              <w:spacing w:after="0"/>
              <w:rPr>
                <w:sz w:val="20"/>
                <w:szCs w:val="20"/>
                <w:color w:val="auto"/>
              </w:rPr>
            </w:pPr>
            <w:r>
              <w:rPr>
                <w:rFonts w:ascii="Arial" w:cs="Arial" w:eastAsia="Arial" w:hAnsi="Arial"/>
                <w:sz w:val="16"/>
                <w:szCs w:val="16"/>
                <w:color w:val="auto"/>
              </w:rPr>
              <w:t>271,783</w:t>
            </w:r>
          </w:p>
        </w:tc>
        <w:tc>
          <w:tcPr>
            <w:tcW w:w="1660" w:type="dxa"/>
            <w:vAlign w:val="bottom"/>
            <w:shd w:val="clear" w:color="auto" w:fill="E3E5EB"/>
          </w:tcPr>
          <w:p>
            <w:pPr>
              <w:jc w:val="center"/>
              <w:ind w:left="6"/>
              <w:spacing w:after="0" w:line="195" w:lineRule="exact"/>
              <w:rPr>
                <w:sz w:val="20"/>
                <w:szCs w:val="20"/>
                <w:color w:val="auto"/>
              </w:rPr>
            </w:pPr>
            <w:r>
              <w:rPr>
                <w:rFonts w:ascii="Arial" w:cs="Arial" w:eastAsia="Arial" w:hAnsi="Arial"/>
                <w:sz w:val="14"/>
                <w:szCs w:val="14"/>
                <w:color w:val="auto"/>
              </w:rPr>
              <w:t>5,225</w:t>
            </w:r>
            <w:r>
              <w:rPr>
                <w:rFonts w:ascii="Arial" w:cs="Arial" w:eastAsia="Arial" w:hAnsi="Arial"/>
                <w:sz w:val="22"/>
                <w:szCs w:val="22"/>
                <w:color w:val="auto"/>
                <w:vertAlign w:val="superscript"/>
              </w:rPr>
              <w:t>(7)</w:t>
            </w:r>
          </w:p>
        </w:tc>
        <w:tc>
          <w:tcPr>
            <w:tcW w:w="2140" w:type="dxa"/>
            <w:vAlign w:val="bottom"/>
            <w:shd w:val="clear" w:color="auto" w:fill="E3E5EB"/>
          </w:tcPr>
          <w:p>
            <w:pPr>
              <w:jc w:val="right"/>
              <w:ind w:right="605"/>
              <w:spacing w:after="0"/>
              <w:rPr>
                <w:sz w:val="20"/>
                <w:szCs w:val="20"/>
                <w:color w:val="auto"/>
              </w:rPr>
            </w:pPr>
            <w:r>
              <w:rPr>
                <w:rFonts w:ascii="Arial" w:cs="Arial" w:eastAsia="Arial" w:hAnsi="Arial"/>
                <w:sz w:val="16"/>
                <w:szCs w:val="16"/>
                <w:color w:val="auto"/>
              </w:rPr>
              <w:t>336,908</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205,110</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target)</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689,871</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3,181</w:t>
            </w:r>
            <w:r>
              <w:rPr>
                <w:rFonts w:ascii="Arial" w:cs="Arial" w:eastAsia="Arial" w:hAnsi="Arial"/>
                <w:sz w:val="23"/>
                <w:szCs w:val="23"/>
                <w:color w:val="auto"/>
                <w:vertAlign w:val="superscript"/>
              </w:rPr>
              <w:t>(4)</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10,699</w:t>
            </w:r>
            <w:r>
              <w:rPr>
                <w:rFonts w:ascii="Arial" w:cs="Arial" w:eastAsia="Arial" w:hAnsi="Arial"/>
                <w:sz w:val="23"/>
                <w:szCs w:val="23"/>
                <w:color w:val="auto"/>
                <w:vertAlign w:val="superscript"/>
              </w:rPr>
              <w:t>(8)</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145,983</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713,020</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2,264</w:t>
            </w:r>
            <w:r>
              <w:rPr>
                <w:rFonts w:ascii="Arial" w:cs="Arial" w:eastAsia="Arial" w:hAnsi="Arial"/>
                <w:sz w:val="23"/>
                <w:szCs w:val="23"/>
                <w:color w:val="auto"/>
                <w:vertAlign w:val="superscript"/>
              </w:rPr>
              <w:t>(5)</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11,058</w:t>
            </w:r>
            <w:r>
              <w:rPr>
                <w:rFonts w:ascii="Arial" w:cs="Arial" w:eastAsia="Arial" w:hAnsi="Arial"/>
                <w:sz w:val="23"/>
                <w:szCs w:val="23"/>
                <w:color w:val="auto"/>
                <w:vertAlign w:val="superscript"/>
              </w:rPr>
              <w:t>(9)</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188"/>
              <w:spacing w:after="0"/>
              <w:rPr>
                <w:sz w:val="20"/>
                <w:szCs w:val="20"/>
                <w:color w:val="auto"/>
              </w:rPr>
            </w:pPr>
            <w:r>
              <w:rPr>
                <w:rFonts w:ascii="Arial" w:cs="Arial" w:eastAsia="Arial" w:hAnsi="Arial"/>
                <w:sz w:val="16"/>
                <w:szCs w:val="16"/>
                <w:color w:val="auto"/>
              </w:rPr>
              <w:t>87,628</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1,359</w:t>
            </w:r>
            <w:r>
              <w:rPr>
                <w:rFonts w:ascii="Arial" w:cs="Arial" w:eastAsia="Arial" w:hAnsi="Arial"/>
                <w:sz w:val="23"/>
                <w:szCs w:val="23"/>
                <w:color w:val="auto"/>
                <w:vertAlign w:val="superscript"/>
              </w:rPr>
              <w:t>(6)</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spacing w:after="0"/>
              <w:rPr>
                <w:sz w:val="17"/>
                <w:szCs w:val="17"/>
                <w:color w:val="auto"/>
              </w:rPr>
            </w:pP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tcBorders>
              <w:bottom w:val="single" w:sz="8" w:color="auto"/>
            </w:tcBorders>
            <w:shd w:val="clear" w:color="auto" w:fill="E3E5EB"/>
          </w:tcPr>
          <w:p>
            <w:pPr>
              <w:spacing w:after="0"/>
              <w:rPr>
                <w:sz w:val="17"/>
                <w:szCs w:val="17"/>
                <w:color w:val="auto"/>
              </w:rPr>
            </w:pPr>
          </w:p>
        </w:tc>
        <w:tc>
          <w:tcPr>
            <w:tcW w:w="1240" w:type="dxa"/>
            <w:vAlign w:val="bottom"/>
            <w:tcBorders>
              <w:bottom w:val="single" w:sz="8" w:color="auto"/>
            </w:tcBorders>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tcBorders>
              <w:bottom w:val="single" w:sz="8" w:color="auto"/>
            </w:tcBorders>
            <w:shd w:val="clear" w:color="auto" w:fill="E3E5EB"/>
          </w:tcPr>
          <w:p>
            <w:pPr>
              <w:spacing w:after="0"/>
              <w:rPr>
                <w:sz w:val="17"/>
                <w:szCs w:val="17"/>
                <w:color w:val="auto"/>
              </w:rPr>
            </w:pPr>
          </w:p>
        </w:tc>
        <w:tc>
          <w:tcPr>
            <w:tcW w:w="1280" w:type="dxa"/>
            <w:vAlign w:val="bottom"/>
            <w:tcBorders>
              <w:bottom w:val="single" w:sz="8" w:color="auto"/>
            </w:tcBorders>
            <w:shd w:val="clear" w:color="auto" w:fill="E3E5EB"/>
          </w:tcPr>
          <w:p>
            <w:pPr>
              <w:spacing w:after="0"/>
              <w:rPr>
                <w:sz w:val="17"/>
                <w:szCs w:val="17"/>
                <w:color w:val="auto"/>
              </w:rPr>
            </w:pPr>
          </w:p>
        </w:tc>
        <w:tc>
          <w:tcPr>
            <w:tcW w:w="1660" w:type="dxa"/>
            <w:vAlign w:val="bottom"/>
            <w:tcBorders>
              <w:bottom w:val="single" w:sz="8" w:color="auto"/>
            </w:tcBorders>
            <w:shd w:val="clear" w:color="auto" w:fill="E3E5EB"/>
          </w:tcPr>
          <w:p>
            <w:pPr>
              <w:spacing w:after="0"/>
              <w:rPr>
                <w:sz w:val="17"/>
                <w:szCs w:val="17"/>
                <w:color w:val="auto"/>
              </w:rPr>
            </w:pPr>
          </w:p>
        </w:tc>
        <w:tc>
          <w:tcPr>
            <w:tcW w:w="2140" w:type="dxa"/>
            <w:vAlign w:val="bottom"/>
            <w:tcBorders>
              <w:bottom w:val="single" w:sz="8" w:color="auto"/>
            </w:tcBorders>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2080" w:type="dxa"/>
            <w:vAlign w:val="bottom"/>
          </w:tcPr>
          <w:p>
            <w:pPr>
              <w:spacing w:after="0"/>
              <w:rPr>
                <w:sz w:val="20"/>
                <w:szCs w:val="20"/>
                <w:color w:val="auto"/>
              </w:rPr>
            </w:pPr>
            <w:r>
              <w:rPr>
                <w:rFonts w:ascii="Arial" w:cs="Arial" w:eastAsia="Arial" w:hAnsi="Arial"/>
                <w:sz w:val="16"/>
                <w:szCs w:val="16"/>
                <w:b w:val="1"/>
                <w:bCs w:val="1"/>
                <w:color w:val="auto"/>
              </w:rPr>
              <w:t>David P. Falck</w:t>
            </w:r>
          </w:p>
        </w:tc>
        <w:tc>
          <w:tcPr>
            <w:tcW w:w="1240" w:type="dxa"/>
            <w:vAlign w:val="bottom"/>
          </w:tcPr>
          <w:p>
            <w:pPr>
              <w:jc w:val="center"/>
              <w:spacing w:after="0" w:line="195" w:lineRule="exact"/>
              <w:rPr>
                <w:sz w:val="20"/>
                <w:szCs w:val="20"/>
                <w:color w:val="auto"/>
              </w:rPr>
            </w:pPr>
            <w:r>
              <w:rPr>
                <w:rFonts w:ascii="Arial" w:cs="Arial" w:eastAsia="Arial" w:hAnsi="Arial"/>
                <w:sz w:val="14"/>
                <w:szCs w:val="14"/>
                <w:color w:val="auto"/>
              </w:rPr>
              <w:t>5,270</w:t>
            </w:r>
            <w:r>
              <w:rPr>
                <w:rFonts w:ascii="Arial" w:cs="Arial" w:eastAsia="Arial" w:hAnsi="Arial"/>
                <w:sz w:val="22"/>
                <w:szCs w:val="22"/>
                <w:color w:val="auto"/>
                <w:vertAlign w:val="superscript"/>
              </w:rPr>
              <w:t>(2)</w:t>
            </w:r>
          </w:p>
        </w:tc>
        <w:tc>
          <w:tcPr>
            <w:tcW w:w="1440" w:type="dxa"/>
            <w:vAlign w:val="bottom"/>
            <w:gridSpan w:val="2"/>
          </w:tcPr>
          <w:p>
            <w:pPr>
              <w:jc w:val="right"/>
              <w:ind w:right="208"/>
              <w:spacing w:after="0"/>
              <w:rPr>
                <w:sz w:val="20"/>
                <w:szCs w:val="20"/>
                <w:color w:val="auto"/>
              </w:rPr>
            </w:pPr>
            <w:r>
              <w:rPr>
                <w:rFonts w:ascii="Arial" w:cs="Arial" w:eastAsia="Arial" w:hAnsi="Arial"/>
                <w:sz w:val="16"/>
                <w:szCs w:val="16"/>
                <w:color w:val="auto"/>
              </w:rPr>
              <w:t>339,810</w:t>
            </w:r>
          </w:p>
        </w:tc>
        <w:tc>
          <w:tcPr>
            <w:tcW w:w="1660" w:type="dxa"/>
            <w:vAlign w:val="bottom"/>
          </w:tcPr>
          <w:p>
            <w:pPr>
              <w:jc w:val="center"/>
              <w:ind w:left="6"/>
              <w:spacing w:after="0" w:line="195" w:lineRule="exact"/>
              <w:rPr>
                <w:sz w:val="20"/>
                <w:szCs w:val="20"/>
                <w:color w:val="auto"/>
              </w:rPr>
            </w:pPr>
            <w:r>
              <w:rPr>
                <w:rFonts w:ascii="Arial" w:cs="Arial" w:eastAsia="Arial" w:hAnsi="Arial"/>
                <w:sz w:val="14"/>
                <w:szCs w:val="14"/>
                <w:color w:val="auto"/>
              </w:rPr>
              <w:t>6,532</w:t>
            </w:r>
            <w:r>
              <w:rPr>
                <w:rFonts w:ascii="Arial" w:cs="Arial" w:eastAsia="Arial" w:hAnsi="Arial"/>
                <w:sz w:val="22"/>
                <w:szCs w:val="22"/>
                <w:color w:val="auto"/>
                <w:vertAlign w:val="superscript"/>
              </w:rPr>
              <w:t>(7)</w:t>
            </w:r>
          </w:p>
        </w:tc>
        <w:tc>
          <w:tcPr>
            <w:tcW w:w="2140" w:type="dxa"/>
            <w:vAlign w:val="bottom"/>
          </w:tcPr>
          <w:p>
            <w:pPr>
              <w:jc w:val="right"/>
              <w:ind w:right="605"/>
              <w:spacing w:after="0"/>
              <w:rPr>
                <w:sz w:val="20"/>
                <w:szCs w:val="20"/>
                <w:color w:val="auto"/>
              </w:rPr>
            </w:pPr>
            <w:r>
              <w:rPr>
                <w:rFonts w:ascii="Arial" w:cs="Arial" w:eastAsia="Arial" w:hAnsi="Arial"/>
                <w:sz w:val="16"/>
                <w:szCs w:val="16"/>
                <w:color w:val="auto"/>
              </w:rPr>
              <w:t>421,183</w:t>
            </w: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208"/>
              <w:spacing w:after="0"/>
              <w:rPr>
                <w:sz w:val="20"/>
                <w:szCs w:val="20"/>
                <w:color w:val="auto"/>
              </w:rPr>
            </w:pPr>
            <w:r>
              <w:rPr>
                <w:rFonts w:ascii="Arial" w:cs="Arial" w:eastAsia="Arial" w:hAnsi="Arial"/>
                <w:sz w:val="16"/>
                <w:szCs w:val="16"/>
                <w:color w:val="auto"/>
              </w:rPr>
              <w:t>307,892</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target)</w:t>
            </w:r>
          </w:p>
        </w:tc>
        <w:tc>
          <w:tcPr>
            <w:tcW w:w="2140" w:type="dxa"/>
            <w:vAlign w:val="bottom"/>
            <w:vMerge w:val="restart"/>
          </w:tcPr>
          <w:p>
            <w:pPr>
              <w:jc w:val="right"/>
              <w:ind w:right="605"/>
              <w:spacing w:after="0"/>
              <w:rPr>
                <w:sz w:val="20"/>
                <w:szCs w:val="20"/>
                <w:color w:val="auto"/>
              </w:rPr>
            </w:pPr>
            <w:r>
              <w:rPr>
                <w:rFonts w:ascii="Arial" w:cs="Arial" w:eastAsia="Arial" w:hAnsi="Arial"/>
                <w:sz w:val="16"/>
                <w:szCs w:val="16"/>
                <w:color w:val="auto"/>
              </w:rPr>
              <w:t>1,034,904</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4,775</w:t>
            </w:r>
            <w:r>
              <w:rPr>
                <w:rFonts w:ascii="Arial" w:cs="Arial" w:eastAsia="Arial" w:hAnsi="Arial"/>
                <w:sz w:val="25"/>
                <w:szCs w:val="25"/>
                <w:color w:val="auto"/>
                <w:w w:val="96"/>
                <w:vertAlign w:val="superscript"/>
              </w:rPr>
              <w:t>(4)</w:t>
            </w:r>
          </w:p>
        </w:tc>
        <w:tc>
          <w:tcPr>
            <w:tcW w:w="1440" w:type="dxa"/>
            <w:vAlign w:val="bottom"/>
            <w:gridSpan w:val="2"/>
            <w:vMerge w:val="continue"/>
          </w:tcPr>
          <w:p>
            <w:pPr>
              <w:spacing w:after="0"/>
              <w:rPr>
                <w:sz w:val="18"/>
                <w:szCs w:val="18"/>
                <w:color w:val="auto"/>
              </w:rPr>
            </w:pPr>
          </w:p>
        </w:tc>
        <w:tc>
          <w:tcPr>
            <w:tcW w:w="1660" w:type="dxa"/>
            <w:vAlign w:val="bottom"/>
          </w:tcPr>
          <w:p>
            <w:pPr>
              <w:jc w:val="center"/>
              <w:ind w:left="6"/>
              <w:spacing w:after="0" w:line="217" w:lineRule="exact"/>
              <w:rPr>
                <w:sz w:val="20"/>
                <w:szCs w:val="20"/>
                <w:color w:val="auto"/>
              </w:rPr>
            </w:pPr>
            <w:r>
              <w:rPr>
                <w:rFonts w:ascii="Arial" w:cs="Arial" w:eastAsia="Arial" w:hAnsi="Arial"/>
                <w:sz w:val="15"/>
                <w:szCs w:val="15"/>
                <w:color w:val="auto"/>
                <w:w w:val="99"/>
              </w:rPr>
              <w:t>16,050</w:t>
            </w:r>
            <w:r>
              <w:rPr>
                <w:rFonts w:ascii="Arial" w:cs="Arial" w:eastAsia="Arial" w:hAnsi="Arial"/>
                <w:sz w:val="25"/>
                <w:szCs w:val="25"/>
                <w:color w:val="auto"/>
                <w:w w:val="99"/>
                <w:vertAlign w:val="superscript"/>
              </w:rPr>
              <w:t>(8)</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208"/>
              <w:spacing w:after="0"/>
              <w:rPr>
                <w:sz w:val="20"/>
                <w:szCs w:val="20"/>
                <w:color w:val="auto"/>
              </w:rPr>
            </w:pPr>
            <w:r>
              <w:rPr>
                <w:rFonts w:ascii="Arial" w:cs="Arial" w:eastAsia="Arial" w:hAnsi="Arial"/>
                <w:sz w:val="16"/>
                <w:szCs w:val="16"/>
                <w:color w:val="auto"/>
              </w:rPr>
              <w:t>194,407</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vMerge w:val="restart"/>
          </w:tcPr>
          <w:p>
            <w:pPr>
              <w:jc w:val="right"/>
              <w:ind w:right="605"/>
              <w:spacing w:after="0"/>
              <w:rPr>
                <w:sz w:val="20"/>
                <w:szCs w:val="20"/>
                <w:color w:val="auto"/>
              </w:rPr>
            </w:pPr>
            <w:r>
              <w:rPr>
                <w:rFonts w:ascii="Arial" w:cs="Arial" w:eastAsia="Arial" w:hAnsi="Arial"/>
                <w:sz w:val="16"/>
                <w:szCs w:val="16"/>
                <w:color w:val="auto"/>
              </w:rPr>
              <w:t>998,408</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3,015</w:t>
            </w:r>
            <w:r>
              <w:rPr>
                <w:rFonts w:ascii="Arial" w:cs="Arial" w:eastAsia="Arial" w:hAnsi="Arial"/>
                <w:sz w:val="25"/>
                <w:szCs w:val="25"/>
                <w:color w:val="auto"/>
                <w:w w:val="96"/>
                <w:vertAlign w:val="superscript"/>
              </w:rPr>
              <w:t>(5)</w:t>
            </w:r>
          </w:p>
        </w:tc>
        <w:tc>
          <w:tcPr>
            <w:tcW w:w="1440" w:type="dxa"/>
            <w:vAlign w:val="bottom"/>
            <w:gridSpan w:val="2"/>
            <w:vMerge w:val="continue"/>
          </w:tcPr>
          <w:p>
            <w:pPr>
              <w:spacing w:after="0"/>
              <w:rPr>
                <w:sz w:val="18"/>
                <w:szCs w:val="18"/>
                <w:color w:val="auto"/>
              </w:rPr>
            </w:pPr>
          </w:p>
        </w:tc>
        <w:tc>
          <w:tcPr>
            <w:tcW w:w="1660" w:type="dxa"/>
            <w:vAlign w:val="bottom"/>
          </w:tcPr>
          <w:p>
            <w:pPr>
              <w:jc w:val="center"/>
              <w:ind w:left="6"/>
              <w:spacing w:after="0" w:line="217" w:lineRule="exact"/>
              <w:rPr>
                <w:sz w:val="20"/>
                <w:szCs w:val="20"/>
                <w:color w:val="auto"/>
              </w:rPr>
            </w:pPr>
            <w:r>
              <w:rPr>
                <w:rFonts w:ascii="Arial" w:cs="Arial" w:eastAsia="Arial" w:hAnsi="Arial"/>
                <w:sz w:val="15"/>
                <w:szCs w:val="15"/>
                <w:color w:val="auto"/>
                <w:w w:val="99"/>
              </w:rPr>
              <w:t>15,484</w:t>
            </w:r>
            <w:r>
              <w:rPr>
                <w:rFonts w:ascii="Arial" w:cs="Arial" w:eastAsia="Arial" w:hAnsi="Arial"/>
                <w:sz w:val="25"/>
                <w:szCs w:val="25"/>
                <w:color w:val="auto"/>
                <w:w w:val="99"/>
                <w:vertAlign w:val="superscript"/>
              </w:rPr>
              <w:t>(9)</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240" w:type="dxa"/>
            <w:vAlign w:val="bottom"/>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tcPr>
          <w:p>
            <w:pPr>
              <w:jc w:val="right"/>
              <w:ind w:right="208"/>
              <w:spacing w:after="0"/>
              <w:rPr>
                <w:sz w:val="20"/>
                <w:szCs w:val="20"/>
                <w:color w:val="auto"/>
              </w:rPr>
            </w:pPr>
            <w:r>
              <w:rPr>
                <w:rFonts w:ascii="Arial" w:cs="Arial" w:eastAsia="Arial" w:hAnsi="Arial"/>
                <w:sz w:val="16"/>
                <w:szCs w:val="16"/>
                <w:color w:val="auto"/>
              </w:rPr>
              <w:t>114,904</w:t>
            </w:r>
          </w:p>
        </w:tc>
        <w:tc>
          <w:tcPr>
            <w:tcW w:w="1660" w:type="dxa"/>
            <w:vAlign w:val="bottom"/>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080" w:type="dxa"/>
            <w:vAlign w:val="bottom"/>
          </w:tcPr>
          <w:p>
            <w:pPr>
              <w:spacing w:after="0"/>
              <w:rPr>
                <w:sz w:val="18"/>
                <w:szCs w:val="18"/>
                <w:color w:val="auto"/>
              </w:rPr>
            </w:pPr>
          </w:p>
        </w:tc>
        <w:tc>
          <w:tcPr>
            <w:tcW w:w="1240" w:type="dxa"/>
            <w:vAlign w:val="bottom"/>
          </w:tcPr>
          <w:p>
            <w:pPr>
              <w:jc w:val="center"/>
              <w:spacing w:after="0" w:line="217" w:lineRule="exact"/>
              <w:rPr>
                <w:sz w:val="20"/>
                <w:szCs w:val="20"/>
                <w:color w:val="auto"/>
              </w:rPr>
            </w:pPr>
            <w:r>
              <w:rPr>
                <w:rFonts w:ascii="Arial" w:cs="Arial" w:eastAsia="Arial" w:hAnsi="Arial"/>
                <w:sz w:val="15"/>
                <w:szCs w:val="15"/>
                <w:color w:val="auto"/>
                <w:w w:val="96"/>
              </w:rPr>
              <w:t>1,782</w:t>
            </w:r>
            <w:r>
              <w:rPr>
                <w:rFonts w:ascii="Arial" w:cs="Arial" w:eastAsia="Arial" w:hAnsi="Arial"/>
                <w:sz w:val="25"/>
                <w:szCs w:val="25"/>
                <w:color w:val="auto"/>
                <w:w w:val="96"/>
                <w:vertAlign w:val="superscript"/>
              </w:rPr>
              <w:t>(6)</w:t>
            </w:r>
          </w:p>
        </w:tc>
        <w:tc>
          <w:tcPr>
            <w:tcW w:w="1440" w:type="dxa"/>
            <w:vAlign w:val="bottom"/>
            <w:gridSpan w:val="2"/>
            <w:vMerge w:val="continue"/>
          </w:tcPr>
          <w:p>
            <w:pPr>
              <w:spacing w:after="0"/>
              <w:rPr>
                <w:sz w:val="18"/>
                <w:szCs w:val="18"/>
                <w:color w:val="auto"/>
              </w:rPr>
            </w:pPr>
          </w:p>
        </w:tc>
        <w:tc>
          <w:tcPr>
            <w:tcW w:w="166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tcBorders>
              <w:bottom w:val="single" w:sz="8" w:color="auto"/>
            </w:tcBorders>
          </w:tcPr>
          <w:p>
            <w:pPr>
              <w:spacing w:after="0"/>
              <w:rPr>
                <w:sz w:val="17"/>
                <w:szCs w:val="17"/>
                <w:color w:val="auto"/>
              </w:rPr>
            </w:pPr>
          </w:p>
        </w:tc>
        <w:tc>
          <w:tcPr>
            <w:tcW w:w="1240" w:type="dxa"/>
            <w:vAlign w:val="bottom"/>
            <w:tcBorders>
              <w:bottom w:val="single" w:sz="8" w:color="auto"/>
            </w:tcBorders>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tcBorders>
              <w:bottom w:val="single" w:sz="8" w:color="auto"/>
            </w:tcBorders>
          </w:tcPr>
          <w:p>
            <w:pPr>
              <w:spacing w:after="0"/>
              <w:rPr>
                <w:sz w:val="17"/>
                <w:szCs w:val="17"/>
                <w:color w:val="auto"/>
              </w:rPr>
            </w:pPr>
          </w:p>
        </w:tc>
        <w:tc>
          <w:tcPr>
            <w:tcW w:w="1280" w:type="dxa"/>
            <w:vAlign w:val="bottom"/>
            <w:tcBorders>
              <w:bottom w:val="single" w:sz="8" w:color="auto"/>
            </w:tcBorders>
          </w:tcPr>
          <w:p>
            <w:pPr>
              <w:spacing w:after="0"/>
              <w:rPr>
                <w:sz w:val="17"/>
                <w:szCs w:val="17"/>
                <w:color w:val="auto"/>
              </w:rPr>
            </w:pPr>
          </w:p>
        </w:tc>
        <w:tc>
          <w:tcPr>
            <w:tcW w:w="1660" w:type="dxa"/>
            <w:vAlign w:val="bottom"/>
            <w:tcBorders>
              <w:bottom w:val="single" w:sz="8" w:color="auto"/>
            </w:tcBorders>
          </w:tcPr>
          <w:p>
            <w:pPr>
              <w:spacing w:after="0"/>
              <w:rPr>
                <w:sz w:val="17"/>
                <w:szCs w:val="17"/>
                <w:color w:val="auto"/>
              </w:rPr>
            </w:pPr>
          </w:p>
        </w:tc>
        <w:tc>
          <w:tcPr>
            <w:tcW w:w="214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20"/>
                <w:szCs w:val="20"/>
                <w:color w:val="auto"/>
              </w:rPr>
            </w:pPr>
            <w:r>
              <w:rPr>
                <w:rFonts w:ascii="Arial" w:cs="Arial" w:eastAsia="Arial" w:hAnsi="Arial"/>
                <w:sz w:val="16"/>
                <w:szCs w:val="16"/>
                <w:b w:val="1"/>
                <w:bCs w:val="1"/>
                <w:color w:val="auto"/>
              </w:rPr>
              <w:t>Mark A. Schiavoni</w:t>
            </w:r>
          </w:p>
        </w:tc>
        <w:tc>
          <w:tcPr>
            <w:tcW w:w="1240" w:type="dxa"/>
            <w:vAlign w:val="bottom"/>
            <w:shd w:val="clear" w:color="auto" w:fill="E3E5EB"/>
          </w:tcPr>
          <w:p>
            <w:pPr>
              <w:jc w:val="center"/>
              <w:spacing w:after="0" w:line="195" w:lineRule="exact"/>
              <w:rPr>
                <w:sz w:val="20"/>
                <w:szCs w:val="20"/>
                <w:color w:val="auto"/>
              </w:rPr>
            </w:pPr>
            <w:r>
              <w:rPr>
                <w:rFonts w:ascii="Arial" w:cs="Arial" w:eastAsia="Arial" w:hAnsi="Arial"/>
                <w:sz w:val="14"/>
                <w:szCs w:val="14"/>
                <w:color w:val="auto"/>
              </w:rPr>
              <w:t>7,126</w:t>
            </w:r>
            <w:r>
              <w:rPr>
                <w:rFonts w:ascii="Arial" w:cs="Arial" w:eastAsia="Arial" w:hAnsi="Arial"/>
                <w:sz w:val="22"/>
                <w:szCs w:val="22"/>
                <w:color w:val="auto"/>
                <w:vertAlign w:val="superscript"/>
              </w:rPr>
              <w:t>(2)</w:t>
            </w:r>
          </w:p>
        </w:tc>
        <w:tc>
          <w:tcPr>
            <w:tcW w:w="1440" w:type="dxa"/>
            <w:vAlign w:val="bottom"/>
            <w:gridSpan w:val="2"/>
            <w:shd w:val="clear" w:color="auto" w:fill="E3E5EB"/>
          </w:tcPr>
          <w:p>
            <w:pPr>
              <w:jc w:val="right"/>
              <w:ind w:right="208"/>
              <w:spacing w:after="0"/>
              <w:rPr>
                <w:sz w:val="20"/>
                <w:szCs w:val="20"/>
                <w:color w:val="auto"/>
              </w:rPr>
            </w:pPr>
            <w:r>
              <w:rPr>
                <w:rFonts w:ascii="Arial" w:cs="Arial" w:eastAsia="Arial" w:hAnsi="Arial"/>
                <w:sz w:val="16"/>
                <w:szCs w:val="16"/>
                <w:color w:val="auto"/>
              </w:rPr>
              <w:t>459,484</w:t>
            </w:r>
          </w:p>
        </w:tc>
        <w:tc>
          <w:tcPr>
            <w:tcW w:w="1660" w:type="dxa"/>
            <w:vAlign w:val="bottom"/>
            <w:shd w:val="clear" w:color="auto" w:fill="E3E5EB"/>
          </w:tcPr>
          <w:p>
            <w:pPr>
              <w:jc w:val="center"/>
              <w:ind w:left="6"/>
              <w:spacing w:after="0" w:line="195" w:lineRule="exact"/>
              <w:rPr>
                <w:sz w:val="20"/>
                <w:szCs w:val="20"/>
                <w:color w:val="auto"/>
              </w:rPr>
            </w:pPr>
            <w:r>
              <w:rPr>
                <w:rFonts w:ascii="Arial" w:cs="Arial" w:eastAsia="Arial" w:hAnsi="Arial"/>
                <w:sz w:val="14"/>
                <w:szCs w:val="14"/>
                <w:color w:val="auto"/>
              </w:rPr>
              <w:t>8,708</w:t>
            </w:r>
            <w:r>
              <w:rPr>
                <w:rFonts w:ascii="Arial" w:cs="Arial" w:eastAsia="Arial" w:hAnsi="Arial"/>
                <w:sz w:val="22"/>
                <w:szCs w:val="22"/>
                <w:color w:val="auto"/>
                <w:vertAlign w:val="superscript"/>
              </w:rPr>
              <w:t>(7)</w:t>
            </w:r>
          </w:p>
        </w:tc>
        <w:tc>
          <w:tcPr>
            <w:tcW w:w="2140" w:type="dxa"/>
            <w:vAlign w:val="bottom"/>
            <w:shd w:val="clear" w:color="auto" w:fill="E3E5EB"/>
          </w:tcPr>
          <w:p>
            <w:pPr>
              <w:jc w:val="right"/>
              <w:ind w:right="605"/>
              <w:spacing w:after="0"/>
              <w:rPr>
                <w:sz w:val="20"/>
                <w:szCs w:val="20"/>
                <w:color w:val="auto"/>
              </w:rPr>
            </w:pPr>
            <w:r>
              <w:rPr>
                <w:rFonts w:ascii="Arial" w:cs="Arial" w:eastAsia="Arial" w:hAnsi="Arial"/>
                <w:sz w:val="16"/>
                <w:szCs w:val="16"/>
                <w:color w:val="auto"/>
              </w:rPr>
              <w:t>561,492</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317,822</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target)</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1,034,904</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4,929</w:t>
            </w:r>
            <w:r>
              <w:rPr>
                <w:rFonts w:ascii="Arial" w:cs="Arial" w:eastAsia="Arial" w:hAnsi="Arial"/>
                <w:sz w:val="23"/>
                <w:szCs w:val="23"/>
                <w:color w:val="auto"/>
                <w:vertAlign w:val="superscript"/>
              </w:rPr>
              <w:t>(4)</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16,050</w:t>
            </w:r>
            <w:r>
              <w:rPr>
                <w:rFonts w:ascii="Arial" w:cs="Arial" w:eastAsia="Arial" w:hAnsi="Arial"/>
                <w:sz w:val="23"/>
                <w:szCs w:val="23"/>
                <w:color w:val="auto"/>
                <w:vertAlign w:val="superscript"/>
              </w:rPr>
              <w:t>(8)</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208"/>
              <w:spacing w:after="0"/>
              <w:rPr>
                <w:sz w:val="20"/>
                <w:szCs w:val="20"/>
                <w:color w:val="auto"/>
              </w:rPr>
            </w:pPr>
            <w:r>
              <w:rPr>
                <w:rFonts w:ascii="Arial" w:cs="Arial" w:eastAsia="Arial" w:hAnsi="Arial"/>
                <w:sz w:val="16"/>
                <w:szCs w:val="16"/>
                <w:color w:val="auto"/>
              </w:rPr>
              <w:t>199,243</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vMerge w:val="restart"/>
            <w:shd w:val="clear" w:color="auto" w:fill="E3E5EB"/>
          </w:tcPr>
          <w:p>
            <w:pPr>
              <w:jc w:val="right"/>
              <w:ind w:right="605"/>
              <w:spacing w:after="0"/>
              <w:rPr>
                <w:sz w:val="20"/>
                <w:szCs w:val="20"/>
                <w:color w:val="auto"/>
              </w:rPr>
            </w:pPr>
            <w:r>
              <w:rPr>
                <w:rFonts w:ascii="Arial" w:cs="Arial" w:eastAsia="Arial" w:hAnsi="Arial"/>
                <w:sz w:val="16"/>
                <w:szCs w:val="16"/>
                <w:color w:val="auto"/>
              </w:rPr>
              <w:t>998,408</w:t>
            </w: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3,090</w:t>
            </w:r>
            <w:r>
              <w:rPr>
                <w:rFonts w:ascii="Arial" w:cs="Arial" w:eastAsia="Arial" w:hAnsi="Arial"/>
                <w:sz w:val="23"/>
                <w:szCs w:val="23"/>
                <w:color w:val="auto"/>
                <w:vertAlign w:val="superscript"/>
              </w:rPr>
              <w:t>(5)</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jc w:val="center"/>
              <w:ind w:left="6"/>
              <w:spacing w:after="0" w:line="203" w:lineRule="exact"/>
              <w:rPr>
                <w:sz w:val="20"/>
                <w:szCs w:val="20"/>
                <w:color w:val="auto"/>
              </w:rPr>
            </w:pPr>
            <w:r>
              <w:rPr>
                <w:rFonts w:ascii="Arial" w:cs="Arial" w:eastAsia="Arial" w:hAnsi="Arial"/>
                <w:sz w:val="14"/>
                <w:szCs w:val="14"/>
                <w:color w:val="auto"/>
              </w:rPr>
              <w:t>15,484</w:t>
            </w:r>
            <w:r>
              <w:rPr>
                <w:rFonts w:ascii="Arial" w:cs="Arial" w:eastAsia="Arial" w:hAnsi="Arial"/>
                <w:sz w:val="23"/>
                <w:szCs w:val="23"/>
                <w:color w:val="auto"/>
                <w:vertAlign w:val="superscript"/>
              </w:rPr>
              <w:t>(9)</w:t>
            </w:r>
          </w:p>
        </w:tc>
        <w:tc>
          <w:tcPr>
            <w:tcW w:w="2140" w:type="dxa"/>
            <w:vAlign w:val="bottom"/>
            <w:vMerge w:val="continue"/>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440" w:type="dxa"/>
            <w:vAlign w:val="bottom"/>
            <w:gridSpan w:val="2"/>
            <w:vMerge w:val="restart"/>
            <w:shd w:val="clear" w:color="auto" w:fill="E3E5EB"/>
          </w:tcPr>
          <w:p>
            <w:pPr>
              <w:jc w:val="right"/>
              <w:ind w:right="188"/>
              <w:spacing w:after="0"/>
              <w:rPr>
                <w:sz w:val="20"/>
                <w:szCs w:val="20"/>
                <w:color w:val="auto"/>
              </w:rPr>
            </w:pPr>
            <w:r>
              <w:rPr>
                <w:rFonts w:ascii="Arial" w:cs="Arial" w:eastAsia="Arial" w:hAnsi="Arial"/>
                <w:sz w:val="16"/>
                <w:szCs w:val="16"/>
                <w:color w:val="auto"/>
              </w:rPr>
              <w:t>65,705</w:t>
            </w:r>
          </w:p>
        </w:tc>
        <w:tc>
          <w:tcPr>
            <w:tcW w:w="1660" w:type="dxa"/>
            <w:vAlign w:val="bottom"/>
            <w:shd w:val="clear" w:color="auto" w:fill="E3E5EB"/>
          </w:tcPr>
          <w:p>
            <w:pPr>
              <w:jc w:val="center"/>
              <w:ind w:left="6"/>
              <w:spacing w:after="0"/>
              <w:rPr>
                <w:sz w:val="20"/>
                <w:szCs w:val="20"/>
                <w:color w:val="auto"/>
              </w:rPr>
            </w:pPr>
            <w:r>
              <w:rPr>
                <w:rFonts w:ascii="Arial" w:cs="Arial" w:eastAsia="Arial" w:hAnsi="Arial"/>
                <w:sz w:val="16"/>
                <w:szCs w:val="16"/>
                <w:color w:val="auto"/>
                <w:w w:val="98"/>
              </w:rPr>
              <w:t>(PS at maximum)</w:t>
            </w: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2080" w:type="dxa"/>
            <w:vAlign w:val="bottom"/>
            <w:shd w:val="clear" w:color="auto" w:fill="E3E5EB"/>
          </w:tcPr>
          <w:p>
            <w:pPr>
              <w:spacing w:after="0"/>
              <w:rPr>
                <w:sz w:val="17"/>
                <w:szCs w:val="17"/>
                <w:color w:val="auto"/>
              </w:rPr>
            </w:pPr>
          </w:p>
        </w:tc>
        <w:tc>
          <w:tcPr>
            <w:tcW w:w="1240" w:type="dxa"/>
            <w:vAlign w:val="bottom"/>
            <w:shd w:val="clear" w:color="auto" w:fill="E3E5EB"/>
          </w:tcPr>
          <w:p>
            <w:pPr>
              <w:jc w:val="center"/>
              <w:spacing w:after="0" w:line="203" w:lineRule="exact"/>
              <w:rPr>
                <w:sz w:val="20"/>
                <w:szCs w:val="20"/>
                <w:color w:val="auto"/>
              </w:rPr>
            </w:pPr>
            <w:r>
              <w:rPr>
                <w:rFonts w:ascii="Arial" w:cs="Arial" w:eastAsia="Arial" w:hAnsi="Arial"/>
                <w:sz w:val="14"/>
                <w:szCs w:val="14"/>
                <w:color w:val="auto"/>
              </w:rPr>
              <w:t>1,019</w:t>
            </w:r>
            <w:r>
              <w:rPr>
                <w:rFonts w:ascii="Arial" w:cs="Arial" w:eastAsia="Arial" w:hAnsi="Arial"/>
                <w:sz w:val="23"/>
                <w:szCs w:val="23"/>
                <w:color w:val="auto"/>
                <w:vertAlign w:val="superscript"/>
              </w:rPr>
              <w:t>(6)</w:t>
            </w:r>
          </w:p>
        </w:tc>
        <w:tc>
          <w:tcPr>
            <w:tcW w:w="1440" w:type="dxa"/>
            <w:vAlign w:val="bottom"/>
            <w:gridSpan w:val="2"/>
            <w:vMerge w:val="continue"/>
            <w:shd w:val="clear" w:color="auto" w:fill="E3E5EB"/>
          </w:tcPr>
          <w:p>
            <w:pPr>
              <w:spacing w:after="0"/>
              <w:rPr>
                <w:sz w:val="17"/>
                <w:szCs w:val="17"/>
                <w:color w:val="auto"/>
              </w:rPr>
            </w:pPr>
          </w:p>
        </w:tc>
        <w:tc>
          <w:tcPr>
            <w:tcW w:w="1660" w:type="dxa"/>
            <w:vAlign w:val="bottom"/>
            <w:shd w:val="clear" w:color="auto" w:fill="E3E5EB"/>
          </w:tcPr>
          <w:p>
            <w:pPr>
              <w:spacing w:after="0"/>
              <w:rPr>
                <w:sz w:val="17"/>
                <w:szCs w:val="17"/>
                <w:color w:val="auto"/>
              </w:rPr>
            </w:pPr>
          </w:p>
        </w:tc>
        <w:tc>
          <w:tcPr>
            <w:tcW w:w="2140" w:type="dxa"/>
            <w:vAlign w:val="bottom"/>
            <w:shd w:val="clear" w:color="auto" w:fill="E3E5EB"/>
          </w:tcPr>
          <w:p>
            <w:pPr>
              <w:spacing w:after="0"/>
              <w:rPr>
                <w:sz w:val="17"/>
                <w:szCs w:val="17"/>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080" w:type="dxa"/>
            <w:vAlign w:val="bottom"/>
            <w:tcBorders>
              <w:bottom w:val="single" w:sz="8" w:color="auto"/>
            </w:tcBorders>
            <w:shd w:val="clear" w:color="auto" w:fill="E3E5EB"/>
          </w:tcPr>
          <w:p>
            <w:pPr>
              <w:spacing w:after="0"/>
              <w:rPr>
                <w:sz w:val="17"/>
                <w:szCs w:val="17"/>
                <w:color w:val="auto"/>
              </w:rPr>
            </w:pPr>
          </w:p>
        </w:tc>
        <w:tc>
          <w:tcPr>
            <w:tcW w:w="1240" w:type="dxa"/>
            <w:vAlign w:val="bottom"/>
            <w:tcBorders>
              <w:bottom w:val="single" w:sz="8" w:color="auto"/>
            </w:tcBorders>
            <w:shd w:val="clear" w:color="auto" w:fill="E3E5EB"/>
          </w:tcPr>
          <w:p>
            <w:pPr>
              <w:jc w:val="center"/>
              <w:spacing w:after="0"/>
              <w:rPr>
                <w:sz w:val="20"/>
                <w:szCs w:val="20"/>
                <w:color w:val="auto"/>
              </w:rPr>
            </w:pPr>
            <w:r>
              <w:rPr>
                <w:rFonts w:ascii="Arial" w:cs="Arial" w:eastAsia="Arial" w:hAnsi="Arial"/>
                <w:sz w:val="16"/>
                <w:szCs w:val="16"/>
                <w:color w:val="auto"/>
                <w:w w:val="99"/>
              </w:rPr>
              <w:t>(RSUs)</w:t>
            </w:r>
          </w:p>
        </w:tc>
        <w:tc>
          <w:tcPr>
            <w:tcW w:w="160" w:type="dxa"/>
            <w:vAlign w:val="bottom"/>
            <w:tcBorders>
              <w:bottom w:val="single" w:sz="8" w:color="auto"/>
            </w:tcBorders>
            <w:shd w:val="clear" w:color="auto" w:fill="E3E5EB"/>
          </w:tcPr>
          <w:p>
            <w:pPr>
              <w:spacing w:after="0"/>
              <w:rPr>
                <w:sz w:val="17"/>
                <w:szCs w:val="17"/>
                <w:color w:val="auto"/>
              </w:rPr>
            </w:pPr>
          </w:p>
        </w:tc>
        <w:tc>
          <w:tcPr>
            <w:tcW w:w="1280" w:type="dxa"/>
            <w:vAlign w:val="bottom"/>
            <w:tcBorders>
              <w:bottom w:val="single" w:sz="8" w:color="auto"/>
            </w:tcBorders>
            <w:shd w:val="clear" w:color="auto" w:fill="E3E5EB"/>
          </w:tcPr>
          <w:p>
            <w:pPr>
              <w:spacing w:after="0"/>
              <w:rPr>
                <w:sz w:val="17"/>
                <w:szCs w:val="17"/>
                <w:color w:val="auto"/>
              </w:rPr>
            </w:pPr>
          </w:p>
        </w:tc>
        <w:tc>
          <w:tcPr>
            <w:tcW w:w="1660" w:type="dxa"/>
            <w:vAlign w:val="bottom"/>
            <w:tcBorders>
              <w:bottom w:val="single" w:sz="8" w:color="auto"/>
            </w:tcBorders>
            <w:shd w:val="clear" w:color="auto" w:fill="E3E5EB"/>
          </w:tcPr>
          <w:p>
            <w:pPr>
              <w:spacing w:after="0"/>
              <w:rPr>
                <w:sz w:val="17"/>
                <w:szCs w:val="17"/>
                <w:color w:val="auto"/>
              </w:rPr>
            </w:pPr>
          </w:p>
        </w:tc>
        <w:tc>
          <w:tcPr>
            <w:tcW w:w="2140" w:type="dxa"/>
            <w:vAlign w:val="bottom"/>
            <w:tcBorders>
              <w:bottom w:val="single" w:sz="8" w:color="auto"/>
            </w:tcBorders>
            <w:shd w:val="clear" w:color="auto" w:fill="E3E5EB"/>
          </w:tcPr>
          <w:p>
            <w:pPr>
              <w:spacing w:after="0"/>
              <w:rPr>
                <w:sz w:val="17"/>
                <w:szCs w:val="1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8" w:lineRule="exact"/>
        <w:rPr>
          <w:sz w:val="20"/>
          <w:szCs w:val="20"/>
          <w:color w:val="auto"/>
        </w:rPr>
      </w:pPr>
    </w:p>
    <w:p>
      <w:pPr>
        <w:ind w:left="1860" w:right="340" w:hanging="490"/>
        <w:spacing w:after="0" w:line="279" w:lineRule="auto"/>
        <w:tabs>
          <w:tab w:leader="none" w:pos="1860" w:val="left"/>
        </w:tabs>
        <w:numPr>
          <w:ilvl w:val="0"/>
          <w:numId w:val="87"/>
        </w:numPr>
        <w:rPr>
          <w:rFonts w:ascii="Arial" w:cs="Arial" w:eastAsia="Arial" w:hAnsi="Arial"/>
          <w:sz w:val="16"/>
          <w:szCs w:val="16"/>
          <w:color w:val="auto"/>
        </w:rPr>
      </w:pPr>
      <w:r>
        <w:rPr>
          <w:rFonts w:ascii="Arial" w:cs="Arial" w:eastAsia="Arial" w:hAnsi="Arial"/>
          <w:sz w:val="16"/>
          <w:szCs w:val="16"/>
          <w:color w:val="auto"/>
        </w:rPr>
        <w:t>The amount in this column is calculated by multiplying the closing market price of our common stock at the end of 2015 ($64.48 per share as of December 31, 2015) by the number of RSUs, performance shares ("PS")</w:t>
      </w:r>
    </w:p>
    <w:p>
      <w:pPr>
        <w:spacing w:after="0" w:line="204"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99695</wp:posOffset>
            </wp:positionV>
            <wp:extent cx="7263765" cy="2032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80" w:name="page81"/>
    <w:bookmarkEnd w:id="80"/>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75" w:lineRule="exact"/>
        <w:rPr>
          <w:sz w:val="20"/>
          <w:szCs w:val="20"/>
          <w:color w:val="auto"/>
        </w:rPr>
      </w:pPr>
    </w:p>
    <w:p>
      <w:pPr>
        <w:ind w:left="460"/>
        <w:spacing w:after="0"/>
        <w:rPr>
          <w:sz w:val="20"/>
          <w:szCs w:val="20"/>
          <w:color w:val="auto"/>
        </w:rPr>
      </w:pPr>
      <w:r>
        <w:rPr>
          <w:rFonts w:ascii="Arial" w:cs="Arial" w:eastAsia="Arial" w:hAnsi="Arial"/>
          <w:sz w:val="26"/>
          <w:szCs w:val="26"/>
          <w:b w:val="1"/>
          <w:bCs w:val="1"/>
          <w:color w:val="FFFFFE"/>
          <w:vertAlign w:val="subscript"/>
        </w:rPr>
        <w:t>EXECUTIVE COMPENSATION</w:t>
      </w:r>
      <w:r>
        <w:rPr>
          <w:rFonts w:ascii="Arial" w:cs="Arial" w:eastAsia="Arial" w:hAnsi="Arial"/>
          <w:sz w:val="16"/>
          <w:szCs w:val="16"/>
          <w:color w:val="auto"/>
        </w:rPr>
        <w:t xml:space="preserve"> and corresponding dividend rights (and interest thereon) that will be paid in stock, listed for the specified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-99060</wp:posOffset>
            </wp:positionV>
            <wp:extent cx="1487805" cy="15557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186" w:lineRule="exact"/>
        <w:rPr>
          <w:sz w:val="20"/>
          <w:szCs w:val="20"/>
          <w:color w:val="auto"/>
        </w:rPr>
      </w:pPr>
    </w:p>
    <w:p>
      <w:pPr>
        <w:ind w:left="1860" w:right="640" w:hanging="490"/>
        <w:spacing w:after="0" w:line="253" w:lineRule="auto"/>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RSUs awarded in 2015 that are described, with their vesting and release schedule, under "2015 Compensation — Long-Term Incentives — RSUs" in the CD&amp;A as follows: Mr. Brandt — 30,476; Mr. Hatfield — 5,196;</w:t>
      </w:r>
    </w:p>
    <w:p>
      <w:pPr>
        <w:ind w:left="1860"/>
        <w:spacing w:after="0" w:line="253" w:lineRule="auto"/>
        <w:rPr>
          <w:rFonts w:ascii="Arial" w:cs="Arial" w:eastAsia="Arial" w:hAnsi="Arial"/>
          <w:sz w:val="16"/>
          <w:szCs w:val="16"/>
          <w:color w:val="auto"/>
        </w:rPr>
      </w:pPr>
      <w:r>
        <w:rPr>
          <w:rFonts w:ascii="Arial" w:cs="Arial" w:eastAsia="Arial" w:hAnsi="Arial"/>
          <w:sz w:val="16"/>
          <w:szCs w:val="16"/>
          <w:color w:val="auto"/>
        </w:rPr>
        <w:t>Mr. Edington — 4,156; Mr. Falck — 5,196; and Mr. Schiavoni — 6,928; and (ii) accrued dividend rights (and interest thereon) that will be paid in stock as follows: Mr. Brandt — 436; Mr. Hatfield — 74; Mr. Edington — 59; Mr. Falck — 74; and Mr. Schiavoni — 198.</w:t>
      </w:r>
    </w:p>
    <w:p>
      <w:pPr>
        <w:spacing w:after="0" w:line="156" w:lineRule="exact"/>
        <w:rPr>
          <w:rFonts w:ascii="Arial" w:cs="Arial" w:eastAsia="Arial" w:hAnsi="Arial"/>
          <w:sz w:val="16"/>
          <w:szCs w:val="16"/>
          <w:color w:val="auto"/>
        </w:rPr>
      </w:pPr>
    </w:p>
    <w:p>
      <w:pPr>
        <w:ind w:left="1860" w:right="20" w:hanging="490"/>
        <w:spacing w:after="0" w:line="244" w:lineRule="auto"/>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the one-time special Retention Grant of RSUs awarded to Mr. Brandt in 2012. Under the terms of this grant, Mr. Brandt may, depending upon Company performance, receive up to 84,362 RSUs if he remains employed by the Company through December 31, 2016 (the "Receipt Date"). Mr. Brandt will receive 67,489 shares (the "Target Grant") if the Company's average return on equity over the period from December 19, 2012 until the Receipt Date (the "Performance Period") meets or exceeds 8.75% (the "Target ROE"). In addition, the Committee may, in its discretion award Mr. Brandt up to another 25% of the Target Grant (for a maximum total of 84,362 shares) based upon the Committee's evaluation of Mr. Brandt's overall leadership during the Performance Period. If the Company's average return on equity over the Performance Period is less than the Target ROE, Mr. Brandt will receive 75% of the Target Grant (50,617 shares). The table reflects the Target Grant amount plus 8,539 additional RSUs resulting from notional dividends that will be paid in stock.</w:t>
      </w:r>
    </w:p>
    <w:p>
      <w:pPr>
        <w:spacing w:after="0" w:line="156" w:lineRule="exact"/>
        <w:rPr>
          <w:rFonts w:ascii="Arial" w:cs="Arial" w:eastAsia="Arial" w:hAnsi="Arial"/>
          <w:sz w:val="16"/>
          <w:szCs w:val="16"/>
          <w:color w:val="auto"/>
        </w:rPr>
      </w:pPr>
    </w:p>
    <w:p>
      <w:pPr>
        <w:ind w:left="1860" w:hanging="490"/>
        <w:spacing w:after="0"/>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remaining RSUs awarded in 2014 as follows: Mr. Brandt — 25,848; Mr. Hatfield — 4,620;</w:t>
      </w:r>
    </w:p>
    <w:p>
      <w:pPr>
        <w:spacing w:after="0" w:line="20" w:lineRule="exact"/>
        <w:rPr>
          <w:rFonts w:ascii="Arial" w:cs="Arial" w:eastAsia="Arial" w:hAnsi="Arial"/>
          <w:sz w:val="16"/>
          <w:szCs w:val="16"/>
          <w:color w:val="auto"/>
        </w:rPr>
      </w:pPr>
    </w:p>
    <w:p>
      <w:pPr>
        <w:ind w:left="1860"/>
        <w:spacing w:after="0" w:line="244" w:lineRule="auto"/>
        <w:rPr>
          <w:rFonts w:ascii="Arial" w:cs="Arial" w:eastAsia="Arial" w:hAnsi="Arial"/>
          <w:sz w:val="16"/>
          <w:szCs w:val="16"/>
          <w:color w:val="auto"/>
        </w:rPr>
      </w:pPr>
      <w:r>
        <w:rPr>
          <w:rFonts w:ascii="Arial" w:cs="Arial" w:eastAsia="Arial" w:hAnsi="Arial"/>
          <w:sz w:val="16"/>
          <w:szCs w:val="16"/>
          <w:color w:val="auto"/>
        </w:rPr>
        <w:t>Mr. Edington — 3,078; Mr. Falck — 4,620; and Mr. Schiavoni — 4,620; and (ii) accrued dividend rights (and interest thereon) that will be paid in stock as follows: Mr. Brandt — 865; Mr. Hatfield — 309; Mr. Edington — 103; Mr. Falck — 155; and Mr. Schiavoni — 309. The 2014 RSUs vest and are released in 25% increments beginning on February 20, 2015, so they will be fully vested on February 20, 2018.</w:t>
      </w:r>
    </w:p>
    <w:p>
      <w:pPr>
        <w:spacing w:after="0" w:line="151" w:lineRule="exact"/>
        <w:rPr>
          <w:rFonts w:ascii="Arial" w:cs="Arial" w:eastAsia="Arial" w:hAnsi="Arial"/>
          <w:sz w:val="16"/>
          <w:szCs w:val="16"/>
          <w:color w:val="auto"/>
        </w:rPr>
      </w:pPr>
    </w:p>
    <w:p>
      <w:pPr>
        <w:ind w:left="1860" w:hanging="490"/>
        <w:spacing w:after="0"/>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remaining RSUs awarded in 2013 as follows: Mr. Brandt — 16,372; Mr. Hatfield — 2,864;</w:t>
      </w:r>
    </w:p>
    <w:p>
      <w:pPr>
        <w:spacing w:after="0" w:line="20" w:lineRule="exact"/>
        <w:rPr>
          <w:rFonts w:ascii="Arial" w:cs="Arial" w:eastAsia="Arial" w:hAnsi="Arial"/>
          <w:sz w:val="16"/>
          <w:szCs w:val="16"/>
          <w:color w:val="auto"/>
        </w:rPr>
      </w:pPr>
    </w:p>
    <w:p>
      <w:pPr>
        <w:ind w:left="1860"/>
        <w:spacing w:after="0" w:line="244" w:lineRule="auto"/>
        <w:rPr>
          <w:rFonts w:ascii="Arial" w:cs="Arial" w:eastAsia="Arial" w:hAnsi="Arial"/>
          <w:sz w:val="16"/>
          <w:szCs w:val="16"/>
          <w:color w:val="auto"/>
        </w:rPr>
      </w:pPr>
      <w:r>
        <w:rPr>
          <w:rFonts w:ascii="Arial" w:cs="Arial" w:eastAsia="Arial" w:hAnsi="Arial"/>
          <w:sz w:val="16"/>
          <w:szCs w:val="16"/>
          <w:color w:val="auto"/>
        </w:rPr>
        <w:t>Mr. Edington — 2,048; Mr. Falck — 2,864; and Mr. Schiavoni — 2,864; and (ii) accrued dividend rights (and interest thereon) that will be paid in stock as follows: Mr. Brandt — 863; Mr. Hatfield — 302; Mr. Edington — 216; Mr. Falck — 151; and Mr. Schiavoni — 226. The 2013 RSUs vest and are released in 25% increments beginning on February 20, 2014, so they will be fully vested on February 17, 2017.</w:t>
      </w:r>
    </w:p>
    <w:p>
      <w:pPr>
        <w:spacing w:after="0" w:line="163" w:lineRule="exact"/>
        <w:rPr>
          <w:rFonts w:ascii="Arial" w:cs="Arial" w:eastAsia="Arial" w:hAnsi="Arial"/>
          <w:sz w:val="16"/>
          <w:szCs w:val="16"/>
          <w:color w:val="auto"/>
        </w:rPr>
      </w:pPr>
    </w:p>
    <w:p>
      <w:pPr>
        <w:ind w:left="1860" w:hanging="490"/>
        <w:spacing w:after="0"/>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remaining RSUs awarded in 2012 as follows: Mr. Brandt — 8,546; Mr. Hatfield — 1,188;</w:t>
      </w:r>
    </w:p>
    <w:p>
      <w:pPr>
        <w:spacing w:after="0" w:line="20" w:lineRule="exact"/>
        <w:rPr>
          <w:rFonts w:ascii="Arial" w:cs="Arial" w:eastAsia="Arial" w:hAnsi="Arial"/>
          <w:sz w:val="16"/>
          <w:szCs w:val="16"/>
          <w:color w:val="auto"/>
        </w:rPr>
      </w:pPr>
    </w:p>
    <w:p>
      <w:pPr>
        <w:ind w:left="1860" w:right="140"/>
        <w:spacing w:after="0" w:line="244" w:lineRule="auto"/>
        <w:rPr>
          <w:rFonts w:ascii="Arial" w:cs="Arial" w:eastAsia="Arial" w:hAnsi="Arial"/>
          <w:sz w:val="16"/>
          <w:szCs w:val="16"/>
          <w:color w:val="auto"/>
        </w:rPr>
      </w:pPr>
      <w:r>
        <w:rPr>
          <w:rFonts w:ascii="Arial" w:cs="Arial" w:eastAsia="Arial" w:hAnsi="Arial"/>
          <w:sz w:val="16"/>
          <w:szCs w:val="16"/>
          <w:color w:val="auto"/>
        </w:rPr>
        <w:t>Mr. Edington — 1,188; Mr. Falck — 1,662; and Mr. Schiavoni — 950; and (ii) accrued dividend rights (and interest thereon) that will be paid in stock as follows: Mr. Brandt — 617; Mr. Hatfield — 171; Mr. Edington — 171; Mr. Falck — 120; and Mr. Schiavoni — 69. The 2012 RSUs vest and are released in 25% increments beginning on February 20, 2013, so they will be fully vested on February 19, 2016.</w:t>
      </w:r>
    </w:p>
    <w:p>
      <w:pPr>
        <w:spacing w:after="0" w:line="151" w:lineRule="exact"/>
        <w:rPr>
          <w:rFonts w:ascii="Arial" w:cs="Arial" w:eastAsia="Arial" w:hAnsi="Arial"/>
          <w:sz w:val="16"/>
          <w:szCs w:val="16"/>
          <w:color w:val="auto"/>
        </w:rPr>
      </w:pPr>
    </w:p>
    <w:p>
      <w:pPr>
        <w:ind w:left="1860" w:right="240" w:hanging="490"/>
        <w:spacing w:after="0" w:line="245" w:lineRule="auto"/>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2015 Performance Shares — SEC rules require us to assume a number of shares equal to the target (100% of Base Grant) payout level of these performance shares, although the actual number of shares awarded, if any, will not be determined until after the end of the performance period, which ends on December 31, 2017; and (ii) accrued dividend rights (and interest thereon) that will be paid in stock as follows: Mr. Brandt — 1,066; Mr. Hatfield — 182; Mr. Edington — 145; Mr. Falck — 182; and Mr. Schiavoni — 242. The 2015 Performance Shares are described with their vesting schedule under "2015</w:t>
      </w:r>
    </w:p>
    <w:p>
      <w:pPr>
        <w:ind w:left="1860"/>
        <w:spacing w:after="0"/>
        <w:rPr>
          <w:rFonts w:ascii="Arial" w:cs="Arial" w:eastAsia="Arial" w:hAnsi="Arial"/>
          <w:sz w:val="16"/>
          <w:szCs w:val="16"/>
          <w:color w:val="auto"/>
        </w:rPr>
      </w:pPr>
      <w:r>
        <w:rPr>
          <w:rFonts w:ascii="Arial" w:cs="Arial" w:eastAsia="Arial" w:hAnsi="Arial"/>
          <w:sz w:val="16"/>
          <w:szCs w:val="16"/>
          <w:color w:val="auto"/>
        </w:rPr>
        <w:t>Compensation — Long-Term Incentives — Performance Shares" in the CD&amp;A.</w:t>
      </w:r>
    </w:p>
    <w:p>
      <w:pPr>
        <w:spacing w:after="0" w:line="163" w:lineRule="exact"/>
        <w:rPr>
          <w:rFonts w:ascii="Arial" w:cs="Arial" w:eastAsia="Arial" w:hAnsi="Arial"/>
          <w:sz w:val="16"/>
          <w:szCs w:val="16"/>
          <w:color w:val="auto"/>
        </w:rPr>
      </w:pPr>
    </w:p>
    <w:p>
      <w:pPr>
        <w:ind w:left="1860" w:right="40" w:hanging="490"/>
        <w:spacing w:after="0" w:line="246" w:lineRule="auto"/>
        <w:tabs>
          <w:tab w:leader="none" w:pos="1860" w:val="left"/>
        </w:tabs>
        <w:numPr>
          <w:ilvl w:val="0"/>
          <w:numId w:val="88"/>
        </w:numPr>
        <w:rPr>
          <w:rFonts w:ascii="Arial" w:cs="Arial" w:eastAsia="Arial" w:hAnsi="Arial"/>
          <w:sz w:val="16"/>
          <w:szCs w:val="16"/>
          <w:color w:val="auto"/>
        </w:rPr>
      </w:pPr>
      <w:r>
        <w:rPr>
          <w:rFonts w:ascii="Arial" w:cs="Arial" w:eastAsia="Arial" w:hAnsi="Arial"/>
          <w:sz w:val="16"/>
          <w:szCs w:val="16"/>
          <w:color w:val="auto"/>
        </w:rPr>
        <w:t>This amount represents: (i) the performance shares issued in 2014 — SEC rules require us to assume a number of shares equal to the maximum (200% of the Base Grant) payout level of these performance shares, although the actual number of shares awarded, if any, will not be determined until after the end of the performance period, which ends on December 31, 2016; and (ii) accrued dividend rights (and interest thereon) that will be paid in stock as follows: Mr. Brandt — 5,636; Mr. Hatfield — 1,006; Mr. Edington — 671;</w:t>
      </w:r>
    </w:p>
    <w:p>
      <w:pPr>
        <w:spacing w:after="0" w:line="1" w:lineRule="exact"/>
        <w:rPr>
          <w:rFonts w:ascii="Arial" w:cs="Arial" w:eastAsia="Arial" w:hAnsi="Arial"/>
          <w:sz w:val="16"/>
          <w:szCs w:val="16"/>
          <w:color w:val="auto"/>
        </w:rPr>
      </w:pPr>
    </w:p>
    <w:p>
      <w:pPr>
        <w:ind w:left="1860"/>
        <w:spacing w:after="0"/>
        <w:rPr>
          <w:rFonts w:ascii="Arial" w:cs="Arial" w:eastAsia="Arial" w:hAnsi="Arial"/>
          <w:sz w:val="16"/>
          <w:szCs w:val="16"/>
          <w:color w:val="auto"/>
        </w:rPr>
      </w:pPr>
      <w:r>
        <w:rPr>
          <w:rFonts w:ascii="Arial" w:cs="Arial" w:eastAsia="Arial" w:hAnsi="Arial"/>
          <w:sz w:val="16"/>
          <w:szCs w:val="16"/>
          <w:color w:val="auto"/>
        </w:rPr>
        <w:t>Mr. Falck — 1,006; and Mr. Schiavoni — 1,006. If the 2014 performance share grant pays at the target (100%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177165</wp:posOffset>
            </wp:positionV>
            <wp:extent cx="841375" cy="16383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72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81" w:name="page82"/>
    <w:bookmarkEnd w:id="8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5" w:lineRule="exact"/>
        <w:rPr>
          <w:sz w:val="20"/>
          <w:szCs w:val="20"/>
          <w:color w:val="auto"/>
        </w:rPr>
      </w:pPr>
    </w:p>
    <w:tbl>
      <w:tblPr>
        <w:tblLayout w:type="fixed"/>
        <w:tblInd w:w="1520" w:type="dxa"/>
        <w:tblCellMar>
          <w:top w:w="0" w:type="dxa"/>
          <w:left w:w="0" w:type="dxa"/>
          <w:bottom w:w="0" w:type="dxa"/>
          <w:right w:w="0" w:type="dxa"/>
        </w:tblCellMar>
      </w:tblPr>
      <w:tr>
        <w:trPr>
          <w:trHeight w:val="184"/>
        </w:trPr>
        <w:tc>
          <w:tcPr>
            <w:tcW w:w="7500" w:type="dxa"/>
            <w:vAlign w:val="bottom"/>
            <w:gridSpan w:val="2"/>
          </w:tcPr>
          <w:p>
            <w:pPr>
              <w:ind w:left="340"/>
              <w:spacing w:after="0"/>
              <w:rPr>
                <w:sz w:val="20"/>
                <w:szCs w:val="20"/>
                <w:color w:val="auto"/>
              </w:rPr>
            </w:pPr>
            <w:r>
              <w:rPr>
                <w:rFonts w:ascii="Arial" w:cs="Arial" w:eastAsia="Arial" w:hAnsi="Arial"/>
                <w:sz w:val="16"/>
                <w:szCs w:val="16"/>
                <w:color w:val="auto"/>
                <w:w w:val="99"/>
              </w:rPr>
              <w:t>of Base Grant) level, including dividends and interest thereon payable in stock, the amounts would be</w:t>
            </w:r>
          </w:p>
        </w:tc>
        <w:tc>
          <w:tcPr>
            <w:tcW w:w="60" w:type="dxa"/>
            <w:vAlign w:val="bottom"/>
          </w:tcPr>
          <w:p>
            <w:pPr>
              <w:spacing w:after="0"/>
              <w:rPr>
                <w:sz w:val="16"/>
                <w:szCs w:val="16"/>
                <w:color w:val="auto"/>
              </w:rPr>
            </w:pPr>
          </w:p>
        </w:tc>
        <w:tc>
          <w:tcPr>
            <w:tcW w:w="2340" w:type="dxa"/>
            <w:vAlign w:val="bottom"/>
            <w:gridSpan w:val="2"/>
            <w:shd w:val="clear" w:color="auto" w:fill="3A5575"/>
          </w:tcPr>
          <w:p>
            <w:pPr>
              <w:ind w:left="60"/>
              <w:spacing w:after="0"/>
              <w:rPr>
                <w:sz w:val="20"/>
                <w:szCs w:val="20"/>
                <w:color w:val="auto"/>
              </w:rPr>
            </w:pPr>
            <w:r>
              <w:rPr>
                <w:rFonts w:ascii="Arial" w:cs="Arial" w:eastAsia="Arial" w:hAnsi="Arial"/>
                <w:sz w:val="13"/>
                <w:szCs w:val="13"/>
                <w:b w:val="1"/>
                <w:bCs w:val="1"/>
                <w:color w:val="FFFFFE"/>
              </w:rPr>
              <w:t>EXECUTIVE COMPENSATION</w:t>
            </w:r>
          </w:p>
        </w:tc>
        <w:tc>
          <w:tcPr>
            <w:tcW w:w="0" w:type="dxa"/>
            <w:vAlign w:val="bottom"/>
          </w:tcPr>
          <w:p>
            <w:pPr>
              <w:spacing w:after="0"/>
              <w:rPr>
                <w:sz w:val="1"/>
                <w:szCs w:val="1"/>
                <w:color w:val="auto"/>
              </w:rPr>
            </w:pPr>
          </w:p>
        </w:tc>
      </w:tr>
      <w:tr>
        <w:trPr>
          <w:trHeight w:val="74"/>
        </w:trPr>
        <w:tc>
          <w:tcPr>
            <w:tcW w:w="3980" w:type="dxa"/>
            <w:vAlign w:val="bottom"/>
            <w:vMerge w:val="restart"/>
          </w:tcPr>
          <w:p>
            <w:pPr>
              <w:ind w:left="340"/>
              <w:spacing w:after="0"/>
              <w:rPr>
                <w:sz w:val="20"/>
                <w:szCs w:val="20"/>
                <w:color w:val="auto"/>
              </w:rPr>
            </w:pPr>
            <w:r>
              <w:rPr>
                <w:rFonts w:ascii="Arial" w:cs="Arial" w:eastAsia="Arial" w:hAnsi="Arial"/>
                <w:sz w:val="16"/>
                <w:szCs w:val="16"/>
                <w:color w:val="auto"/>
              </w:rPr>
              <w:t>as follows:</w:t>
            </w:r>
          </w:p>
        </w:tc>
        <w:tc>
          <w:tcPr>
            <w:tcW w:w="3520" w:type="dxa"/>
            <w:vAlign w:val="bottom"/>
          </w:tcPr>
          <w:p>
            <w:pPr>
              <w:spacing w:after="0"/>
              <w:rPr>
                <w:sz w:val="6"/>
                <w:szCs w:val="6"/>
                <w:color w:val="auto"/>
              </w:rPr>
            </w:pPr>
          </w:p>
        </w:tc>
        <w:tc>
          <w:tcPr>
            <w:tcW w:w="60" w:type="dxa"/>
            <w:vAlign w:val="bottom"/>
          </w:tcPr>
          <w:p>
            <w:pPr>
              <w:spacing w:after="0"/>
              <w:rPr>
                <w:sz w:val="6"/>
                <w:szCs w:val="6"/>
                <w:color w:val="auto"/>
              </w:rPr>
            </w:pPr>
          </w:p>
        </w:tc>
        <w:tc>
          <w:tcPr>
            <w:tcW w:w="660" w:type="dxa"/>
            <w:vAlign w:val="bottom"/>
            <w:shd w:val="clear" w:color="auto" w:fill="3A5575"/>
          </w:tcPr>
          <w:p>
            <w:pPr>
              <w:spacing w:after="0"/>
              <w:rPr>
                <w:sz w:val="6"/>
                <w:szCs w:val="6"/>
                <w:color w:val="auto"/>
              </w:rPr>
            </w:pPr>
          </w:p>
        </w:tc>
        <w:tc>
          <w:tcPr>
            <w:tcW w:w="1680" w:type="dxa"/>
            <w:vAlign w:val="bottom"/>
            <w:shd w:val="clear" w:color="auto" w:fill="3A5575"/>
          </w:tcPr>
          <w:p>
            <w:pPr>
              <w:spacing w:after="0"/>
              <w:rPr>
                <w:sz w:val="6"/>
                <w:szCs w:val="6"/>
                <w:color w:val="auto"/>
              </w:rPr>
            </w:pPr>
          </w:p>
        </w:tc>
        <w:tc>
          <w:tcPr>
            <w:tcW w:w="0" w:type="dxa"/>
            <w:vAlign w:val="bottom"/>
          </w:tcPr>
          <w:p>
            <w:pPr>
              <w:spacing w:after="0"/>
              <w:rPr>
                <w:sz w:val="1"/>
                <w:szCs w:val="1"/>
                <w:color w:val="auto"/>
              </w:rPr>
            </w:pPr>
          </w:p>
        </w:tc>
      </w:tr>
      <w:tr>
        <w:trPr>
          <w:trHeight w:val="141"/>
        </w:trPr>
        <w:tc>
          <w:tcPr>
            <w:tcW w:w="3980" w:type="dxa"/>
            <w:vAlign w:val="bottom"/>
            <w:vMerge w:val="continue"/>
          </w:tcPr>
          <w:p>
            <w:pPr>
              <w:spacing w:after="0"/>
              <w:rPr>
                <w:sz w:val="12"/>
                <w:szCs w:val="12"/>
                <w:color w:val="auto"/>
              </w:rPr>
            </w:pPr>
          </w:p>
        </w:tc>
        <w:tc>
          <w:tcPr>
            <w:tcW w:w="3520" w:type="dxa"/>
            <w:vAlign w:val="bottom"/>
            <w:vMerge w:val="restart"/>
          </w:tcPr>
          <w:p>
            <w:pPr>
              <w:jc w:val="center"/>
              <w:ind w:left="2240"/>
              <w:spacing w:after="0"/>
              <w:rPr>
                <w:sz w:val="20"/>
                <w:szCs w:val="20"/>
                <w:color w:val="auto"/>
              </w:rPr>
            </w:pPr>
            <w:r>
              <w:rPr>
                <w:rFonts w:ascii="Arial" w:cs="Arial" w:eastAsia="Arial" w:hAnsi="Arial"/>
                <w:sz w:val="16"/>
                <w:szCs w:val="16"/>
                <w:b w:val="1"/>
                <w:bCs w:val="1"/>
                <w:color w:val="3A5575"/>
                <w:w w:val="97"/>
              </w:rPr>
              <w:t>UNITS AT</w:t>
            </w:r>
          </w:p>
        </w:tc>
        <w:tc>
          <w:tcPr>
            <w:tcW w:w="2400" w:type="dxa"/>
            <w:vAlign w:val="bottom"/>
            <w:gridSpan w:val="3"/>
            <w:vMerge w:val="restart"/>
          </w:tcPr>
          <w:p>
            <w:pPr>
              <w:jc w:val="center"/>
              <w:ind w:right="1680"/>
              <w:spacing w:after="0"/>
              <w:rPr>
                <w:sz w:val="20"/>
                <w:szCs w:val="20"/>
                <w:color w:val="auto"/>
              </w:rPr>
            </w:pPr>
            <w:r>
              <w:rPr>
                <w:rFonts w:ascii="Arial" w:cs="Arial" w:eastAsia="Arial" w:hAnsi="Arial"/>
                <w:sz w:val="16"/>
                <w:szCs w:val="16"/>
                <w:b w:val="1"/>
                <w:bCs w:val="1"/>
                <w:color w:val="3A5575"/>
                <w:w w:val="95"/>
              </w:rPr>
              <w:t>PAYOUT</w:t>
            </w:r>
          </w:p>
        </w:tc>
        <w:tc>
          <w:tcPr>
            <w:tcW w:w="0" w:type="dxa"/>
            <w:vAlign w:val="bottom"/>
          </w:tcPr>
          <w:p>
            <w:pPr>
              <w:spacing w:after="0"/>
              <w:rPr>
                <w:sz w:val="1"/>
                <w:szCs w:val="1"/>
                <w:color w:val="auto"/>
              </w:rPr>
            </w:pPr>
          </w:p>
        </w:tc>
      </w:tr>
      <w:tr>
        <w:trPr>
          <w:trHeight w:val="343"/>
        </w:trPr>
        <w:tc>
          <w:tcPr>
            <w:tcW w:w="3980" w:type="dxa"/>
            <w:vAlign w:val="bottom"/>
          </w:tcPr>
          <w:p>
            <w:pPr>
              <w:spacing w:after="0"/>
              <w:rPr>
                <w:sz w:val="24"/>
                <w:szCs w:val="24"/>
                <w:color w:val="auto"/>
              </w:rPr>
            </w:pPr>
          </w:p>
        </w:tc>
        <w:tc>
          <w:tcPr>
            <w:tcW w:w="3520" w:type="dxa"/>
            <w:vAlign w:val="bottom"/>
            <w:vMerge w:val="continue"/>
          </w:tcPr>
          <w:p>
            <w:pPr>
              <w:spacing w:after="0"/>
              <w:rPr>
                <w:sz w:val="24"/>
                <w:szCs w:val="24"/>
                <w:color w:val="auto"/>
              </w:rPr>
            </w:pPr>
          </w:p>
        </w:tc>
        <w:tc>
          <w:tcPr>
            <w:tcW w:w="2400" w:type="dxa"/>
            <w:vAlign w:val="bottom"/>
            <w:gridSpan w:val="3"/>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84"/>
        </w:trPr>
        <w:tc>
          <w:tcPr>
            <w:tcW w:w="3980" w:type="dxa"/>
            <w:vAlign w:val="bottom"/>
          </w:tcPr>
          <w:p>
            <w:pPr>
              <w:spacing w:after="0"/>
              <w:rPr>
                <w:sz w:val="16"/>
                <w:szCs w:val="16"/>
                <w:color w:val="auto"/>
              </w:rPr>
            </w:pPr>
          </w:p>
        </w:tc>
        <w:tc>
          <w:tcPr>
            <w:tcW w:w="3520" w:type="dxa"/>
            <w:vAlign w:val="bottom"/>
          </w:tcPr>
          <w:p>
            <w:pPr>
              <w:jc w:val="center"/>
              <w:ind w:left="2240"/>
              <w:spacing w:after="0"/>
              <w:rPr>
                <w:sz w:val="20"/>
                <w:szCs w:val="20"/>
                <w:color w:val="auto"/>
              </w:rPr>
            </w:pPr>
            <w:r>
              <w:rPr>
                <w:rFonts w:ascii="Arial" w:cs="Arial" w:eastAsia="Arial" w:hAnsi="Arial"/>
                <w:sz w:val="16"/>
                <w:szCs w:val="16"/>
                <w:b w:val="1"/>
                <w:bCs w:val="1"/>
                <w:color w:val="3A5575"/>
                <w:w w:val="97"/>
              </w:rPr>
              <w:t>TARGET</w:t>
            </w:r>
          </w:p>
        </w:tc>
        <w:tc>
          <w:tcPr>
            <w:tcW w:w="60" w:type="dxa"/>
            <w:vAlign w:val="bottom"/>
          </w:tcPr>
          <w:p>
            <w:pPr>
              <w:spacing w:after="0"/>
              <w:rPr>
                <w:sz w:val="16"/>
                <w:szCs w:val="16"/>
                <w:color w:val="auto"/>
              </w:rPr>
            </w:pPr>
          </w:p>
        </w:tc>
        <w:tc>
          <w:tcPr>
            <w:tcW w:w="2340" w:type="dxa"/>
            <w:vAlign w:val="bottom"/>
            <w:gridSpan w:val="2"/>
          </w:tcPr>
          <w:p>
            <w:pPr>
              <w:jc w:val="center"/>
              <w:ind w:right="1740"/>
              <w:spacing w:after="0"/>
              <w:rPr>
                <w:sz w:val="20"/>
                <w:szCs w:val="20"/>
                <w:color w:val="auto"/>
              </w:rPr>
            </w:pPr>
            <w:r>
              <w:rPr>
                <w:rFonts w:ascii="Arial" w:cs="Arial" w:eastAsia="Arial" w:hAnsi="Arial"/>
                <w:sz w:val="16"/>
                <w:szCs w:val="16"/>
                <w:b w:val="1"/>
                <w:bCs w:val="1"/>
                <w:color w:val="3A5575"/>
                <w:w w:val="95"/>
              </w:rPr>
              <w:t>VALUE</w:t>
            </w:r>
          </w:p>
        </w:tc>
        <w:tc>
          <w:tcPr>
            <w:tcW w:w="0" w:type="dxa"/>
            <w:vAlign w:val="bottom"/>
          </w:tcPr>
          <w:p>
            <w:pPr>
              <w:spacing w:after="0"/>
              <w:rPr>
                <w:sz w:val="1"/>
                <w:szCs w:val="1"/>
                <w:color w:val="auto"/>
              </w:rPr>
            </w:pPr>
          </w:p>
        </w:tc>
      </w:tr>
      <w:tr>
        <w:trPr>
          <w:trHeight w:val="232"/>
        </w:trPr>
        <w:tc>
          <w:tcPr>
            <w:tcW w:w="398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NAME</w:t>
            </w:r>
          </w:p>
        </w:tc>
        <w:tc>
          <w:tcPr>
            <w:tcW w:w="3520" w:type="dxa"/>
            <w:vAlign w:val="bottom"/>
            <w:tcBorders>
              <w:bottom w:val="single" w:sz="8" w:color="646466"/>
            </w:tcBorders>
          </w:tcPr>
          <w:p>
            <w:pPr>
              <w:jc w:val="center"/>
              <w:ind w:left="2240"/>
              <w:spacing w:after="0"/>
              <w:rPr>
                <w:sz w:val="20"/>
                <w:szCs w:val="20"/>
                <w:color w:val="auto"/>
              </w:rPr>
            </w:pPr>
            <w:r>
              <w:rPr>
                <w:rFonts w:ascii="Arial" w:cs="Arial" w:eastAsia="Arial" w:hAnsi="Arial"/>
                <w:sz w:val="16"/>
                <w:szCs w:val="16"/>
                <w:b w:val="1"/>
                <w:bCs w:val="1"/>
                <w:color w:val="3A5575"/>
              </w:rPr>
              <w:t>(#)</w:t>
            </w:r>
          </w:p>
        </w:tc>
        <w:tc>
          <w:tcPr>
            <w:tcW w:w="720" w:type="dxa"/>
            <w:vAlign w:val="bottom"/>
            <w:tcBorders>
              <w:bottom w:val="single" w:sz="8" w:color="646466"/>
            </w:tcBorders>
            <w:gridSpan w:val="2"/>
          </w:tcPr>
          <w:p>
            <w:pPr>
              <w:jc w:val="center"/>
              <w:spacing w:after="0"/>
              <w:rPr>
                <w:sz w:val="20"/>
                <w:szCs w:val="20"/>
                <w:color w:val="auto"/>
              </w:rPr>
            </w:pPr>
            <w:r>
              <w:rPr>
                <w:rFonts w:ascii="Arial" w:cs="Arial" w:eastAsia="Arial" w:hAnsi="Arial"/>
                <w:sz w:val="16"/>
                <w:szCs w:val="16"/>
                <w:b w:val="1"/>
                <w:bCs w:val="1"/>
                <w:color w:val="3A5575"/>
              </w:rPr>
              <w:t>($)</w:t>
            </w:r>
          </w:p>
        </w:tc>
        <w:tc>
          <w:tcPr>
            <w:tcW w:w="16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Donald E. Brandt</w:t>
            </w:r>
          </w:p>
        </w:tc>
        <w:tc>
          <w:tcPr>
            <w:tcW w:w="352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44,940</w:t>
            </w:r>
          </w:p>
        </w:tc>
        <w:tc>
          <w:tcPr>
            <w:tcW w:w="720" w:type="dxa"/>
            <w:vAlign w:val="bottom"/>
            <w:gridSpan w:val="2"/>
            <w:shd w:val="clear" w:color="auto" w:fill="E3E5EB"/>
          </w:tcPr>
          <w:p>
            <w:pPr>
              <w:jc w:val="right"/>
              <w:spacing w:after="0"/>
              <w:rPr>
                <w:sz w:val="20"/>
                <w:szCs w:val="20"/>
                <w:color w:val="auto"/>
              </w:rPr>
            </w:pPr>
            <w:r>
              <w:rPr>
                <w:rFonts w:ascii="Arial" w:cs="Arial" w:eastAsia="Arial" w:hAnsi="Arial"/>
                <w:sz w:val="16"/>
                <w:szCs w:val="16"/>
                <w:color w:val="auto"/>
                <w:w w:val="98"/>
              </w:rPr>
              <w:t>2,897,732</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3980" w:type="dxa"/>
            <w:vAlign w:val="bottom"/>
          </w:tcPr>
          <w:p>
            <w:pPr>
              <w:spacing w:after="0"/>
              <w:rPr>
                <w:sz w:val="20"/>
                <w:szCs w:val="20"/>
                <w:color w:val="auto"/>
              </w:rPr>
            </w:pPr>
            <w:r>
              <w:rPr>
                <w:rFonts w:ascii="Arial" w:cs="Arial" w:eastAsia="Arial" w:hAnsi="Arial"/>
                <w:sz w:val="16"/>
                <w:szCs w:val="16"/>
                <w:color w:val="auto"/>
              </w:rPr>
              <w:t>James R. Hatfield</w:t>
            </w:r>
          </w:p>
        </w:tc>
        <w:tc>
          <w:tcPr>
            <w:tcW w:w="3520" w:type="dxa"/>
            <w:vAlign w:val="bottom"/>
          </w:tcPr>
          <w:p>
            <w:pPr>
              <w:jc w:val="right"/>
              <w:ind w:right="260"/>
              <w:spacing w:after="0"/>
              <w:rPr>
                <w:sz w:val="20"/>
                <w:szCs w:val="20"/>
                <w:color w:val="auto"/>
              </w:rPr>
            </w:pPr>
            <w:r>
              <w:rPr>
                <w:rFonts w:ascii="Arial" w:cs="Arial" w:eastAsia="Arial" w:hAnsi="Arial"/>
                <w:sz w:val="16"/>
                <w:szCs w:val="16"/>
                <w:color w:val="auto"/>
              </w:rPr>
              <w:t>8,025</w:t>
            </w:r>
          </w:p>
        </w:tc>
        <w:tc>
          <w:tcPr>
            <w:tcW w:w="720" w:type="dxa"/>
            <w:vAlign w:val="bottom"/>
            <w:gridSpan w:val="2"/>
          </w:tcPr>
          <w:p>
            <w:pPr>
              <w:jc w:val="right"/>
              <w:spacing w:after="0"/>
              <w:rPr>
                <w:sz w:val="20"/>
                <w:szCs w:val="20"/>
                <w:color w:val="auto"/>
              </w:rPr>
            </w:pPr>
            <w:r>
              <w:rPr>
                <w:rFonts w:ascii="Arial" w:cs="Arial" w:eastAsia="Arial" w:hAnsi="Arial"/>
                <w:sz w:val="16"/>
                <w:szCs w:val="16"/>
                <w:color w:val="auto"/>
              </w:rPr>
              <w:t>517,452</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Randall K. Edington</w:t>
            </w:r>
          </w:p>
        </w:tc>
        <w:tc>
          <w:tcPr>
            <w:tcW w:w="352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5,349</w:t>
            </w:r>
          </w:p>
        </w:tc>
        <w:tc>
          <w:tcPr>
            <w:tcW w:w="720" w:type="dxa"/>
            <w:vAlign w:val="bottom"/>
            <w:gridSpan w:val="2"/>
            <w:shd w:val="clear" w:color="auto" w:fill="E3E5EB"/>
          </w:tcPr>
          <w:p>
            <w:pPr>
              <w:jc w:val="right"/>
              <w:spacing w:after="0"/>
              <w:rPr>
                <w:sz w:val="20"/>
                <w:szCs w:val="20"/>
                <w:color w:val="auto"/>
              </w:rPr>
            </w:pPr>
            <w:r>
              <w:rPr>
                <w:rFonts w:ascii="Arial" w:cs="Arial" w:eastAsia="Arial" w:hAnsi="Arial"/>
                <w:sz w:val="16"/>
                <w:szCs w:val="16"/>
                <w:color w:val="auto"/>
              </w:rPr>
              <w:t>344,904</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3980" w:type="dxa"/>
            <w:vAlign w:val="bottom"/>
          </w:tcPr>
          <w:p>
            <w:pPr>
              <w:spacing w:after="0"/>
              <w:rPr>
                <w:sz w:val="20"/>
                <w:szCs w:val="20"/>
                <w:color w:val="auto"/>
              </w:rPr>
            </w:pPr>
            <w:r>
              <w:rPr>
                <w:rFonts w:ascii="Arial" w:cs="Arial" w:eastAsia="Arial" w:hAnsi="Arial"/>
                <w:sz w:val="16"/>
                <w:szCs w:val="16"/>
                <w:color w:val="auto"/>
              </w:rPr>
              <w:t>David P. Falck</w:t>
            </w:r>
          </w:p>
        </w:tc>
        <w:tc>
          <w:tcPr>
            <w:tcW w:w="3520" w:type="dxa"/>
            <w:vAlign w:val="bottom"/>
          </w:tcPr>
          <w:p>
            <w:pPr>
              <w:jc w:val="right"/>
              <w:ind w:right="260"/>
              <w:spacing w:after="0"/>
              <w:rPr>
                <w:sz w:val="20"/>
                <w:szCs w:val="20"/>
                <w:color w:val="auto"/>
              </w:rPr>
            </w:pPr>
            <w:r>
              <w:rPr>
                <w:rFonts w:ascii="Arial" w:cs="Arial" w:eastAsia="Arial" w:hAnsi="Arial"/>
                <w:sz w:val="16"/>
                <w:szCs w:val="16"/>
                <w:color w:val="auto"/>
              </w:rPr>
              <w:t>8,025</w:t>
            </w:r>
          </w:p>
        </w:tc>
        <w:tc>
          <w:tcPr>
            <w:tcW w:w="720" w:type="dxa"/>
            <w:vAlign w:val="bottom"/>
            <w:gridSpan w:val="2"/>
          </w:tcPr>
          <w:p>
            <w:pPr>
              <w:jc w:val="right"/>
              <w:spacing w:after="0"/>
              <w:rPr>
                <w:sz w:val="20"/>
                <w:szCs w:val="20"/>
                <w:color w:val="auto"/>
              </w:rPr>
            </w:pPr>
            <w:r>
              <w:rPr>
                <w:rFonts w:ascii="Arial" w:cs="Arial" w:eastAsia="Arial" w:hAnsi="Arial"/>
                <w:sz w:val="16"/>
                <w:szCs w:val="16"/>
                <w:color w:val="auto"/>
              </w:rPr>
              <w:t>517,452</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Mark A. Schiavoni</w:t>
            </w:r>
          </w:p>
        </w:tc>
        <w:tc>
          <w:tcPr>
            <w:tcW w:w="352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8,025</w:t>
            </w:r>
          </w:p>
        </w:tc>
        <w:tc>
          <w:tcPr>
            <w:tcW w:w="720" w:type="dxa"/>
            <w:vAlign w:val="bottom"/>
            <w:gridSpan w:val="2"/>
            <w:shd w:val="clear" w:color="auto" w:fill="E3E5EB"/>
          </w:tcPr>
          <w:p>
            <w:pPr>
              <w:jc w:val="right"/>
              <w:spacing w:after="0"/>
              <w:rPr>
                <w:sz w:val="20"/>
                <w:szCs w:val="20"/>
                <w:color w:val="auto"/>
              </w:rPr>
            </w:pPr>
            <w:r>
              <w:rPr>
                <w:rFonts w:ascii="Arial" w:cs="Arial" w:eastAsia="Arial" w:hAnsi="Arial"/>
                <w:sz w:val="16"/>
                <w:szCs w:val="16"/>
                <w:color w:val="auto"/>
              </w:rPr>
              <w:t>517,452</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7"/>
        </w:trPr>
        <w:tc>
          <w:tcPr>
            <w:tcW w:w="3980" w:type="dxa"/>
            <w:vAlign w:val="bottom"/>
            <w:tcBorders>
              <w:bottom w:val="single" w:sz="8" w:color="888992"/>
            </w:tcBorders>
          </w:tcPr>
          <w:p>
            <w:pPr>
              <w:spacing w:after="0"/>
              <w:rPr>
                <w:sz w:val="3"/>
                <w:szCs w:val="3"/>
                <w:color w:val="auto"/>
              </w:rPr>
            </w:pPr>
          </w:p>
        </w:tc>
        <w:tc>
          <w:tcPr>
            <w:tcW w:w="3520" w:type="dxa"/>
            <w:vAlign w:val="bottom"/>
            <w:tcBorders>
              <w:bottom w:val="single" w:sz="8" w:color="888992"/>
            </w:tcBorders>
          </w:tcPr>
          <w:p>
            <w:pPr>
              <w:spacing w:after="0"/>
              <w:rPr>
                <w:sz w:val="3"/>
                <w:szCs w:val="3"/>
                <w:color w:val="auto"/>
              </w:rPr>
            </w:pPr>
          </w:p>
        </w:tc>
        <w:tc>
          <w:tcPr>
            <w:tcW w:w="60" w:type="dxa"/>
            <w:vAlign w:val="bottom"/>
            <w:tcBorders>
              <w:bottom w:val="single" w:sz="8" w:color="888992"/>
            </w:tcBorders>
          </w:tcPr>
          <w:p>
            <w:pPr>
              <w:spacing w:after="0"/>
              <w:rPr>
                <w:sz w:val="3"/>
                <w:szCs w:val="3"/>
                <w:color w:val="auto"/>
              </w:rPr>
            </w:pPr>
          </w:p>
        </w:tc>
        <w:tc>
          <w:tcPr>
            <w:tcW w:w="660" w:type="dxa"/>
            <w:vAlign w:val="bottom"/>
            <w:tcBorders>
              <w:bottom w:val="single" w:sz="8" w:color="888992"/>
            </w:tcBorders>
          </w:tcPr>
          <w:p>
            <w:pPr>
              <w:spacing w:after="0"/>
              <w:rPr>
                <w:sz w:val="3"/>
                <w:szCs w:val="3"/>
                <w:color w:val="auto"/>
              </w:rPr>
            </w:pPr>
          </w:p>
        </w:tc>
        <w:tc>
          <w:tcPr>
            <w:tcW w:w="168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179" w:lineRule="exact"/>
        <w:rPr>
          <w:sz w:val="20"/>
          <w:szCs w:val="20"/>
          <w:color w:val="auto"/>
        </w:rPr>
      </w:pPr>
    </w:p>
    <w:p>
      <w:pPr>
        <w:ind w:left="1860" w:right="120"/>
        <w:spacing w:after="0" w:line="253" w:lineRule="auto"/>
        <w:rPr>
          <w:sz w:val="20"/>
          <w:szCs w:val="20"/>
          <w:color w:val="auto"/>
        </w:rPr>
      </w:pPr>
      <w:r>
        <w:rPr>
          <w:rFonts w:ascii="Arial" w:cs="Arial" w:eastAsia="Arial" w:hAnsi="Arial"/>
          <w:sz w:val="16"/>
          <w:szCs w:val="16"/>
          <w:color w:val="auto"/>
        </w:rPr>
        <w:t>The 2014 performance shares have a performance period beginning on January 1, 2014 and ending on December 31, 2016; however, the payout, if any, will not be determined until February 2017 for the portion tied to TSR and October 2017 for the portion tied to the six operational performance metrics. These are the dates the Company anticipates that we will have the information necessary to determine whether, and to what extent, these metrics have been met.</w:t>
      </w:r>
    </w:p>
    <w:p>
      <w:pPr>
        <w:spacing w:after="0" w:line="156" w:lineRule="exact"/>
        <w:rPr>
          <w:sz w:val="20"/>
          <w:szCs w:val="20"/>
          <w:color w:val="auto"/>
        </w:rPr>
      </w:pPr>
    </w:p>
    <w:p>
      <w:pPr>
        <w:ind w:left="1860" w:right="20" w:hanging="490"/>
        <w:spacing w:after="0" w:line="245" w:lineRule="auto"/>
        <w:tabs>
          <w:tab w:leader="none" w:pos="1860" w:val="left"/>
        </w:tabs>
        <w:numPr>
          <w:ilvl w:val="0"/>
          <w:numId w:val="89"/>
        </w:numPr>
        <w:rPr>
          <w:rFonts w:ascii="Arial" w:cs="Arial" w:eastAsia="Arial" w:hAnsi="Arial"/>
          <w:sz w:val="16"/>
          <w:szCs w:val="16"/>
          <w:color w:val="auto"/>
        </w:rPr>
      </w:pPr>
      <w:r>
        <w:rPr>
          <w:rFonts w:ascii="Arial" w:cs="Arial" w:eastAsia="Arial" w:hAnsi="Arial"/>
          <w:sz w:val="16"/>
          <w:szCs w:val="16"/>
          <w:color w:val="auto"/>
        </w:rPr>
        <w:t>This amount represents the performance shares issued in 2013. The performance period for these performance shares ended December 31, 2015; however, the payout was not determined until February 2016 for the portion tied to TSR and the payout, if any, for the portion tied to the six operational performance metrics will not be determined until October 2016, which is when the Company anticipates that we will have the information necessary to determine whether, and to what extent, the six performance metrics were met. SEC rules require us to (i) assume a number of shares equal to the maximum (200% of Base Grant) payout level for the 2013 performance shares; and (ii) accrued dividend rights (and interest thereon) that will be paid in stock as follows: Mr. Brandt — 8,435; Mr. Hatfield — 1,476; Mr. Edington — 1,054; Mr. Falck — 1,476; and Mr. Schiavoni — 1,476. If the 2013 performance share grant pays at the target (100% of Base Grant) level, the amounts would be as follows:</w:t>
      </w:r>
    </w:p>
    <w:p>
      <w:pPr>
        <w:spacing w:after="0" w:line="164" w:lineRule="exact"/>
        <w:rPr>
          <w:sz w:val="20"/>
          <w:szCs w:val="20"/>
          <w:color w:val="auto"/>
        </w:rPr>
      </w:pPr>
    </w:p>
    <w:tbl>
      <w:tblPr>
        <w:tblLayout w:type="fixed"/>
        <w:tblInd w:w="1520" w:type="dxa"/>
        <w:tblCellMar>
          <w:top w:w="0" w:type="dxa"/>
          <w:left w:w="0" w:type="dxa"/>
          <w:bottom w:w="0" w:type="dxa"/>
          <w:right w:w="0" w:type="dxa"/>
        </w:tblCellMar>
      </w:tblPr>
      <w:tr>
        <w:trPr>
          <w:trHeight w:val="184"/>
        </w:trPr>
        <w:tc>
          <w:tcPr>
            <w:tcW w:w="3980" w:type="dxa"/>
            <w:vAlign w:val="bottom"/>
          </w:tcPr>
          <w:p>
            <w:pPr>
              <w:spacing w:after="0"/>
              <w:rPr>
                <w:sz w:val="16"/>
                <w:szCs w:val="16"/>
                <w:color w:val="auto"/>
              </w:rPr>
            </w:pPr>
          </w:p>
        </w:tc>
        <w:tc>
          <w:tcPr>
            <w:tcW w:w="3400" w:type="dxa"/>
            <w:vAlign w:val="bottom"/>
          </w:tcPr>
          <w:p>
            <w:pPr>
              <w:jc w:val="center"/>
              <w:ind w:left="2360"/>
              <w:spacing w:after="0"/>
              <w:rPr>
                <w:sz w:val="20"/>
                <w:szCs w:val="20"/>
                <w:color w:val="auto"/>
              </w:rPr>
            </w:pPr>
            <w:r>
              <w:rPr>
                <w:rFonts w:ascii="Arial" w:cs="Arial" w:eastAsia="Arial" w:hAnsi="Arial"/>
                <w:sz w:val="16"/>
                <w:szCs w:val="16"/>
                <w:b w:val="1"/>
                <w:bCs w:val="1"/>
                <w:color w:val="3A5575"/>
                <w:w w:val="97"/>
              </w:rPr>
              <w:t>UNITS AT</w:t>
            </w:r>
          </w:p>
        </w:tc>
        <w:tc>
          <w:tcPr>
            <w:tcW w:w="840" w:type="dxa"/>
            <w:vAlign w:val="bottom"/>
          </w:tcPr>
          <w:p>
            <w:pPr>
              <w:jc w:val="center"/>
              <w:ind w:left="40"/>
              <w:spacing w:after="0"/>
              <w:rPr>
                <w:sz w:val="20"/>
                <w:szCs w:val="20"/>
                <w:color w:val="auto"/>
              </w:rPr>
            </w:pPr>
            <w:r>
              <w:rPr>
                <w:rFonts w:ascii="Arial" w:cs="Arial" w:eastAsia="Arial" w:hAnsi="Arial"/>
                <w:sz w:val="16"/>
                <w:szCs w:val="16"/>
                <w:b w:val="1"/>
                <w:bCs w:val="1"/>
                <w:color w:val="3A5575"/>
                <w:w w:val="95"/>
              </w:rPr>
              <w:t>PAYOUT</w:t>
            </w:r>
          </w:p>
        </w:tc>
      </w:tr>
      <w:tr>
        <w:trPr>
          <w:trHeight w:val="184"/>
        </w:trPr>
        <w:tc>
          <w:tcPr>
            <w:tcW w:w="3980" w:type="dxa"/>
            <w:vAlign w:val="bottom"/>
          </w:tcPr>
          <w:p>
            <w:pPr>
              <w:spacing w:after="0"/>
              <w:rPr>
                <w:sz w:val="16"/>
                <w:szCs w:val="16"/>
                <w:color w:val="auto"/>
              </w:rPr>
            </w:pPr>
          </w:p>
        </w:tc>
        <w:tc>
          <w:tcPr>
            <w:tcW w:w="3400" w:type="dxa"/>
            <w:vAlign w:val="bottom"/>
          </w:tcPr>
          <w:p>
            <w:pPr>
              <w:jc w:val="center"/>
              <w:ind w:left="2360"/>
              <w:spacing w:after="0"/>
              <w:rPr>
                <w:sz w:val="20"/>
                <w:szCs w:val="20"/>
                <w:color w:val="auto"/>
              </w:rPr>
            </w:pPr>
            <w:r>
              <w:rPr>
                <w:rFonts w:ascii="Arial" w:cs="Arial" w:eastAsia="Arial" w:hAnsi="Arial"/>
                <w:sz w:val="16"/>
                <w:szCs w:val="16"/>
                <w:b w:val="1"/>
                <w:bCs w:val="1"/>
                <w:color w:val="3A5575"/>
                <w:w w:val="97"/>
              </w:rPr>
              <w:t>TARGET</w:t>
            </w:r>
          </w:p>
        </w:tc>
        <w:tc>
          <w:tcPr>
            <w:tcW w:w="840" w:type="dxa"/>
            <w:vAlign w:val="bottom"/>
          </w:tcPr>
          <w:p>
            <w:pPr>
              <w:jc w:val="center"/>
              <w:ind w:left="40"/>
              <w:spacing w:after="0"/>
              <w:rPr>
                <w:sz w:val="20"/>
                <w:szCs w:val="20"/>
                <w:color w:val="auto"/>
              </w:rPr>
            </w:pPr>
            <w:r>
              <w:rPr>
                <w:rFonts w:ascii="Arial" w:cs="Arial" w:eastAsia="Arial" w:hAnsi="Arial"/>
                <w:sz w:val="16"/>
                <w:szCs w:val="16"/>
                <w:b w:val="1"/>
                <w:bCs w:val="1"/>
                <w:color w:val="3A5575"/>
                <w:w w:val="95"/>
              </w:rPr>
              <w:t>VALUE</w:t>
            </w:r>
          </w:p>
        </w:tc>
      </w:tr>
      <w:tr>
        <w:trPr>
          <w:trHeight w:val="232"/>
        </w:trPr>
        <w:tc>
          <w:tcPr>
            <w:tcW w:w="3980" w:type="dxa"/>
            <w:vAlign w:val="bottom"/>
            <w:tcBorders>
              <w:bottom w:val="single" w:sz="8" w:color="646466"/>
            </w:tcBorders>
          </w:tcPr>
          <w:p>
            <w:pPr>
              <w:spacing w:after="0"/>
              <w:rPr>
                <w:sz w:val="20"/>
                <w:szCs w:val="20"/>
                <w:color w:val="auto"/>
              </w:rPr>
            </w:pPr>
            <w:r>
              <w:rPr>
                <w:rFonts w:ascii="Arial" w:cs="Arial" w:eastAsia="Arial" w:hAnsi="Arial"/>
                <w:sz w:val="16"/>
                <w:szCs w:val="16"/>
                <w:b w:val="1"/>
                <w:bCs w:val="1"/>
                <w:color w:val="3A5575"/>
              </w:rPr>
              <w:t>NAME</w:t>
            </w:r>
          </w:p>
        </w:tc>
        <w:tc>
          <w:tcPr>
            <w:tcW w:w="3400" w:type="dxa"/>
            <w:vAlign w:val="bottom"/>
            <w:tcBorders>
              <w:bottom w:val="single" w:sz="8" w:color="646466"/>
            </w:tcBorders>
          </w:tcPr>
          <w:p>
            <w:pPr>
              <w:jc w:val="center"/>
              <w:ind w:left="2360"/>
              <w:spacing w:after="0"/>
              <w:rPr>
                <w:sz w:val="20"/>
                <w:szCs w:val="20"/>
                <w:color w:val="auto"/>
              </w:rPr>
            </w:pPr>
            <w:r>
              <w:rPr>
                <w:rFonts w:ascii="Arial" w:cs="Arial" w:eastAsia="Arial" w:hAnsi="Arial"/>
                <w:sz w:val="16"/>
                <w:szCs w:val="16"/>
                <w:b w:val="1"/>
                <w:bCs w:val="1"/>
                <w:color w:val="3A5575"/>
              </w:rPr>
              <w:t>(#)</w:t>
            </w:r>
          </w:p>
        </w:tc>
        <w:tc>
          <w:tcPr>
            <w:tcW w:w="840" w:type="dxa"/>
            <w:vAlign w:val="bottom"/>
            <w:tcBorders>
              <w:bottom w:val="single" w:sz="8" w:color="646466"/>
            </w:tcBorders>
          </w:tcPr>
          <w:p>
            <w:pPr>
              <w:jc w:val="center"/>
              <w:ind w:left="40"/>
              <w:spacing w:after="0"/>
              <w:rPr>
                <w:sz w:val="20"/>
                <w:szCs w:val="20"/>
                <w:color w:val="auto"/>
              </w:rPr>
            </w:pPr>
            <w:r>
              <w:rPr>
                <w:rFonts w:ascii="Arial" w:cs="Arial" w:eastAsia="Arial" w:hAnsi="Arial"/>
                <w:sz w:val="16"/>
                <w:szCs w:val="16"/>
                <w:b w:val="1"/>
                <w:bCs w:val="1"/>
                <w:color w:val="3A5575"/>
              </w:rPr>
              <w:t>($)</w:t>
            </w: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Donald E. Brandt</w:t>
            </w:r>
          </w:p>
        </w:tc>
        <w:tc>
          <w:tcPr>
            <w:tcW w:w="3400" w:type="dxa"/>
            <w:vAlign w:val="bottom"/>
            <w:shd w:val="clear" w:color="auto" w:fill="E3E5EB"/>
          </w:tcPr>
          <w:p>
            <w:pPr>
              <w:jc w:val="right"/>
              <w:ind w:right="140"/>
              <w:spacing w:after="0"/>
              <w:rPr>
                <w:sz w:val="20"/>
                <w:szCs w:val="20"/>
                <w:color w:val="auto"/>
              </w:rPr>
            </w:pPr>
            <w:r>
              <w:rPr>
                <w:rFonts w:ascii="Arial" w:cs="Arial" w:eastAsia="Arial" w:hAnsi="Arial"/>
                <w:sz w:val="16"/>
                <w:szCs w:val="16"/>
                <w:color w:val="auto"/>
              </w:rPr>
              <w:t>44,231</w:t>
            </w:r>
          </w:p>
        </w:tc>
        <w:tc>
          <w:tcPr>
            <w:tcW w:w="8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2,852,015</w:t>
            </w:r>
          </w:p>
        </w:tc>
      </w:tr>
      <w:tr>
        <w:trPr>
          <w:trHeight w:val="184"/>
        </w:trPr>
        <w:tc>
          <w:tcPr>
            <w:tcW w:w="3980" w:type="dxa"/>
            <w:vAlign w:val="bottom"/>
          </w:tcPr>
          <w:p>
            <w:pPr>
              <w:spacing w:after="0"/>
              <w:rPr>
                <w:sz w:val="20"/>
                <w:szCs w:val="20"/>
                <w:color w:val="auto"/>
              </w:rPr>
            </w:pPr>
            <w:r>
              <w:rPr>
                <w:rFonts w:ascii="Arial" w:cs="Arial" w:eastAsia="Arial" w:hAnsi="Arial"/>
                <w:sz w:val="16"/>
                <w:szCs w:val="16"/>
                <w:color w:val="auto"/>
              </w:rPr>
              <w:t>James R. Hatfield</w:t>
            </w:r>
          </w:p>
        </w:tc>
        <w:tc>
          <w:tcPr>
            <w:tcW w:w="3400" w:type="dxa"/>
            <w:vAlign w:val="bottom"/>
          </w:tcPr>
          <w:p>
            <w:pPr>
              <w:jc w:val="right"/>
              <w:ind w:right="140"/>
              <w:spacing w:after="0"/>
              <w:rPr>
                <w:sz w:val="20"/>
                <w:szCs w:val="20"/>
                <w:color w:val="auto"/>
              </w:rPr>
            </w:pPr>
            <w:r>
              <w:rPr>
                <w:rFonts w:ascii="Arial" w:cs="Arial" w:eastAsia="Arial" w:hAnsi="Arial"/>
                <w:sz w:val="16"/>
                <w:szCs w:val="16"/>
                <w:color w:val="auto"/>
              </w:rPr>
              <w:t>7,742</w:t>
            </w:r>
          </w:p>
        </w:tc>
        <w:tc>
          <w:tcPr>
            <w:tcW w:w="840" w:type="dxa"/>
            <w:vAlign w:val="bottom"/>
          </w:tcPr>
          <w:p>
            <w:pPr>
              <w:jc w:val="right"/>
              <w:spacing w:after="0"/>
              <w:rPr>
                <w:sz w:val="20"/>
                <w:szCs w:val="20"/>
                <w:color w:val="auto"/>
              </w:rPr>
            </w:pPr>
            <w:r>
              <w:rPr>
                <w:rFonts w:ascii="Arial" w:cs="Arial" w:eastAsia="Arial" w:hAnsi="Arial"/>
                <w:sz w:val="16"/>
                <w:szCs w:val="16"/>
                <w:color w:val="auto"/>
              </w:rPr>
              <w:t>499,204</w:t>
            </w: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Randall K. Edington</w:t>
            </w:r>
          </w:p>
        </w:tc>
        <w:tc>
          <w:tcPr>
            <w:tcW w:w="3400" w:type="dxa"/>
            <w:vAlign w:val="bottom"/>
            <w:shd w:val="clear" w:color="auto" w:fill="E3E5EB"/>
          </w:tcPr>
          <w:p>
            <w:pPr>
              <w:jc w:val="right"/>
              <w:ind w:right="140"/>
              <w:spacing w:after="0"/>
              <w:rPr>
                <w:sz w:val="20"/>
                <w:szCs w:val="20"/>
                <w:color w:val="auto"/>
              </w:rPr>
            </w:pPr>
            <w:r>
              <w:rPr>
                <w:rFonts w:ascii="Arial" w:cs="Arial" w:eastAsia="Arial" w:hAnsi="Arial"/>
                <w:sz w:val="16"/>
                <w:szCs w:val="16"/>
                <w:color w:val="auto"/>
              </w:rPr>
              <w:t>5,529</w:t>
            </w:r>
          </w:p>
        </w:tc>
        <w:tc>
          <w:tcPr>
            <w:tcW w:w="8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356,510</w:t>
            </w:r>
          </w:p>
        </w:tc>
      </w:tr>
      <w:tr>
        <w:trPr>
          <w:trHeight w:val="184"/>
        </w:trPr>
        <w:tc>
          <w:tcPr>
            <w:tcW w:w="3980" w:type="dxa"/>
            <w:vAlign w:val="bottom"/>
          </w:tcPr>
          <w:p>
            <w:pPr>
              <w:spacing w:after="0"/>
              <w:rPr>
                <w:sz w:val="20"/>
                <w:szCs w:val="20"/>
                <w:color w:val="auto"/>
              </w:rPr>
            </w:pPr>
            <w:r>
              <w:rPr>
                <w:rFonts w:ascii="Arial" w:cs="Arial" w:eastAsia="Arial" w:hAnsi="Arial"/>
                <w:sz w:val="16"/>
                <w:szCs w:val="16"/>
                <w:color w:val="auto"/>
              </w:rPr>
              <w:t>David P. Falck</w:t>
            </w:r>
          </w:p>
        </w:tc>
        <w:tc>
          <w:tcPr>
            <w:tcW w:w="3400" w:type="dxa"/>
            <w:vAlign w:val="bottom"/>
          </w:tcPr>
          <w:p>
            <w:pPr>
              <w:jc w:val="right"/>
              <w:ind w:right="140"/>
              <w:spacing w:after="0"/>
              <w:rPr>
                <w:sz w:val="20"/>
                <w:szCs w:val="20"/>
                <w:color w:val="auto"/>
              </w:rPr>
            </w:pPr>
            <w:r>
              <w:rPr>
                <w:rFonts w:ascii="Arial" w:cs="Arial" w:eastAsia="Arial" w:hAnsi="Arial"/>
                <w:sz w:val="16"/>
                <w:szCs w:val="16"/>
                <w:color w:val="auto"/>
              </w:rPr>
              <w:t>7,742</w:t>
            </w:r>
          </w:p>
        </w:tc>
        <w:tc>
          <w:tcPr>
            <w:tcW w:w="840" w:type="dxa"/>
            <w:vAlign w:val="bottom"/>
          </w:tcPr>
          <w:p>
            <w:pPr>
              <w:jc w:val="right"/>
              <w:spacing w:after="0"/>
              <w:rPr>
                <w:sz w:val="20"/>
                <w:szCs w:val="20"/>
                <w:color w:val="auto"/>
              </w:rPr>
            </w:pPr>
            <w:r>
              <w:rPr>
                <w:rFonts w:ascii="Arial" w:cs="Arial" w:eastAsia="Arial" w:hAnsi="Arial"/>
                <w:sz w:val="16"/>
                <w:szCs w:val="16"/>
                <w:color w:val="auto"/>
              </w:rPr>
              <w:t>499,204</w:t>
            </w:r>
          </w:p>
        </w:tc>
      </w:tr>
      <w:tr>
        <w:trPr>
          <w:trHeight w:val="184"/>
        </w:trPr>
        <w:tc>
          <w:tcPr>
            <w:tcW w:w="3980" w:type="dxa"/>
            <w:vAlign w:val="bottom"/>
            <w:shd w:val="clear" w:color="auto" w:fill="E3E5EB"/>
          </w:tcPr>
          <w:p>
            <w:pPr>
              <w:spacing w:after="0"/>
              <w:rPr>
                <w:sz w:val="20"/>
                <w:szCs w:val="20"/>
                <w:color w:val="auto"/>
              </w:rPr>
            </w:pPr>
            <w:r>
              <w:rPr>
                <w:rFonts w:ascii="Arial" w:cs="Arial" w:eastAsia="Arial" w:hAnsi="Arial"/>
                <w:sz w:val="16"/>
                <w:szCs w:val="16"/>
                <w:color w:val="auto"/>
              </w:rPr>
              <w:t>Mark A. Schiavoni</w:t>
            </w:r>
          </w:p>
        </w:tc>
        <w:tc>
          <w:tcPr>
            <w:tcW w:w="3400" w:type="dxa"/>
            <w:vAlign w:val="bottom"/>
            <w:shd w:val="clear" w:color="auto" w:fill="E3E5EB"/>
          </w:tcPr>
          <w:p>
            <w:pPr>
              <w:jc w:val="right"/>
              <w:ind w:right="140"/>
              <w:spacing w:after="0"/>
              <w:rPr>
                <w:sz w:val="20"/>
                <w:szCs w:val="20"/>
                <w:color w:val="auto"/>
              </w:rPr>
            </w:pPr>
            <w:r>
              <w:rPr>
                <w:rFonts w:ascii="Arial" w:cs="Arial" w:eastAsia="Arial" w:hAnsi="Arial"/>
                <w:sz w:val="16"/>
                <w:szCs w:val="16"/>
                <w:color w:val="auto"/>
              </w:rPr>
              <w:t>7,742</w:t>
            </w:r>
          </w:p>
        </w:tc>
        <w:tc>
          <w:tcPr>
            <w:tcW w:w="840" w:type="dxa"/>
            <w:vAlign w:val="bottom"/>
            <w:shd w:val="clear" w:color="auto" w:fill="E3E5EB"/>
          </w:tcPr>
          <w:p>
            <w:pPr>
              <w:jc w:val="right"/>
              <w:spacing w:after="0"/>
              <w:rPr>
                <w:sz w:val="20"/>
                <w:szCs w:val="20"/>
                <w:color w:val="auto"/>
              </w:rPr>
            </w:pPr>
            <w:r>
              <w:rPr>
                <w:rFonts w:ascii="Arial" w:cs="Arial" w:eastAsia="Arial" w:hAnsi="Arial"/>
                <w:sz w:val="16"/>
                <w:szCs w:val="16"/>
                <w:color w:val="auto"/>
              </w:rPr>
              <w:t>499,204</w:t>
            </w:r>
          </w:p>
        </w:tc>
      </w:tr>
      <w:tr>
        <w:trPr>
          <w:trHeight w:val="37"/>
        </w:trPr>
        <w:tc>
          <w:tcPr>
            <w:tcW w:w="3980" w:type="dxa"/>
            <w:vAlign w:val="bottom"/>
            <w:tcBorders>
              <w:bottom w:val="single" w:sz="8" w:color="888992"/>
            </w:tcBorders>
          </w:tcPr>
          <w:p>
            <w:pPr>
              <w:spacing w:after="0"/>
              <w:rPr>
                <w:sz w:val="3"/>
                <w:szCs w:val="3"/>
                <w:color w:val="auto"/>
              </w:rPr>
            </w:pPr>
          </w:p>
        </w:tc>
        <w:tc>
          <w:tcPr>
            <w:tcW w:w="3400" w:type="dxa"/>
            <w:vAlign w:val="bottom"/>
            <w:tcBorders>
              <w:bottom w:val="single" w:sz="8" w:color="888992"/>
            </w:tcBorders>
          </w:tcPr>
          <w:p>
            <w:pPr>
              <w:spacing w:after="0"/>
              <w:rPr>
                <w:sz w:val="3"/>
                <w:szCs w:val="3"/>
                <w:color w:val="auto"/>
              </w:rPr>
            </w:pPr>
          </w:p>
        </w:tc>
        <w:tc>
          <w:tcPr>
            <w:tcW w:w="840" w:type="dxa"/>
            <w:vAlign w:val="bottom"/>
            <w:tcBorders>
              <w:bottom w:val="single" w:sz="8" w:color="888992"/>
            </w:tcBorders>
          </w:tcPr>
          <w:p>
            <w:pPr>
              <w:spacing w:after="0"/>
              <w:rPr>
                <w:sz w:val="3"/>
                <w:szCs w:val="3"/>
                <w:color w:val="auto"/>
              </w:rPr>
            </w:pPr>
          </w:p>
        </w:tc>
      </w:tr>
    </w:tbl>
    <w:p>
      <w:pPr>
        <w:spacing w:after="0" w:line="163"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Option Exercises and Stock Vested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31750</wp:posOffset>
            </wp:positionV>
            <wp:extent cx="7259320" cy="762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tbl>
      <w:tblPr>
        <w:tblLayout w:type="fixed"/>
        <w:tblInd w:w="0" w:type="dxa"/>
        <w:tblCellMar>
          <w:top w:w="0" w:type="dxa"/>
          <w:left w:w="0" w:type="dxa"/>
          <w:bottom w:w="0" w:type="dxa"/>
          <w:right w:w="0" w:type="dxa"/>
        </w:tblCellMar>
      </w:tblPr>
      <w:tr>
        <w:trPr>
          <w:trHeight w:val="255"/>
        </w:trPr>
        <w:tc>
          <w:tcPr>
            <w:tcW w:w="14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100" w:type="dxa"/>
            <w:vAlign w:val="bottom"/>
          </w:tcPr>
          <w:p>
            <w:pPr>
              <w:spacing w:after="0"/>
              <w:rPr>
                <w:sz w:val="22"/>
                <w:szCs w:val="22"/>
                <w:color w:val="auto"/>
              </w:rPr>
            </w:pPr>
          </w:p>
        </w:tc>
        <w:tc>
          <w:tcPr>
            <w:tcW w:w="4260" w:type="dxa"/>
            <w:vAlign w:val="bottom"/>
            <w:tcBorders>
              <w:bottom w:val="single" w:sz="8" w:color="3A5575"/>
            </w:tcBorders>
            <w:gridSpan w:val="2"/>
          </w:tcPr>
          <w:p>
            <w:pPr>
              <w:jc w:val="right"/>
              <w:ind w:right="1022"/>
              <w:spacing w:after="0"/>
              <w:rPr>
                <w:sz w:val="20"/>
                <w:szCs w:val="20"/>
                <w:color w:val="auto"/>
              </w:rPr>
            </w:pPr>
            <w:r>
              <w:rPr>
                <w:rFonts w:ascii="Arial" w:cs="Arial" w:eastAsia="Arial" w:hAnsi="Arial"/>
                <w:sz w:val="20"/>
                <w:szCs w:val="20"/>
                <w:b w:val="1"/>
                <w:bCs w:val="1"/>
                <w:color w:val="3A5575"/>
              </w:rPr>
              <w:t>STOCK AWARDS</w:t>
            </w:r>
          </w:p>
        </w:tc>
        <w:tc>
          <w:tcPr>
            <w:tcW w:w="1600" w:type="dxa"/>
            <w:vAlign w:val="bottom"/>
          </w:tcPr>
          <w:p>
            <w:pPr>
              <w:spacing w:after="0"/>
              <w:rPr>
                <w:sz w:val="22"/>
                <w:szCs w:val="22"/>
                <w:color w:val="auto"/>
              </w:rPr>
            </w:pPr>
          </w:p>
        </w:tc>
      </w:tr>
      <w:tr>
        <w:trPr>
          <w:trHeight w:val="183"/>
        </w:trPr>
        <w:tc>
          <w:tcPr>
            <w:tcW w:w="14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100" w:type="dxa"/>
            <w:vAlign w:val="bottom"/>
          </w:tcPr>
          <w:p>
            <w:pPr>
              <w:spacing w:after="0"/>
              <w:rPr>
                <w:sz w:val="15"/>
                <w:szCs w:val="15"/>
                <w:color w:val="auto"/>
              </w:rPr>
            </w:pPr>
          </w:p>
        </w:tc>
        <w:tc>
          <w:tcPr>
            <w:tcW w:w="2460" w:type="dxa"/>
            <w:vAlign w:val="bottom"/>
          </w:tcPr>
          <w:p>
            <w:pPr>
              <w:jc w:val="center"/>
              <w:ind w:right="4"/>
              <w:spacing w:after="0" w:line="184" w:lineRule="exact"/>
              <w:rPr>
                <w:sz w:val="20"/>
                <w:szCs w:val="20"/>
                <w:color w:val="auto"/>
              </w:rPr>
            </w:pPr>
            <w:r>
              <w:rPr>
                <w:rFonts w:ascii="Arial" w:cs="Arial" w:eastAsia="Arial" w:hAnsi="Arial"/>
                <w:sz w:val="20"/>
                <w:szCs w:val="20"/>
                <w:color w:val="3A5575"/>
                <w:w w:val="98"/>
              </w:rPr>
              <w:t>NUMBER OF SHARES</w:t>
            </w:r>
          </w:p>
        </w:tc>
        <w:tc>
          <w:tcPr>
            <w:tcW w:w="1800" w:type="dxa"/>
            <w:vAlign w:val="bottom"/>
          </w:tcPr>
          <w:p>
            <w:pPr>
              <w:jc w:val="center"/>
              <w:spacing w:after="0" w:line="184" w:lineRule="exact"/>
              <w:rPr>
                <w:sz w:val="20"/>
                <w:szCs w:val="20"/>
                <w:color w:val="auto"/>
              </w:rPr>
            </w:pPr>
            <w:r>
              <w:rPr>
                <w:rFonts w:ascii="Arial" w:cs="Arial" w:eastAsia="Arial" w:hAnsi="Arial"/>
                <w:sz w:val="20"/>
                <w:szCs w:val="20"/>
                <w:color w:val="3A5575"/>
                <w:w w:val="97"/>
              </w:rPr>
              <w:t>VALUE REALIZED</w:t>
            </w:r>
          </w:p>
        </w:tc>
        <w:tc>
          <w:tcPr>
            <w:tcW w:w="1600" w:type="dxa"/>
            <w:vAlign w:val="bottom"/>
          </w:tcPr>
          <w:p>
            <w:pPr>
              <w:spacing w:after="0"/>
              <w:rPr>
                <w:sz w:val="15"/>
                <w:szCs w:val="15"/>
                <w:color w:val="auto"/>
              </w:rPr>
            </w:pPr>
          </w:p>
        </w:tc>
      </w:tr>
      <w:tr>
        <w:trPr>
          <w:trHeight w:val="230"/>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100" w:type="dxa"/>
            <w:vAlign w:val="bottom"/>
          </w:tcPr>
          <w:p>
            <w:pPr>
              <w:spacing w:after="0"/>
              <w:rPr>
                <w:sz w:val="19"/>
                <w:szCs w:val="19"/>
                <w:color w:val="auto"/>
              </w:rPr>
            </w:pPr>
          </w:p>
        </w:tc>
        <w:tc>
          <w:tcPr>
            <w:tcW w:w="2460" w:type="dxa"/>
            <w:vAlign w:val="bottom"/>
          </w:tcPr>
          <w:p>
            <w:pPr>
              <w:jc w:val="center"/>
              <w:ind w:right="24"/>
              <w:spacing w:after="0"/>
              <w:rPr>
                <w:sz w:val="20"/>
                <w:szCs w:val="20"/>
                <w:color w:val="auto"/>
              </w:rPr>
            </w:pPr>
            <w:r>
              <w:rPr>
                <w:rFonts w:ascii="Arial" w:cs="Arial" w:eastAsia="Arial" w:hAnsi="Arial"/>
                <w:sz w:val="20"/>
                <w:szCs w:val="20"/>
                <w:color w:val="3A5575"/>
                <w:w w:val="98"/>
              </w:rPr>
              <w:t>ACQUIRED ON VESTING</w:t>
            </w:r>
          </w:p>
        </w:tc>
        <w:tc>
          <w:tcPr>
            <w:tcW w:w="1800" w:type="dxa"/>
            <w:vAlign w:val="bottom"/>
          </w:tcPr>
          <w:p>
            <w:pPr>
              <w:jc w:val="center"/>
              <w:ind w:left="2"/>
              <w:spacing w:after="0"/>
              <w:rPr>
                <w:sz w:val="20"/>
                <w:szCs w:val="20"/>
                <w:color w:val="auto"/>
              </w:rPr>
            </w:pPr>
            <w:r>
              <w:rPr>
                <w:rFonts w:ascii="Arial" w:cs="Arial" w:eastAsia="Arial" w:hAnsi="Arial"/>
                <w:sz w:val="20"/>
                <w:szCs w:val="20"/>
                <w:color w:val="3A5575"/>
                <w:w w:val="98"/>
              </w:rPr>
              <w:t>ON VESTING</w:t>
            </w:r>
          </w:p>
        </w:tc>
        <w:tc>
          <w:tcPr>
            <w:tcW w:w="1600" w:type="dxa"/>
            <w:vAlign w:val="bottom"/>
          </w:tcPr>
          <w:p>
            <w:pPr>
              <w:spacing w:after="0"/>
              <w:rPr>
                <w:sz w:val="19"/>
                <w:szCs w:val="19"/>
                <w:color w:val="auto"/>
              </w:rPr>
            </w:pPr>
          </w:p>
        </w:tc>
      </w:tr>
      <w:tr>
        <w:trPr>
          <w:trHeight w:val="291"/>
        </w:trPr>
        <w:tc>
          <w:tcPr>
            <w:tcW w:w="1460" w:type="dxa"/>
            <w:vAlign w:val="bottom"/>
          </w:tcPr>
          <w:p>
            <w:pPr>
              <w:spacing w:after="0"/>
              <w:rPr>
                <w:sz w:val="24"/>
                <w:szCs w:val="24"/>
                <w:color w:val="auto"/>
              </w:rPr>
            </w:pPr>
          </w:p>
        </w:tc>
        <w:tc>
          <w:tcPr>
            <w:tcW w:w="4120" w:type="dxa"/>
            <w:vAlign w:val="bottom"/>
            <w:tcBorders>
              <w:bottom w:val="single" w:sz="8" w:color="auto"/>
            </w:tcBorders>
            <w:gridSpan w:val="2"/>
          </w:tcPr>
          <w:p>
            <w:pPr>
              <w:spacing w:after="0"/>
              <w:rPr>
                <w:sz w:val="20"/>
                <w:szCs w:val="20"/>
                <w:color w:val="auto"/>
              </w:rPr>
            </w:pPr>
            <w:r>
              <w:rPr>
                <w:rFonts w:ascii="Arial" w:cs="Arial" w:eastAsia="Arial" w:hAnsi="Arial"/>
                <w:sz w:val="20"/>
                <w:szCs w:val="20"/>
                <w:b w:val="1"/>
                <w:bCs w:val="1"/>
                <w:color w:val="3A5575"/>
              </w:rPr>
              <w:t>NAME</w:t>
            </w:r>
          </w:p>
        </w:tc>
        <w:tc>
          <w:tcPr>
            <w:tcW w:w="2460" w:type="dxa"/>
            <w:vAlign w:val="bottom"/>
            <w:tcBorders>
              <w:bottom w:val="single" w:sz="8" w:color="auto"/>
            </w:tcBorders>
          </w:tcPr>
          <w:p>
            <w:pPr>
              <w:jc w:val="center"/>
              <w:ind w:right="4"/>
              <w:spacing w:after="0" w:line="290" w:lineRule="exact"/>
              <w:rPr>
                <w:sz w:val="20"/>
                <w:szCs w:val="20"/>
                <w:color w:val="auto"/>
              </w:rPr>
            </w:pPr>
            <w:r>
              <w:rPr>
                <w:rFonts w:ascii="Arial" w:cs="Arial" w:eastAsia="Arial" w:hAnsi="Arial"/>
                <w:sz w:val="20"/>
                <w:szCs w:val="20"/>
                <w:color w:val="3A5575"/>
                <w:w w:val="87"/>
              </w:rPr>
              <w:t>(#)</w:t>
            </w:r>
            <w:r>
              <w:rPr>
                <w:rFonts w:ascii="Arial" w:cs="Arial" w:eastAsia="Arial" w:hAnsi="Arial"/>
                <w:sz w:val="32"/>
                <w:szCs w:val="32"/>
                <w:color w:val="3A5575"/>
                <w:w w:val="87"/>
                <w:vertAlign w:val="superscript"/>
              </w:rPr>
              <w:t>(1)</w:t>
            </w:r>
          </w:p>
        </w:tc>
        <w:tc>
          <w:tcPr>
            <w:tcW w:w="1800" w:type="dxa"/>
            <w:vAlign w:val="bottom"/>
            <w:tcBorders>
              <w:bottom w:val="single" w:sz="8" w:color="auto"/>
            </w:tcBorders>
          </w:tcPr>
          <w:p>
            <w:pPr>
              <w:jc w:val="center"/>
              <w:spacing w:after="0" w:line="290" w:lineRule="exact"/>
              <w:rPr>
                <w:sz w:val="20"/>
                <w:szCs w:val="20"/>
                <w:color w:val="auto"/>
              </w:rPr>
            </w:pPr>
            <w:r>
              <w:rPr>
                <w:rFonts w:ascii="Arial" w:cs="Arial" w:eastAsia="Arial" w:hAnsi="Arial"/>
                <w:sz w:val="20"/>
                <w:szCs w:val="20"/>
                <w:color w:val="3A5575"/>
                <w:w w:val="87"/>
              </w:rPr>
              <w:t>($)</w:t>
            </w:r>
            <w:r>
              <w:rPr>
                <w:rFonts w:ascii="Arial" w:cs="Arial" w:eastAsia="Arial" w:hAnsi="Arial"/>
                <w:sz w:val="32"/>
                <w:szCs w:val="32"/>
                <w:color w:val="3A5575"/>
                <w:w w:val="87"/>
                <w:vertAlign w:val="superscript"/>
              </w:rPr>
              <w:t>(2)</w:t>
            </w:r>
          </w:p>
        </w:tc>
        <w:tc>
          <w:tcPr>
            <w:tcW w:w="1600" w:type="dxa"/>
            <w:vAlign w:val="bottom"/>
          </w:tcPr>
          <w:p>
            <w:pPr>
              <w:spacing w:after="0"/>
              <w:rPr>
                <w:sz w:val="24"/>
                <w:szCs w:val="24"/>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100" w:type="dxa"/>
            <w:vAlign w:val="bottom"/>
            <w:tcBorders>
              <w:bottom w:val="single" w:sz="8" w:color="auto"/>
            </w:tcBorders>
            <w:shd w:val="clear" w:color="auto" w:fill="E3E5EB"/>
          </w:tcPr>
          <w:p>
            <w:pPr>
              <w:spacing w:after="0" w:line="213" w:lineRule="exact"/>
              <w:rPr>
                <w:sz w:val="20"/>
                <w:szCs w:val="20"/>
                <w:color w:val="auto"/>
              </w:rPr>
            </w:pPr>
            <w:r>
              <w:rPr>
                <w:rFonts w:ascii="Arial" w:cs="Arial" w:eastAsia="Arial" w:hAnsi="Arial"/>
                <w:sz w:val="20"/>
                <w:szCs w:val="20"/>
                <w:color w:val="auto"/>
              </w:rPr>
              <w:t>Donald E. Brandt</w:t>
            </w:r>
          </w:p>
        </w:tc>
        <w:tc>
          <w:tcPr>
            <w:tcW w:w="2460" w:type="dxa"/>
            <w:vAlign w:val="bottom"/>
            <w:tcBorders>
              <w:bottom w:val="single" w:sz="8" w:color="auto"/>
            </w:tcBorders>
            <w:shd w:val="clear" w:color="auto" w:fill="E3E5EB"/>
          </w:tcPr>
          <w:p>
            <w:pPr>
              <w:jc w:val="right"/>
              <w:ind w:right="824"/>
              <w:spacing w:after="0" w:line="213" w:lineRule="exact"/>
              <w:rPr>
                <w:sz w:val="20"/>
                <w:szCs w:val="20"/>
                <w:color w:val="auto"/>
              </w:rPr>
            </w:pPr>
            <w:r>
              <w:rPr>
                <w:rFonts w:ascii="Arial" w:cs="Arial" w:eastAsia="Arial" w:hAnsi="Arial"/>
                <w:sz w:val="20"/>
                <w:szCs w:val="20"/>
                <w:color w:val="auto"/>
              </w:rPr>
              <w:t>111,927</w:t>
            </w:r>
          </w:p>
        </w:tc>
        <w:tc>
          <w:tcPr>
            <w:tcW w:w="1800" w:type="dxa"/>
            <w:vAlign w:val="bottom"/>
            <w:tcBorders>
              <w:bottom w:val="single" w:sz="8" w:color="auto"/>
            </w:tcBorders>
            <w:shd w:val="clear" w:color="auto" w:fill="E3E5EB"/>
          </w:tcPr>
          <w:p>
            <w:pPr>
              <w:jc w:val="right"/>
              <w:ind w:right="322"/>
              <w:spacing w:after="0" w:line="213" w:lineRule="exact"/>
              <w:rPr>
                <w:sz w:val="20"/>
                <w:szCs w:val="20"/>
                <w:color w:val="auto"/>
              </w:rPr>
            </w:pPr>
            <w:r>
              <w:rPr>
                <w:rFonts w:ascii="Arial" w:cs="Arial" w:eastAsia="Arial" w:hAnsi="Arial"/>
                <w:sz w:val="20"/>
                <w:szCs w:val="20"/>
                <w:color w:val="auto"/>
              </w:rPr>
              <w:t>7,327,599</w:t>
            </w:r>
          </w:p>
        </w:tc>
        <w:tc>
          <w:tcPr>
            <w:tcW w:w="1600" w:type="dxa"/>
            <w:vAlign w:val="bottom"/>
          </w:tcPr>
          <w:p>
            <w:pPr>
              <w:spacing w:after="0"/>
              <w:rPr>
                <w:sz w:val="18"/>
                <w:szCs w:val="18"/>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100" w:type="dxa"/>
            <w:vAlign w:val="bottom"/>
            <w:tcBorders>
              <w:bottom w:val="single" w:sz="8" w:color="auto"/>
            </w:tcBorders>
          </w:tcPr>
          <w:p>
            <w:pPr>
              <w:spacing w:after="0" w:line="213" w:lineRule="exact"/>
              <w:rPr>
                <w:sz w:val="20"/>
                <w:szCs w:val="20"/>
                <w:color w:val="auto"/>
              </w:rPr>
            </w:pPr>
            <w:r>
              <w:rPr>
                <w:rFonts w:ascii="Arial" w:cs="Arial" w:eastAsia="Arial" w:hAnsi="Arial"/>
                <w:sz w:val="20"/>
                <w:szCs w:val="20"/>
                <w:color w:val="auto"/>
              </w:rPr>
              <w:t>James R. Hatfield</w:t>
            </w:r>
          </w:p>
        </w:tc>
        <w:tc>
          <w:tcPr>
            <w:tcW w:w="2460" w:type="dxa"/>
            <w:vAlign w:val="bottom"/>
            <w:tcBorders>
              <w:bottom w:val="single" w:sz="8" w:color="auto"/>
            </w:tcBorders>
          </w:tcPr>
          <w:p>
            <w:pPr>
              <w:jc w:val="right"/>
              <w:ind w:right="824"/>
              <w:spacing w:after="0" w:line="213" w:lineRule="exact"/>
              <w:rPr>
                <w:sz w:val="20"/>
                <w:szCs w:val="20"/>
                <w:color w:val="auto"/>
              </w:rPr>
            </w:pPr>
            <w:r>
              <w:rPr>
                <w:rFonts w:ascii="Arial" w:cs="Arial" w:eastAsia="Arial" w:hAnsi="Arial"/>
                <w:sz w:val="20"/>
                <w:szCs w:val="20"/>
                <w:color w:val="auto"/>
              </w:rPr>
              <w:t>17,742</w:t>
            </w:r>
          </w:p>
        </w:tc>
        <w:tc>
          <w:tcPr>
            <w:tcW w:w="1800" w:type="dxa"/>
            <w:vAlign w:val="bottom"/>
            <w:tcBorders>
              <w:bottom w:val="single" w:sz="8" w:color="auto"/>
            </w:tcBorders>
          </w:tcPr>
          <w:p>
            <w:pPr>
              <w:jc w:val="right"/>
              <w:ind w:right="322"/>
              <w:spacing w:after="0" w:line="213" w:lineRule="exact"/>
              <w:rPr>
                <w:sz w:val="20"/>
                <w:szCs w:val="20"/>
                <w:color w:val="auto"/>
              </w:rPr>
            </w:pPr>
            <w:r>
              <w:rPr>
                <w:rFonts w:ascii="Arial" w:cs="Arial" w:eastAsia="Arial" w:hAnsi="Arial"/>
                <w:sz w:val="20"/>
                <w:szCs w:val="20"/>
                <w:color w:val="auto"/>
              </w:rPr>
              <w:t>1,161,000</w:t>
            </w:r>
          </w:p>
        </w:tc>
        <w:tc>
          <w:tcPr>
            <w:tcW w:w="1600" w:type="dxa"/>
            <w:vAlign w:val="bottom"/>
          </w:tcPr>
          <w:p>
            <w:pPr>
              <w:spacing w:after="0"/>
              <w:rPr>
                <w:sz w:val="18"/>
                <w:szCs w:val="18"/>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100" w:type="dxa"/>
            <w:vAlign w:val="bottom"/>
            <w:tcBorders>
              <w:bottom w:val="single" w:sz="8" w:color="auto"/>
            </w:tcBorders>
            <w:shd w:val="clear" w:color="auto" w:fill="E3E5EB"/>
          </w:tcPr>
          <w:p>
            <w:pPr>
              <w:spacing w:after="0" w:line="213" w:lineRule="exact"/>
              <w:rPr>
                <w:sz w:val="20"/>
                <w:szCs w:val="20"/>
                <w:color w:val="auto"/>
              </w:rPr>
            </w:pPr>
            <w:r>
              <w:rPr>
                <w:rFonts w:ascii="Arial" w:cs="Arial" w:eastAsia="Arial" w:hAnsi="Arial"/>
                <w:sz w:val="20"/>
                <w:szCs w:val="20"/>
                <w:color w:val="auto"/>
              </w:rPr>
              <w:t>Randall K. Edington</w:t>
            </w:r>
          </w:p>
        </w:tc>
        <w:tc>
          <w:tcPr>
            <w:tcW w:w="2460" w:type="dxa"/>
            <w:vAlign w:val="bottom"/>
            <w:tcBorders>
              <w:bottom w:val="single" w:sz="8" w:color="auto"/>
            </w:tcBorders>
            <w:shd w:val="clear" w:color="auto" w:fill="E3E5EB"/>
          </w:tcPr>
          <w:p>
            <w:pPr>
              <w:jc w:val="right"/>
              <w:ind w:right="824"/>
              <w:spacing w:after="0" w:line="213" w:lineRule="exact"/>
              <w:rPr>
                <w:sz w:val="20"/>
                <w:szCs w:val="20"/>
                <w:color w:val="auto"/>
              </w:rPr>
            </w:pPr>
            <w:r>
              <w:rPr>
                <w:rFonts w:ascii="Arial" w:cs="Arial" w:eastAsia="Arial" w:hAnsi="Arial"/>
                <w:sz w:val="20"/>
                <w:szCs w:val="20"/>
                <w:color w:val="auto"/>
              </w:rPr>
              <w:t>15,280</w:t>
            </w:r>
          </w:p>
        </w:tc>
        <w:tc>
          <w:tcPr>
            <w:tcW w:w="1800" w:type="dxa"/>
            <w:vAlign w:val="bottom"/>
            <w:tcBorders>
              <w:bottom w:val="single" w:sz="8" w:color="auto"/>
            </w:tcBorders>
            <w:shd w:val="clear" w:color="auto" w:fill="E3E5EB"/>
          </w:tcPr>
          <w:p>
            <w:pPr>
              <w:jc w:val="right"/>
              <w:ind w:right="322"/>
              <w:spacing w:after="0" w:line="213" w:lineRule="exact"/>
              <w:rPr>
                <w:sz w:val="20"/>
                <w:szCs w:val="20"/>
                <w:color w:val="auto"/>
              </w:rPr>
            </w:pPr>
            <w:r>
              <w:rPr>
                <w:rFonts w:ascii="Arial" w:cs="Arial" w:eastAsia="Arial" w:hAnsi="Arial"/>
                <w:sz w:val="20"/>
                <w:szCs w:val="20"/>
                <w:color w:val="auto"/>
              </w:rPr>
              <w:t>998,933</w:t>
            </w:r>
          </w:p>
        </w:tc>
        <w:tc>
          <w:tcPr>
            <w:tcW w:w="1600" w:type="dxa"/>
            <w:vAlign w:val="bottom"/>
          </w:tcPr>
          <w:p>
            <w:pPr>
              <w:spacing w:after="0"/>
              <w:rPr>
                <w:sz w:val="18"/>
                <w:szCs w:val="18"/>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100" w:type="dxa"/>
            <w:vAlign w:val="bottom"/>
            <w:tcBorders>
              <w:bottom w:val="single" w:sz="8" w:color="auto"/>
            </w:tcBorders>
          </w:tcPr>
          <w:p>
            <w:pPr>
              <w:spacing w:after="0" w:line="213" w:lineRule="exact"/>
              <w:rPr>
                <w:sz w:val="20"/>
                <w:szCs w:val="20"/>
                <w:color w:val="auto"/>
              </w:rPr>
            </w:pPr>
            <w:r>
              <w:rPr>
                <w:rFonts w:ascii="Arial" w:cs="Arial" w:eastAsia="Arial" w:hAnsi="Arial"/>
                <w:sz w:val="20"/>
                <w:szCs w:val="20"/>
                <w:color w:val="auto"/>
              </w:rPr>
              <w:t>David P. Falck</w:t>
            </w:r>
          </w:p>
        </w:tc>
        <w:tc>
          <w:tcPr>
            <w:tcW w:w="2460" w:type="dxa"/>
            <w:vAlign w:val="bottom"/>
            <w:tcBorders>
              <w:bottom w:val="single" w:sz="8" w:color="auto"/>
            </w:tcBorders>
          </w:tcPr>
          <w:p>
            <w:pPr>
              <w:jc w:val="right"/>
              <w:ind w:right="824"/>
              <w:spacing w:after="0" w:line="213" w:lineRule="exact"/>
              <w:rPr>
                <w:sz w:val="20"/>
                <w:szCs w:val="20"/>
                <w:color w:val="auto"/>
              </w:rPr>
            </w:pPr>
            <w:r>
              <w:rPr>
                <w:rFonts w:ascii="Arial" w:cs="Arial" w:eastAsia="Arial" w:hAnsi="Arial"/>
                <w:sz w:val="20"/>
                <w:szCs w:val="20"/>
                <w:color w:val="auto"/>
              </w:rPr>
              <w:t>22,447</w:t>
            </w:r>
          </w:p>
        </w:tc>
        <w:tc>
          <w:tcPr>
            <w:tcW w:w="1800" w:type="dxa"/>
            <w:vAlign w:val="bottom"/>
            <w:tcBorders>
              <w:bottom w:val="single" w:sz="8" w:color="auto"/>
            </w:tcBorders>
          </w:tcPr>
          <w:p>
            <w:pPr>
              <w:jc w:val="right"/>
              <w:ind w:right="322"/>
              <w:spacing w:after="0" w:line="213" w:lineRule="exact"/>
              <w:rPr>
                <w:sz w:val="20"/>
                <w:szCs w:val="20"/>
                <w:color w:val="auto"/>
              </w:rPr>
            </w:pPr>
            <w:r>
              <w:rPr>
                <w:rFonts w:ascii="Arial" w:cs="Arial" w:eastAsia="Arial" w:hAnsi="Arial"/>
                <w:sz w:val="20"/>
                <w:szCs w:val="20"/>
                <w:color w:val="auto"/>
              </w:rPr>
              <w:t>1,469,046</w:t>
            </w:r>
          </w:p>
        </w:tc>
        <w:tc>
          <w:tcPr>
            <w:tcW w:w="1600" w:type="dxa"/>
            <w:vAlign w:val="bottom"/>
          </w:tcPr>
          <w:p>
            <w:pPr>
              <w:spacing w:after="0"/>
              <w:rPr>
                <w:sz w:val="18"/>
                <w:szCs w:val="18"/>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100" w:type="dxa"/>
            <w:vAlign w:val="bottom"/>
            <w:tcBorders>
              <w:bottom w:val="single" w:sz="8" w:color="auto"/>
            </w:tcBorders>
            <w:shd w:val="clear" w:color="auto" w:fill="E3E5EB"/>
          </w:tcPr>
          <w:p>
            <w:pPr>
              <w:spacing w:after="0" w:line="213" w:lineRule="exact"/>
              <w:rPr>
                <w:sz w:val="20"/>
                <w:szCs w:val="20"/>
                <w:color w:val="auto"/>
              </w:rPr>
            </w:pPr>
            <w:r>
              <w:rPr>
                <w:rFonts w:ascii="Arial" w:cs="Arial" w:eastAsia="Arial" w:hAnsi="Arial"/>
                <w:sz w:val="20"/>
                <w:szCs w:val="20"/>
                <w:color w:val="auto"/>
              </w:rPr>
              <w:t>Mark A. Schiavoni</w:t>
            </w:r>
          </w:p>
        </w:tc>
        <w:tc>
          <w:tcPr>
            <w:tcW w:w="2460" w:type="dxa"/>
            <w:vAlign w:val="bottom"/>
            <w:tcBorders>
              <w:bottom w:val="single" w:sz="8" w:color="auto"/>
            </w:tcBorders>
            <w:shd w:val="clear" w:color="auto" w:fill="E3E5EB"/>
          </w:tcPr>
          <w:p>
            <w:pPr>
              <w:jc w:val="right"/>
              <w:ind w:right="824"/>
              <w:spacing w:after="0" w:line="213" w:lineRule="exact"/>
              <w:rPr>
                <w:sz w:val="20"/>
                <w:szCs w:val="20"/>
                <w:color w:val="auto"/>
              </w:rPr>
            </w:pPr>
            <w:r>
              <w:rPr>
                <w:rFonts w:ascii="Arial" w:cs="Arial" w:eastAsia="Arial" w:hAnsi="Arial"/>
                <w:sz w:val="20"/>
                <w:szCs w:val="20"/>
                <w:color w:val="auto"/>
              </w:rPr>
              <w:t>15,123</w:t>
            </w:r>
          </w:p>
        </w:tc>
        <w:tc>
          <w:tcPr>
            <w:tcW w:w="1800" w:type="dxa"/>
            <w:vAlign w:val="bottom"/>
            <w:tcBorders>
              <w:bottom w:val="single" w:sz="8" w:color="auto"/>
            </w:tcBorders>
            <w:shd w:val="clear" w:color="auto" w:fill="E3E5EB"/>
          </w:tcPr>
          <w:p>
            <w:pPr>
              <w:jc w:val="right"/>
              <w:ind w:right="322"/>
              <w:spacing w:after="0" w:line="213" w:lineRule="exact"/>
              <w:rPr>
                <w:sz w:val="20"/>
                <w:szCs w:val="20"/>
                <w:color w:val="auto"/>
              </w:rPr>
            </w:pPr>
            <w:r>
              <w:rPr>
                <w:rFonts w:ascii="Arial" w:cs="Arial" w:eastAsia="Arial" w:hAnsi="Arial"/>
                <w:sz w:val="20"/>
                <w:szCs w:val="20"/>
                <w:color w:val="auto"/>
              </w:rPr>
              <w:t>989,450</w:t>
            </w:r>
          </w:p>
        </w:tc>
        <w:tc>
          <w:tcPr>
            <w:tcW w:w="1600" w:type="dxa"/>
            <w:vAlign w:val="bottom"/>
          </w:tcPr>
          <w:p>
            <w:pPr>
              <w:spacing w:after="0"/>
              <w:rPr>
                <w:sz w:val="18"/>
                <w:szCs w:val="18"/>
                <w:color w:val="auto"/>
              </w:rPr>
            </w:pPr>
          </w:p>
        </w:tc>
      </w:tr>
      <w:tr>
        <w:trPr>
          <w:trHeight w:val="653"/>
        </w:trPr>
        <w:tc>
          <w:tcPr>
            <w:tcW w:w="1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100" w:type="dxa"/>
            <w:vAlign w:val="bottom"/>
          </w:tcPr>
          <w:p>
            <w:pPr>
              <w:spacing w:after="0"/>
              <w:rPr>
                <w:sz w:val="24"/>
                <w:szCs w:val="24"/>
                <w:color w:val="auto"/>
              </w:rPr>
            </w:pPr>
          </w:p>
        </w:tc>
        <w:tc>
          <w:tcPr>
            <w:tcW w:w="4260" w:type="dxa"/>
            <w:vAlign w:val="bottom"/>
            <w:gridSpan w:val="2"/>
          </w:tcPr>
          <w:p>
            <w:pPr>
              <w:jc w:val="right"/>
              <w:ind w:right="362"/>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16"/>
                <w:szCs w:val="16"/>
                <w:b w:val="1"/>
                <w:bCs w:val="1"/>
                <w:color w:val="3A5575"/>
              </w:rPr>
              <w:t>|</w:t>
            </w:r>
          </w:p>
        </w:tc>
        <w:tc>
          <w:tcPr>
            <w:tcW w:w="1600" w:type="dxa"/>
            <w:vAlign w:val="bottom"/>
          </w:tcPr>
          <w:p>
            <w:pPr>
              <w:jc w:val="right"/>
              <w:spacing w:after="0"/>
              <w:rPr>
                <w:sz w:val="20"/>
                <w:szCs w:val="20"/>
                <w:color w:val="auto"/>
              </w:rPr>
            </w:pPr>
            <w:r>
              <w:rPr>
                <w:rFonts w:ascii="Arial" w:cs="Arial" w:eastAsia="Arial" w:hAnsi="Arial"/>
                <w:sz w:val="16"/>
                <w:szCs w:val="16"/>
                <w:b w:val="1"/>
                <w:bCs w:val="1"/>
                <w:color w:val="auto"/>
              </w:rPr>
              <w:t>73</w:t>
            </w:r>
          </w:p>
        </w:tc>
      </w:tr>
      <w:tr>
        <w:trPr>
          <w:trHeight w:val="169"/>
        </w:trPr>
        <w:tc>
          <w:tcPr>
            <w:tcW w:w="1460" w:type="dxa"/>
            <w:vAlign w:val="bottom"/>
            <w:tcBorders>
              <w:bottom w:val="single" w:sz="8" w:color="808080"/>
            </w:tcBorders>
          </w:tcPr>
          <w:p>
            <w:pPr>
              <w:spacing w:after="0"/>
              <w:rPr>
                <w:sz w:val="14"/>
                <w:szCs w:val="14"/>
                <w:color w:val="auto"/>
              </w:rPr>
            </w:pPr>
          </w:p>
        </w:tc>
        <w:tc>
          <w:tcPr>
            <w:tcW w:w="20" w:type="dxa"/>
            <w:vAlign w:val="bottom"/>
            <w:tcBorders>
              <w:bottom w:val="single" w:sz="8" w:color="808080"/>
            </w:tcBorders>
          </w:tcPr>
          <w:p>
            <w:pPr>
              <w:spacing w:after="0"/>
              <w:rPr>
                <w:sz w:val="14"/>
                <w:szCs w:val="14"/>
                <w:color w:val="auto"/>
              </w:rPr>
            </w:pPr>
          </w:p>
        </w:tc>
        <w:tc>
          <w:tcPr>
            <w:tcW w:w="4100" w:type="dxa"/>
            <w:vAlign w:val="bottom"/>
            <w:tcBorders>
              <w:bottom w:val="single" w:sz="8" w:color="808080"/>
            </w:tcBorders>
          </w:tcPr>
          <w:p>
            <w:pPr>
              <w:spacing w:after="0"/>
              <w:rPr>
                <w:sz w:val="14"/>
                <w:szCs w:val="14"/>
                <w:color w:val="auto"/>
              </w:rPr>
            </w:pPr>
          </w:p>
        </w:tc>
        <w:tc>
          <w:tcPr>
            <w:tcW w:w="2460" w:type="dxa"/>
            <w:vAlign w:val="bottom"/>
            <w:tcBorders>
              <w:bottom w:val="single" w:sz="8" w:color="808080"/>
            </w:tcBorders>
          </w:tcPr>
          <w:p>
            <w:pPr>
              <w:spacing w:after="0"/>
              <w:rPr>
                <w:sz w:val="14"/>
                <w:szCs w:val="14"/>
                <w:color w:val="auto"/>
              </w:rPr>
            </w:pPr>
          </w:p>
        </w:tc>
        <w:tc>
          <w:tcPr>
            <w:tcW w:w="1800" w:type="dxa"/>
            <w:vAlign w:val="bottom"/>
            <w:tcBorders>
              <w:bottom w:val="single" w:sz="8" w:color="808080"/>
            </w:tcBorders>
          </w:tcPr>
          <w:p>
            <w:pPr>
              <w:spacing w:after="0"/>
              <w:rPr>
                <w:sz w:val="14"/>
                <w:szCs w:val="14"/>
                <w:color w:val="auto"/>
              </w:rPr>
            </w:pPr>
          </w:p>
        </w:tc>
        <w:tc>
          <w:tcPr>
            <w:tcW w:w="1600" w:type="dxa"/>
            <w:vAlign w:val="bottom"/>
            <w:tcBorders>
              <w:bottom w:val="single" w:sz="8" w:color="808080"/>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6128385</wp:posOffset>
            </wp:positionH>
            <wp:positionV relativeFrom="paragraph">
              <wp:posOffset>-290195</wp:posOffset>
            </wp:positionV>
            <wp:extent cx="841375" cy="16383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82" w:name="page83"/>
    <w:bookmarkEnd w:id="82"/>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0" w:lineRule="exact"/>
        <w:rPr>
          <w:rFonts w:ascii="Arial" w:cs="Arial" w:eastAsia="Arial" w:hAnsi="Arial"/>
          <w:sz w:val="13"/>
          <w:szCs w:val="13"/>
          <w:b w:val="1"/>
          <w:bCs w:val="1"/>
          <w:color w:val="FFFFFE"/>
        </w:rPr>
      </w:pPr>
    </w:p>
    <w:p>
      <w:pPr>
        <w:ind w:left="2340"/>
        <w:spacing w:after="0"/>
        <w:rPr>
          <w:sz w:val="20"/>
          <w:szCs w:val="20"/>
          <w:color w:val="auto"/>
        </w:rPr>
      </w:pPr>
      <w:r>
        <w:rPr>
          <w:rFonts w:ascii="Arial" w:cs="Arial" w:eastAsia="Arial" w:hAnsi="Arial"/>
          <w:sz w:val="15"/>
          <w:szCs w:val="15"/>
          <w:color w:val="auto"/>
        </w:rPr>
        <w:t>(1)The amount in this column consists of: (i) RSUs that were granted to all of the Named Executive Officers in February 2014 that</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-97790</wp:posOffset>
            </wp:positionV>
            <wp:extent cx="1487805" cy="1555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12" w:lineRule="exact"/>
        <w:rPr>
          <w:rFonts w:ascii="Arial" w:cs="Arial" w:eastAsia="Arial" w:hAnsi="Arial"/>
          <w:sz w:val="13"/>
          <w:szCs w:val="13"/>
          <w:b w:val="1"/>
          <w:bCs w:val="1"/>
          <w:color w:val="FFFFFE"/>
        </w:rPr>
      </w:pPr>
    </w:p>
    <w:p>
      <w:pPr>
        <w:ind w:left="2340"/>
        <w:spacing w:after="0"/>
        <w:rPr>
          <w:sz w:val="20"/>
          <w:szCs w:val="20"/>
          <w:color w:val="auto"/>
        </w:rPr>
      </w:pPr>
      <w:r>
        <w:rPr>
          <w:rFonts w:ascii="Arial" w:cs="Arial" w:eastAsia="Arial" w:hAnsi="Arial"/>
          <w:sz w:val="16"/>
          <w:szCs w:val="16"/>
          <w:color w:val="auto"/>
        </w:rPr>
        <w:t>vested and were released in part on February 20, 2015 as follows: Mr. Brandt — 8,616; Mr. Hatfield — 1,540;</w:t>
      </w:r>
    </w:p>
    <w:p>
      <w:pPr>
        <w:ind w:left="1860"/>
        <w:spacing w:after="0"/>
        <w:rPr>
          <w:sz w:val="20"/>
          <w:szCs w:val="20"/>
          <w:color w:val="auto"/>
        </w:rPr>
      </w:pPr>
      <w:r>
        <w:rPr>
          <w:rFonts w:ascii="Arial" w:cs="Arial" w:eastAsia="Arial" w:hAnsi="Arial"/>
          <w:sz w:val="16"/>
          <w:szCs w:val="16"/>
          <w:color w:val="auto"/>
        </w:rPr>
        <w:t>Mr. Edington — 1,026; Mr. Falck — 1,540; and Mr. Schiavoni — 1,540; dividend rights (and interest thereon) payable in stock earned on RSUs granted in February 2014 and released in part on February 20, 2015 as follows: Mr. Brandt — 155; Mr. Hatfield — 55;</w:t>
      </w:r>
    </w:p>
    <w:p>
      <w:pPr>
        <w:ind w:left="1860" w:right="400"/>
        <w:spacing w:after="0" w:line="256" w:lineRule="auto"/>
        <w:rPr>
          <w:sz w:val="20"/>
          <w:szCs w:val="20"/>
          <w:color w:val="auto"/>
        </w:rPr>
      </w:pPr>
      <w:r>
        <w:rPr>
          <w:rFonts w:ascii="Arial" w:cs="Arial" w:eastAsia="Arial" w:hAnsi="Arial"/>
          <w:sz w:val="15"/>
          <w:szCs w:val="15"/>
          <w:color w:val="auto"/>
        </w:rPr>
        <w:t>Mr. Edington — 18; Mr. Falck — 28; and Mr. Schiavoni — 55; (ii) RSUs that were granted to all of the Named Executive Officers in February 2013 that vested and were released in part on February 20, 2015 as follows: Mr. Brandt — 8,186; Mr. Hatfield — 1,432;</w:t>
      </w:r>
    </w:p>
    <w:p>
      <w:pPr>
        <w:ind w:left="1860"/>
        <w:spacing w:after="0"/>
        <w:rPr>
          <w:sz w:val="20"/>
          <w:szCs w:val="20"/>
          <w:color w:val="auto"/>
        </w:rPr>
      </w:pPr>
      <w:r>
        <w:rPr>
          <w:rFonts w:ascii="Arial" w:cs="Arial" w:eastAsia="Arial" w:hAnsi="Arial"/>
          <w:sz w:val="16"/>
          <w:szCs w:val="16"/>
          <w:color w:val="auto"/>
        </w:rPr>
        <w:t>Mr. Edington — 1,024; Mr. Falck — 1,432; and Mr. Schiavoni — 1,432; dividend rights (and interest thereon) payable in stock earned on RSUs granted in February 2013 and released in part on February 20, 2015 as follows: Mr. Brandt — 296; Mr. Hatfield — 103;</w:t>
      </w:r>
    </w:p>
    <w:p>
      <w:pPr>
        <w:ind w:left="1860"/>
        <w:spacing w:after="0"/>
        <w:rPr>
          <w:sz w:val="20"/>
          <w:szCs w:val="20"/>
          <w:color w:val="auto"/>
        </w:rPr>
      </w:pPr>
      <w:r>
        <w:rPr>
          <w:rFonts w:ascii="Arial" w:cs="Arial" w:eastAsia="Arial" w:hAnsi="Arial"/>
          <w:sz w:val="16"/>
          <w:szCs w:val="16"/>
          <w:color w:val="auto"/>
        </w:rPr>
        <w:t>Mr. Edington — 74; Mr. Falck — 52; and Mr. Schiavoni — 52; (iii) RSUs that were granted to all of the Named Executive Officers in</w:t>
      </w:r>
    </w:p>
    <w:p>
      <w:pPr>
        <w:ind w:left="1860"/>
        <w:spacing w:after="0"/>
        <w:rPr>
          <w:sz w:val="20"/>
          <w:szCs w:val="20"/>
          <w:color w:val="auto"/>
        </w:rPr>
      </w:pPr>
      <w:r>
        <w:rPr>
          <w:rFonts w:ascii="Arial" w:cs="Arial" w:eastAsia="Arial" w:hAnsi="Arial"/>
          <w:sz w:val="16"/>
          <w:szCs w:val="16"/>
          <w:color w:val="auto"/>
        </w:rPr>
        <w:t>February 2012 that vested and were released in part on February 20, 2015 as follows: Mr. Brandt — 8,546; Mr. Hatfield — 1,188;</w:t>
      </w:r>
    </w:p>
    <w:p>
      <w:pPr>
        <w:ind w:left="1860"/>
        <w:spacing w:after="0"/>
        <w:rPr>
          <w:sz w:val="20"/>
          <w:szCs w:val="20"/>
          <w:color w:val="auto"/>
        </w:rPr>
      </w:pPr>
      <w:r>
        <w:rPr>
          <w:rFonts w:ascii="Arial" w:cs="Arial" w:eastAsia="Arial" w:hAnsi="Arial"/>
          <w:sz w:val="16"/>
          <w:szCs w:val="16"/>
          <w:color w:val="auto"/>
        </w:rPr>
        <w:t>Mr. Edington — 1,188; Mr. Falck — 1,662; and Mr. Schiavoni — 950; dividend rights (and interest thereon) payable in stock earned on</w:t>
      </w:r>
    </w:p>
    <w:p>
      <w:pPr>
        <w:ind w:left="1860"/>
        <w:spacing w:after="0"/>
        <w:rPr>
          <w:sz w:val="20"/>
          <w:szCs w:val="20"/>
          <w:color w:val="auto"/>
        </w:rPr>
      </w:pPr>
      <w:r>
        <w:rPr>
          <w:rFonts w:ascii="Arial" w:cs="Arial" w:eastAsia="Arial" w:hAnsi="Arial"/>
          <w:sz w:val="16"/>
          <w:szCs w:val="16"/>
          <w:color w:val="auto"/>
        </w:rPr>
        <w:t>RSUs granted in February 2012 and released on February 20, 2015 as follows: Mr. Brandt — 465; Mr. Hatfield — 129;</w:t>
      </w:r>
    </w:p>
    <w:p>
      <w:pPr>
        <w:ind w:left="1860"/>
        <w:spacing w:after="0"/>
        <w:rPr>
          <w:sz w:val="20"/>
          <w:szCs w:val="20"/>
          <w:color w:val="auto"/>
        </w:rPr>
      </w:pPr>
      <w:r>
        <w:rPr>
          <w:rFonts w:ascii="Arial" w:cs="Arial" w:eastAsia="Arial" w:hAnsi="Arial"/>
          <w:sz w:val="16"/>
          <w:szCs w:val="16"/>
          <w:color w:val="auto"/>
        </w:rPr>
        <w:t>Mr. Edington — 129; Mr. Falck — 90; and Mr. Schiavoni — 52; (iv) RSUs that were granted to the named Executive Officers in February 2011, that vested and were released in part on February 20, 2015 as follows: Mr. Brandt — 8,991; Mr. Hatfield — 1,499;</w:t>
      </w:r>
    </w:p>
    <w:p>
      <w:pPr>
        <w:ind w:left="1860"/>
        <w:spacing w:after="0"/>
        <w:rPr>
          <w:sz w:val="20"/>
          <w:szCs w:val="20"/>
          <w:color w:val="auto"/>
        </w:rPr>
      </w:pPr>
      <w:r>
        <w:rPr>
          <w:rFonts w:ascii="Arial" w:cs="Arial" w:eastAsia="Arial" w:hAnsi="Arial"/>
          <w:sz w:val="16"/>
          <w:szCs w:val="16"/>
          <w:color w:val="auto"/>
        </w:rPr>
        <w:t>Mr. Edington — 1,499; Mr. Falck — 2,098; and Mr. Schiavoni — 1,199; dividend rights (and interest thereon) payable in stock earned on RSUs granted in February 2011 and released on February 20, 2015 as follows: Mr. Brandt — 659; Mr. Hatfield — 220;</w:t>
      </w:r>
    </w:p>
    <w:p>
      <w:pPr>
        <w:ind w:left="1860" w:right="80"/>
        <w:spacing w:after="0" w:line="266" w:lineRule="auto"/>
        <w:rPr>
          <w:sz w:val="20"/>
          <w:szCs w:val="20"/>
          <w:color w:val="auto"/>
        </w:rPr>
      </w:pPr>
      <w:r>
        <w:rPr>
          <w:rFonts w:ascii="Arial" w:cs="Arial" w:eastAsia="Arial" w:hAnsi="Arial"/>
          <w:sz w:val="15"/>
          <w:szCs w:val="15"/>
          <w:color w:val="auto"/>
        </w:rPr>
        <w:t>Mr. Edington — 220; Mr. Falck — 154; and Mr. Schiavoni — 176; (v) Supplemental RSUs that were granted to all of the Named Executive Officers in February 2011 and that vested in part on February 13, 2015 (but were not released) (the "February Supplemental RSUs") as follows: Mr. Brandt — 5,395; Mr. Hatfield — 1,499; Mr. Falck — 1,499; and Mr. Schiavoni — 1,499; (vi) additional RSUs resulting from notional dividends on the Supplemental RSUs that vested, but were not released, on the following dates in 2015:</w:t>
      </w:r>
    </w:p>
    <w:p>
      <w:pPr>
        <w:spacing w:after="0" w:line="146" w:lineRule="exact"/>
        <w:rPr>
          <w:rFonts w:ascii="Arial" w:cs="Arial" w:eastAsia="Arial" w:hAnsi="Arial"/>
          <w:sz w:val="13"/>
          <w:szCs w:val="13"/>
          <w:b w:val="1"/>
          <w:bCs w:val="1"/>
          <w:color w:val="FFFFFE"/>
        </w:rPr>
      </w:pPr>
    </w:p>
    <w:tbl>
      <w:tblPr>
        <w:tblLayout w:type="fixed"/>
        <w:tblInd w:w="1520" w:type="dxa"/>
        <w:tblCellMar>
          <w:top w:w="0" w:type="dxa"/>
          <w:left w:w="0" w:type="dxa"/>
          <w:bottom w:w="0" w:type="dxa"/>
          <w:right w:w="0" w:type="dxa"/>
        </w:tblCellMar>
      </w:tblPr>
      <w:tr>
        <w:trPr>
          <w:trHeight w:val="232"/>
        </w:trPr>
        <w:tc>
          <w:tcPr>
            <w:tcW w:w="1980" w:type="dxa"/>
            <w:vAlign w:val="bottom"/>
            <w:tcBorders>
              <w:bottom w:val="single" w:sz="8" w:color="888992"/>
            </w:tcBorders>
          </w:tcPr>
          <w:p>
            <w:pPr>
              <w:spacing w:after="0"/>
              <w:rPr>
                <w:sz w:val="20"/>
                <w:szCs w:val="20"/>
                <w:color w:val="auto"/>
              </w:rPr>
            </w:pPr>
            <w:r>
              <w:rPr>
                <w:rFonts w:ascii="Arial" w:cs="Arial" w:eastAsia="Arial" w:hAnsi="Arial"/>
                <w:sz w:val="16"/>
                <w:szCs w:val="16"/>
                <w:b w:val="1"/>
                <w:bCs w:val="1"/>
                <w:color w:val="3A5575"/>
              </w:rPr>
              <w:t>NAME</w:t>
            </w:r>
          </w:p>
        </w:tc>
        <w:tc>
          <w:tcPr>
            <w:tcW w:w="1800" w:type="dxa"/>
            <w:vAlign w:val="bottom"/>
            <w:tcBorders>
              <w:bottom w:val="single" w:sz="8" w:color="888992"/>
            </w:tcBorders>
          </w:tcPr>
          <w:p>
            <w:pPr>
              <w:jc w:val="right"/>
              <w:ind w:right="40"/>
              <w:spacing w:after="0"/>
              <w:rPr>
                <w:sz w:val="20"/>
                <w:szCs w:val="20"/>
                <w:color w:val="auto"/>
              </w:rPr>
            </w:pPr>
            <w:r>
              <w:rPr>
                <w:rFonts w:ascii="Arial" w:cs="Arial" w:eastAsia="Arial" w:hAnsi="Arial"/>
                <w:sz w:val="16"/>
                <w:szCs w:val="16"/>
                <w:b w:val="1"/>
                <w:bCs w:val="1"/>
                <w:color w:val="3A5575"/>
              </w:rPr>
              <w:t>FEBRUARY 13</w:t>
            </w:r>
          </w:p>
        </w:tc>
        <w:tc>
          <w:tcPr>
            <w:tcW w:w="980" w:type="dxa"/>
            <w:vAlign w:val="bottom"/>
            <w:tcBorders>
              <w:bottom w:val="single" w:sz="8" w:color="888992"/>
            </w:tcBorders>
          </w:tcPr>
          <w:p>
            <w:pPr>
              <w:jc w:val="right"/>
              <w:ind w:right="40"/>
              <w:spacing w:after="0"/>
              <w:rPr>
                <w:sz w:val="20"/>
                <w:szCs w:val="20"/>
                <w:color w:val="auto"/>
              </w:rPr>
            </w:pPr>
            <w:r>
              <w:rPr>
                <w:rFonts w:ascii="Arial" w:cs="Arial" w:eastAsia="Arial" w:hAnsi="Arial"/>
                <w:sz w:val="16"/>
                <w:szCs w:val="16"/>
                <w:b w:val="1"/>
                <w:bCs w:val="1"/>
                <w:color w:val="3A5575"/>
              </w:rPr>
              <w:t>MARCH 2</w:t>
            </w:r>
          </w:p>
        </w:tc>
        <w:tc>
          <w:tcPr>
            <w:tcW w:w="800" w:type="dxa"/>
            <w:vAlign w:val="bottom"/>
            <w:tcBorders>
              <w:bottom w:val="single" w:sz="8" w:color="888992"/>
            </w:tcBorders>
          </w:tcPr>
          <w:p>
            <w:pPr>
              <w:jc w:val="right"/>
              <w:ind w:right="40"/>
              <w:spacing w:after="0"/>
              <w:rPr>
                <w:sz w:val="20"/>
                <w:szCs w:val="20"/>
                <w:color w:val="auto"/>
              </w:rPr>
            </w:pPr>
            <w:r>
              <w:rPr>
                <w:rFonts w:ascii="Arial" w:cs="Arial" w:eastAsia="Arial" w:hAnsi="Arial"/>
                <w:sz w:val="16"/>
                <w:szCs w:val="16"/>
                <w:b w:val="1"/>
                <w:bCs w:val="1"/>
                <w:color w:val="3A5575"/>
              </w:rPr>
              <w:t>JUNE 1</w:t>
            </w:r>
          </w:p>
        </w:tc>
        <w:tc>
          <w:tcPr>
            <w:tcW w:w="1400" w:type="dxa"/>
            <w:vAlign w:val="bottom"/>
            <w:tcBorders>
              <w:bottom w:val="single" w:sz="8" w:color="888992"/>
            </w:tcBorders>
          </w:tcPr>
          <w:p>
            <w:pPr>
              <w:jc w:val="right"/>
              <w:ind w:right="80"/>
              <w:spacing w:after="0"/>
              <w:rPr>
                <w:sz w:val="20"/>
                <w:szCs w:val="20"/>
                <w:color w:val="auto"/>
              </w:rPr>
            </w:pPr>
            <w:r>
              <w:rPr>
                <w:rFonts w:ascii="Arial" w:cs="Arial" w:eastAsia="Arial" w:hAnsi="Arial"/>
                <w:sz w:val="16"/>
                <w:szCs w:val="16"/>
                <w:b w:val="1"/>
                <w:bCs w:val="1"/>
                <w:color w:val="3A5575"/>
              </w:rPr>
              <w:t>SEPTEMBER 1</w:t>
            </w:r>
          </w:p>
        </w:tc>
        <w:tc>
          <w:tcPr>
            <w:tcW w:w="1260" w:type="dxa"/>
            <w:vAlign w:val="bottom"/>
            <w:tcBorders>
              <w:bottom w:val="single" w:sz="8" w:color="888992"/>
            </w:tcBorders>
          </w:tcPr>
          <w:p>
            <w:pPr>
              <w:jc w:val="right"/>
              <w:spacing w:after="0"/>
              <w:rPr>
                <w:sz w:val="20"/>
                <w:szCs w:val="20"/>
                <w:color w:val="auto"/>
              </w:rPr>
            </w:pPr>
            <w:r>
              <w:rPr>
                <w:rFonts w:ascii="Arial" w:cs="Arial" w:eastAsia="Arial" w:hAnsi="Arial"/>
                <w:sz w:val="16"/>
                <w:szCs w:val="16"/>
                <w:b w:val="1"/>
                <w:bCs w:val="1"/>
                <w:color w:val="3A5575"/>
              </w:rPr>
              <w:t>DECEMBER 1</w:t>
            </w:r>
          </w:p>
        </w:tc>
      </w:tr>
      <w:tr>
        <w:trPr>
          <w:trHeight w:val="184"/>
        </w:trPr>
        <w:tc>
          <w:tcPr>
            <w:tcW w:w="1980" w:type="dxa"/>
            <w:vAlign w:val="bottom"/>
            <w:shd w:val="clear" w:color="auto" w:fill="E3E5EB"/>
          </w:tcPr>
          <w:p>
            <w:pPr>
              <w:spacing w:after="0"/>
              <w:rPr>
                <w:sz w:val="20"/>
                <w:szCs w:val="20"/>
                <w:color w:val="auto"/>
              </w:rPr>
            </w:pPr>
            <w:r>
              <w:rPr>
                <w:rFonts w:ascii="Arial" w:cs="Arial" w:eastAsia="Arial" w:hAnsi="Arial"/>
                <w:sz w:val="16"/>
                <w:szCs w:val="16"/>
                <w:color w:val="auto"/>
              </w:rPr>
              <w:t>Donald E. Brandt</w:t>
            </w:r>
          </w:p>
        </w:tc>
        <w:tc>
          <w:tcPr>
            <w:tcW w:w="1800" w:type="dxa"/>
            <w:vAlign w:val="bottom"/>
            <w:shd w:val="clear" w:color="auto" w:fill="E3E5EB"/>
          </w:tcPr>
          <w:p>
            <w:pPr>
              <w:jc w:val="right"/>
              <w:ind w:right="440"/>
              <w:spacing w:after="0"/>
              <w:rPr>
                <w:sz w:val="20"/>
                <w:szCs w:val="20"/>
                <w:color w:val="auto"/>
              </w:rPr>
            </w:pPr>
            <w:r>
              <w:rPr>
                <w:rFonts w:ascii="Arial" w:cs="Arial" w:eastAsia="Arial" w:hAnsi="Arial"/>
                <w:sz w:val="16"/>
                <w:szCs w:val="16"/>
                <w:color w:val="auto"/>
              </w:rPr>
              <w:t>919</w:t>
            </w:r>
          </w:p>
        </w:tc>
        <w:tc>
          <w:tcPr>
            <w:tcW w:w="98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239</w:t>
            </w:r>
          </w:p>
        </w:tc>
        <w:tc>
          <w:tcPr>
            <w:tcW w:w="800" w:type="dxa"/>
            <w:vAlign w:val="bottom"/>
            <w:shd w:val="clear" w:color="auto" w:fill="E3E5EB"/>
          </w:tcPr>
          <w:p>
            <w:pPr>
              <w:jc w:val="right"/>
              <w:ind w:right="180"/>
              <w:spacing w:after="0"/>
              <w:rPr>
                <w:sz w:val="20"/>
                <w:szCs w:val="20"/>
                <w:color w:val="auto"/>
              </w:rPr>
            </w:pPr>
            <w:r>
              <w:rPr>
                <w:rFonts w:ascii="Arial" w:cs="Arial" w:eastAsia="Arial" w:hAnsi="Arial"/>
                <w:sz w:val="16"/>
                <w:szCs w:val="16"/>
                <w:color w:val="auto"/>
              </w:rPr>
              <w:t>248</w:t>
            </w:r>
          </w:p>
        </w:tc>
        <w:tc>
          <w:tcPr>
            <w:tcW w:w="1400" w:type="dxa"/>
            <w:vAlign w:val="bottom"/>
            <w:shd w:val="clear" w:color="auto" w:fill="E3E5EB"/>
          </w:tcPr>
          <w:p>
            <w:pPr>
              <w:jc w:val="right"/>
              <w:ind w:right="500"/>
              <w:spacing w:after="0"/>
              <w:rPr>
                <w:sz w:val="20"/>
                <w:szCs w:val="20"/>
                <w:color w:val="auto"/>
              </w:rPr>
            </w:pPr>
            <w:r>
              <w:rPr>
                <w:rFonts w:ascii="Arial" w:cs="Arial" w:eastAsia="Arial" w:hAnsi="Arial"/>
                <w:sz w:val="16"/>
                <w:szCs w:val="16"/>
                <w:color w:val="auto"/>
              </w:rPr>
              <w:t>264</w:t>
            </w:r>
          </w:p>
        </w:tc>
        <w:tc>
          <w:tcPr>
            <w:tcW w:w="1260" w:type="dxa"/>
            <w:vAlign w:val="bottom"/>
            <w:shd w:val="clear" w:color="auto" w:fill="E3E5EB"/>
          </w:tcPr>
          <w:p>
            <w:pPr>
              <w:jc w:val="right"/>
              <w:ind w:right="360"/>
              <w:spacing w:after="0"/>
              <w:rPr>
                <w:sz w:val="20"/>
                <w:szCs w:val="20"/>
                <w:color w:val="auto"/>
              </w:rPr>
            </w:pPr>
            <w:r>
              <w:rPr>
                <w:rFonts w:ascii="Arial" w:cs="Arial" w:eastAsia="Arial" w:hAnsi="Arial"/>
                <w:sz w:val="16"/>
                <w:szCs w:val="16"/>
                <w:color w:val="auto"/>
              </w:rPr>
              <w:t>256</w:t>
            </w:r>
          </w:p>
        </w:tc>
      </w:tr>
      <w:tr>
        <w:trPr>
          <w:trHeight w:val="184"/>
        </w:trPr>
        <w:tc>
          <w:tcPr>
            <w:tcW w:w="1980" w:type="dxa"/>
            <w:vAlign w:val="bottom"/>
          </w:tcPr>
          <w:p>
            <w:pPr>
              <w:spacing w:after="0"/>
              <w:rPr>
                <w:sz w:val="20"/>
                <w:szCs w:val="20"/>
                <w:color w:val="auto"/>
              </w:rPr>
            </w:pPr>
            <w:r>
              <w:rPr>
                <w:rFonts w:ascii="Arial" w:cs="Arial" w:eastAsia="Arial" w:hAnsi="Arial"/>
                <w:sz w:val="16"/>
                <w:szCs w:val="16"/>
                <w:color w:val="auto"/>
              </w:rPr>
              <w:t>James R. Hatfield</w:t>
            </w:r>
          </w:p>
        </w:tc>
        <w:tc>
          <w:tcPr>
            <w:tcW w:w="1800" w:type="dxa"/>
            <w:vAlign w:val="bottom"/>
          </w:tcPr>
          <w:p>
            <w:pPr>
              <w:jc w:val="right"/>
              <w:ind w:right="440"/>
              <w:spacing w:after="0"/>
              <w:rPr>
                <w:sz w:val="20"/>
                <w:szCs w:val="20"/>
                <w:color w:val="auto"/>
              </w:rPr>
            </w:pPr>
            <w:r>
              <w:rPr>
                <w:rFonts w:ascii="Arial" w:cs="Arial" w:eastAsia="Arial" w:hAnsi="Arial"/>
                <w:sz w:val="16"/>
                <w:szCs w:val="16"/>
                <w:color w:val="auto"/>
              </w:rPr>
              <w:t>255</w:t>
            </w:r>
          </w:p>
        </w:tc>
        <w:tc>
          <w:tcPr>
            <w:tcW w:w="980" w:type="dxa"/>
            <w:vAlign w:val="bottom"/>
          </w:tcPr>
          <w:p>
            <w:pPr>
              <w:jc w:val="right"/>
              <w:ind w:right="260"/>
              <w:spacing w:after="0"/>
              <w:rPr>
                <w:sz w:val="20"/>
                <w:szCs w:val="20"/>
                <w:color w:val="auto"/>
              </w:rPr>
            </w:pPr>
            <w:r>
              <w:rPr>
                <w:rFonts w:ascii="Arial" w:cs="Arial" w:eastAsia="Arial" w:hAnsi="Arial"/>
                <w:sz w:val="16"/>
                <w:szCs w:val="16"/>
                <w:color w:val="auto"/>
              </w:rPr>
              <w:t>67</w:t>
            </w:r>
          </w:p>
        </w:tc>
        <w:tc>
          <w:tcPr>
            <w:tcW w:w="800" w:type="dxa"/>
            <w:vAlign w:val="bottom"/>
          </w:tcPr>
          <w:p>
            <w:pPr>
              <w:jc w:val="right"/>
              <w:ind w:right="180"/>
              <w:spacing w:after="0"/>
              <w:rPr>
                <w:sz w:val="20"/>
                <w:szCs w:val="20"/>
                <w:color w:val="auto"/>
              </w:rPr>
            </w:pPr>
            <w:r>
              <w:rPr>
                <w:rFonts w:ascii="Arial" w:cs="Arial" w:eastAsia="Arial" w:hAnsi="Arial"/>
                <w:sz w:val="16"/>
                <w:szCs w:val="16"/>
                <w:color w:val="auto"/>
              </w:rPr>
              <w:t>69</w:t>
            </w:r>
          </w:p>
        </w:tc>
        <w:tc>
          <w:tcPr>
            <w:tcW w:w="1400" w:type="dxa"/>
            <w:vAlign w:val="bottom"/>
          </w:tcPr>
          <w:p>
            <w:pPr>
              <w:jc w:val="right"/>
              <w:ind w:right="500"/>
              <w:spacing w:after="0"/>
              <w:rPr>
                <w:sz w:val="20"/>
                <w:szCs w:val="20"/>
                <w:color w:val="auto"/>
              </w:rPr>
            </w:pPr>
            <w:r>
              <w:rPr>
                <w:rFonts w:ascii="Arial" w:cs="Arial" w:eastAsia="Arial" w:hAnsi="Arial"/>
                <w:sz w:val="16"/>
                <w:szCs w:val="16"/>
                <w:color w:val="auto"/>
              </w:rPr>
              <w:t>73</w:t>
            </w:r>
          </w:p>
        </w:tc>
        <w:tc>
          <w:tcPr>
            <w:tcW w:w="1260" w:type="dxa"/>
            <w:vAlign w:val="bottom"/>
          </w:tcPr>
          <w:p>
            <w:pPr>
              <w:jc w:val="right"/>
              <w:ind w:right="360"/>
              <w:spacing w:after="0"/>
              <w:rPr>
                <w:sz w:val="20"/>
                <w:szCs w:val="20"/>
                <w:color w:val="auto"/>
              </w:rPr>
            </w:pPr>
            <w:r>
              <w:rPr>
                <w:rFonts w:ascii="Arial" w:cs="Arial" w:eastAsia="Arial" w:hAnsi="Arial"/>
                <w:sz w:val="16"/>
                <w:szCs w:val="16"/>
                <w:color w:val="auto"/>
              </w:rPr>
              <w:t>72</w:t>
            </w:r>
          </w:p>
        </w:tc>
      </w:tr>
      <w:tr>
        <w:trPr>
          <w:trHeight w:val="184"/>
        </w:trPr>
        <w:tc>
          <w:tcPr>
            <w:tcW w:w="1980" w:type="dxa"/>
            <w:vAlign w:val="bottom"/>
            <w:shd w:val="clear" w:color="auto" w:fill="E3E5EB"/>
          </w:tcPr>
          <w:p>
            <w:pPr>
              <w:spacing w:after="0"/>
              <w:rPr>
                <w:sz w:val="20"/>
                <w:szCs w:val="20"/>
                <w:color w:val="auto"/>
              </w:rPr>
            </w:pPr>
            <w:r>
              <w:rPr>
                <w:rFonts w:ascii="Arial" w:cs="Arial" w:eastAsia="Arial" w:hAnsi="Arial"/>
                <w:sz w:val="16"/>
                <w:szCs w:val="16"/>
                <w:color w:val="auto"/>
              </w:rPr>
              <w:t>Randall K. Edington</w:t>
            </w:r>
          </w:p>
        </w:tc>
        <w:tc>
          <w:tcPr>
            <w:tcW w:w="1800" w:type="dxa"/>
            <w:vAlign w:val="bottom"/>
            <w:shd w:val="clear" w:color="auto" w:fill="E3E5EB"/>
          </w:tcPr>
          <w:p>
            <w:pPr>
              <w:jc w:val="right"/>
              <w:ind w:right="440"/>
              <w:spacing w:after="0"/>
              <w:rPr>
                <w:sz w:val="20"/>
                <w:szCs w:val="20"/>
                <w:color w:val="auto"/>
              </w:rPr>
            </w:pPr>
            <w:r>
              <w:rPr>
                <w:rFonts w:ascii="Arial" w:cs="Arial" w:eastAsia="Arial" w:hAnsi="Arial"/>
                <w:sz w:val="16"/>
                <w:szCs w:val="16"/>
                <w:color w:val="auto"/>
              </w:rPr>
              <w:t>0</w:t>
            </w:r>
          </w:p>
        </w:tc>
        <w:tc>
          <w:tcPr>
            <w:tcW w:w="98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132</w:t>
            </w:r>
          </w:p>
        </w:tc>
        <w:tc>
          <w:tcPr>
            <w:tcW w:w="800" w:type="dxa"/>
            <w:vAlign w:val="bottom"/>
            <w:shd w:val="clear" w:color="auto" w:fill="E3E5EB"/>
          </w:tcPr>
          <w:p>
            <w:pPr>
              <w:jc w:val="right"/>
              <w:ind w:right="180"/>
              <w:spacing w:after="0"/>
              <w:rPr>
                <w:sz w:val="20"/>
                <w:szCs w:val="20"/>
                <w:color w:val="auto"/>
              </w:rPr>
            </w:pPr>
            <w:r>
              <w:rPr>
                <w:rFonts w:ascii="Arial" w:cs="Arial" w:eastAsia="Arial" w:hAnsi="Arial"/>
                <w:sz w:val="16"/>
                <w:szCs w:val="16"/>
                <w:color w:val="auto"/>
              </w:rPr>
              <w:t>139</w:t>
            </w:r>
          </w:p>
        </w:tc>
        <w:tc>
          <w:tcPr>
            <w:tcW w:w="1400" w:type="dxa"/>
            <w:vAlign w:val="bottom"/>
            <w:shd w:val="clear" w:color="auto" w:fill="E3E5EB"/>
          </w:tcPr>
          <w:p>
            <w:pPr>
              <w:jc w:val="right"/>
              <w:ind w:right="500"/>
              <w:spacing w:after="0"/>
              <w:rPr>
                <w:sz w:val="20"/>
                <w:szCs w:val="20"/>
                <w:color w:val="auto"/>
              </w:rPr>
            </w:pPr>
            <w:r>
              <w:rPr>
                <w:rFonts w:ascii="Arial" w:cs="Arial" w:eastAsia="Arial" w:hAnsi="Arial"/>
                <w:sz w:val="16"/>
                <w:szCs w:val="16"/>
                <w:color w:val="auto"/>
              </w:rPr>
              <w:t>147</w:t>
            </w:r>
          </w:p>
        </w:tc>
        <w:tc>
          <w:tcPr>
            <w:tcW w:w="1260" w:type="dxa"/>
            <w:vAlign w:val="bottom"/>
            <w:shd w:val="clear" w:color="auto" w:fill="E3E5EB"/>
          </w:tcPr>
          <w:p>
            <w:pPr>
              <w:jc w:val="right"/>
              <w:ind w:right="360"/>
              <w:spacing w:after="0"/>
              <w:rPr>
                <w:sz w:val="20"/>
                <w:szCs w:val="20"/>
                <w:color w:val="auto"/>
              </w:rPr>
            </w:pPr>
            <w:r>
              <w:rPr>
                <w:rFonts w:ascii="Arial" w:cs="Arial" w:eastAsia="Arial" w:hAnsi="Arial"/>
                <w:sz w:val="16"/>
                <w:szCs w:val="16"/>
                <w:color w:val="auto"/>
              </w:rPr>
              <w:t>143</w:t>
            </w:r>
          </w:p>
        </w:tc>
      </w:tr>
      <w:tr>
        <w:trPr>
          <w:trHeight w:val="184"/>
        </w:trPr>
        <w:tc>
          <w:tcPr>
            <w:tcW w:w="1980" w:type="dxa"/>
            <w:vAlign w:val="bottom"/>
          </w:tcPr>
          <w:p>
            <w:pPr>
              <w:spacing w:after="0"/>
              <w:rPr>
                <w:sz w:val="20"/>
                <w:szCs w:val="20"/>
                <w:color w:val="auto"/>
              </w:rPr>
            </w:pPr>
            <w:r>
              <w:rPr>
                <w:rFonts w:ascii="Arial" w:cs="Arial" w:eastAsia="Arial" w:hAnsi="Arial"/>
                <w:sz w:val="16"/>
                <w:szCs w:val="16"/>
                <w:color w:val="auto"/>
              </w:rPr>
              <w:t>David P. Falck</w:t>
            </w:r>
          </w:p>
        </w:tc>
        <w:tc>
          <w:tcPr>
            <w:tcW w:w="1800" w:type="dxa"/>
            <w:vAlign w:val="bottom"/>
          </w:tcPr>
          <w:p>
            <w:pPr>
              <w:jc w:val="right"/>
              <w:ind w:right="440"/>
              <w:spacing w:after="0"/>
              <w:rPr>
                <w:sz w:val="20"/>
                <w:szCs w:val="20"/>
                <w:color w:val="auto"/>
              </w:rPr>
            </w:pPr>
            <w:r>
              <w:rPr>
                <w:rFonts w:ascii="Arial" w:cs="Arial" w:eastAsia="Arial" w:hAnsi="Arial"/>
                <w:sz w:val="16"/>
                <w:szCs w:val="16"/>
                <w:color w:val="auto"/>
              </w:rPr>
              <w:t>255</w:t>
            </w:r>
          </w:p>
        </w:tc>
        <w:tc>
          <w:tcPr>
            <w:tcW w:w="980" w:type="dxa"/>
            <w:vAlign w:val="bottom"/>
          </w:tcPr>
          <w:p>
            <w:pPr>
              <w:jc w:val="right"/>
              <w:ind w:right="260"/>
              <w:spacing w:after="0"/>
              <w:rPr>
                <w:sz w:val="20"/>
                <w:szCs w:val="20"/>
                <w:color w:val="auto"/>
              </w:rPr>
            </w:pPr>
            <w:r>
              <w:rPr>
                <w:rFonts w:ascii="Arial" w:cs="Arial" w:eastAsia="Arial" w:hAnsi="Arial"/>
                <w:sz w:val="16"/>
                <w:szCs w:val="16"/>
                <w:color w:val="auto"/>
              </w:rPr>
              <w:t>67</w:t>
            </w:r>
          </w:p>
        </w:tc>
        <w:tc>
          <w:tcPr>
            <w:tcW w:w="800" w:type="dxa"/>
            <w:vAlign w:val="bottom"/>
          </w:tcPr>
          <w:p>
            <w:pPr>
              <w:jc w:val="right"/>
              <w:ind w:right="180"/>
              <w:spacing w:after="0"/>
              <w:rPr>
                <w:sz w:val="20"/>
                <w:szCs w:val="20"/>
                <w:color w:val="auto"/>
              </w:rPr>
            </w:pPr>
            <w:r>
              <w:rPr>
                <w:rFonts w:ascii="Arial" w:cs="Arial" w:eastAsia="Arial" w:hAnsi="Arial"/>
                <w:sz w:val="16"/>
                <w:szCs w:val="16"/>
                <w:color w:val="auto"/>
              </w:rPr>
              <w:t>69</w:t>
            </w:r>
          </w:p>
        </w:tc>
        <w:tc>
          <w:tcPr>
            <w:tcW w:w="1400" w:type="dxa"/>
            <w:vAlign w:val="bottom"/>
          </w:tcPr>
          <w:p>
            <w:pPr>
              <w:jc w:val="right"/>
              <w:ind w:right="500"/>
              <w:spacing w:after="0"/>
              <w:rPr>
                <w:sz w:val="20"/>
                <w:szCs w:val="20"/>
                <w:color w:val="auto"/>
              </w:rPr>
            </w:pPr>
            <w:r>
              <w:rPr>
                <w:rFonts w:ascii="Arial" w:cs="Arial" w:eastAsia="Arial" w:hAnsi="Arial"/>
                <w:sz w:val="16"/>
                <w:szCs w:val="16"/>
                <w:color w:val="auto"/>
              </w:rPr>
              <w:t>73</w:t>
            </w:r>
          </w:p>
        </w:tc>
        <w:tc>
          <w:tcPr>
            <w:tcW w:w="1260" w:type="dxa"/>
            <w:vAlign w:val="bottom"/>
          </w:tcPr>
          <w:p>
            <w:pPr>
              <w:jc w:val="right"/>
              <w:ind w:right="360"/>
              <w:spacing w:after="0"/>
              <w:rPr>
                <w:sz w:val="20"/>
                <w:szCs w:val="20"/>
                <w:color w:val="auto"/>
              </w:rPr>
            </w:pPr>
            <w:r>
              <w:rPr>
                <w:rFonts w:ascii="Arial" w:cs="Arial" w:eastAsia="Arial" w:hAnsi="Arial"/>
                <w:sz w:val="16"/>
                <w:szCs w:val="16"/>
                <w:color w:val="auto"/>
              </w:rPr>
              <w:t>72</w:t>
            </w:r>
          </w:p>
        </w:tc>
      </w:tr>
      <w:tr>
        <w:trPr>
          <w:trHeight w:val="184"/>
        </w:trPr>
        <w:tc>
          <w:tcPr>
            <w:tcW w:w="1980" w:type="dxa"/>
            <w:vAlign w:val="bottom"/>
            <w:shd w:val="clear" w:color="auto" w:fill="E3E5EB"/>
          </w:tcPr>
          <w:p>
            <w:pPr>
              <w:spacing w:after="0"/>
              <w:rPr>
                <w:sz w:val="20"/>
                <w:szCs w:val="20"/>
                <w:color w:val="auto"/>
              </w:rPr>
            </w:pPr>
            <w:r>
              <w:rPr>
                <w:rFonts w:ascii="Arial" w:cs="Arial" w:eastAsia="Arial" w:hAnsi="Arial"/>
                <w:sz w:val="16"/>
                <w:szCs w:val="16"/>
                <w:color w:val="auto"/>
              </w:rPr>
              <w:t>Mark A. Schiavoni</w:t>
            </w:r>
          </w:p>
        </w:tc>
        <w:tc>
          <w:tcPr>
            <w:tcW w:w="1800" w:type="dxa"/>
            <w:vAlign w:val="bottom"/>
            <w:shd w:val="clear" w:color="auto" w:fill="E3E5EB"/>
          </w:tcPr>
          <w:p>
            <w:pPr>
              <w:jc w:val="right"/>
              <w:ind w:right="440"/>
              <w:spacing w:after="0"/>
              <w:rPr>
                <w:sz w:val="20"/>
                <w:szCs w:val="20"/>
                <w:color w:val="auto"/>
              </w:rPr>
            </w:pPr>
            <w:r>
              <w:rPr>
                <w:rFonts w:ascii="Arial" w:cs="Arial" w:eastAsia="Arial" w:hAnsi="Arial"/>
                <w:sz w:val="16"/>
                <w:szCs w:val="16"/>
                <w:color w:val="auto"/>
              </w:rPr>
              <w:t>255</w:t>
            </w:r>
          </w:p>
        </w:tc>
        <w:tc>
          <w:tcPr>
            <w:tcW w:w="980" w:type="dxa"/>
            <w:vAlign w:val="bottom"/>
            <w:shd w:val="clear" w:color="auto" w:fill="E3E5EB"/>
          </w:tcPr>
          <w:p>
            <w:pPr>
              <w:jc w:val="right"/>
              <w:ind w:right="260"/>
              <w:spacing w:after="0"/>
              <w:rPr>
                <w:sz w:val="20"/>
                <w:szCs w:val="20"/>
                <w:color w:val="auto"/>
              </w:rPr>
            </w:pPr>
            <w:r>
              <w:rPr>
                <w:rFonts w:ascii="Arial" w:cs="Arial" w:eastAsia="Arial" w:hAnsi="Arial"/>
                <w:sz w:val="16"/>
                <w:szCs w:val="16"/>
                <w:color w:val="auto"/>
              </w:rPr>
              <w:t>67</w:t>
            </w:r>
          </w:p>
        </w:tc>
        <w:tc>
          <w:tcPr>
            <w:tcW w:w="800" w:type="dxa"/>
            <w:vAlign w:val="bottom"/>
            <w:shd w:val="clear" w:color="auto" w:fill="E3E5EB"/>
          </w:tcPr>
          <w:p>
            <w:pPr>
              <w:jc w:val="right"/>
              <w:ind w:right="180"/>
              <w:spacing w:after="0"/>
              <w:rPr>
                <w:sz w:val="20"/>
                <w:szCs w:val="20"/>
                <w:color w:val="auto"/>
              </w:rPr>
            </w:pPr>
            <w:r>
              <w:rPr>
                <w:rFonts w:ascii="Arial" w:cs="Arial" w:eastAsia="Arial" w:hAnsi="Arial"/>
                <w:sz w:val="16"/>
                <w:szCs w:val="16"/>
                <w:color w:val="auto"/>
              </w:rPr>
              <w:t>69</w:t>
            </w:r>
          </w:p>
        </w:tc>
        <w:tc>
          <w:tcPr>
            <w:tcW w:w="1400" w:type="dxa"/>
            <w:vAlign w:val="bottom"/>
            <w:shd w:val="clear" w:color="auto" w:fill="E3E5EB"/>
          </w:tcPr>
          <w:p>
            <w:pPr>
              <w:jc w:val="right"/>
              <w:ind w:right="500"/>
              <w:spacing w:after="0"/>
              <w:rPr>
                <w:sz w:val="20"/>
                <w:szCs w:val="20"/>
                <w:color w:val="auto"/>
              </w:rPr>
            </w:pPr>
            <w:r>
              <w:rPr>
                <w:rFonts w:ascii="Arial" w:cs="Arial" w:eastAsia="Arial" w:hAnsi="Arial"/>
                <w:sz w:val="16"/>
                <w:szCs w:val="16"/>
                <w:color w:val="auto"/>
              </w:rPr>
              <w:t>73</w:t>
            </w:r>
          </w:p>
        </w:tc>
        <w:tc>
          <w:tcPr>
            <w:tcW w:w="1260" w:type="dxa"/>
            <w:vAlign w:val="bottom"/>
            <w:shd w:val="clear" w:color="auto" w:fill="E3E5EB"/>
          </w:tcPr>
          <w:p>
            <w:pPr>
              <w:jc w:val="right"/>
              <w:ind w:right="360"/>
              <w:spacing w:after="0"/>
              <w:rPr>
                <w:sz w:val="20"/>
                <w:szCs w:val="20"/>
                <w:color w:val="auto"/>
              </w:rPr>
            </w:pPr>
            <w:r>
              <w:rPr>
                <w:rFonts w:ascii="Arial" w:cs="Arial" w:eastAsia="Arial" w:hAnsi="Arial"/>
                <w:sz w:val="16"/>
                <w:szCs w:val="16"/>
                <w:color w:val="auto"/>
              </w:rPr>
              <w:t>72</w:t>
            </w:r>
          </w:p>
        </w:tc>
      </w:tr>
      <w:tr>
        <w:trPr>
          <w:trHeight w:val="37"/>
        </w:trPr>
        <w:tc>
          <w:tcPr>
            <w:tcW w:w="1980" w:type="dxa"/>
            <w:vAlign w:val="bottom"/>
            <w:tcBorders>
              <w:bottom w:val="single" w:sz="8" w:color="888992"/>
            </w:tcBorders>
          </w:tcPr>
          <w:p>
            <w:pPr>
              <w:spacing w:after="0"/>
              <w:rPr>
                <w:sz w:val="3"/>
                <w:szCs w:val="3"/>
                <w:color w:val="auto"/>
              </w:rPr>
            </w:pPr>
          </w:p>
        </w:tc>
        <w:tc>
          <w:tcPr>
            <w:tcW w:w="1800" w:type="dxa"/>
            <w:vAlign w:val="bottom"/>
            <w:tcBorders>
              <w:bottom w:val="single" w:sz="8" w:color="888992"/>
            </w:tcBorders>
          </w:tcPr>
          <w:p>
            <w:pPr>
              <w:spacing w:after="0"/>
              <w:rPr>
                <w:sz w:val="3"/>
                <w:szCs w:val="3"/>
                <w:color w:val="auto"/>
              </w:rPr>
            </w:pPr>
          </w:p>
        </w:tc>
        <w:tc>
          <w:tcPr>
            <w:tcW w:w="980" w:type="dxa"/>
            <w:vAlign w:val="bottom"/>
            <w:tcBorders>
              <w:bottom w:val="single" w:sz="8" w:color="888992"/>
            </w:tcBorders>
          </w:tcPr>
          <w:p>
            <w:pPr>
              <w:spacing w:after="0"/>
              <w:rPr>
                <w:sz w:val="3"/>
                <w:szCs w:val="3"/>
                <w:color w:val="auto"/>
              </w:rPr>
            </w:pPr>
          </w:p>
        </w:tc>
        <w:tc>
          <w:tcPr>
            <w:tcW w:w="800" w:type="dxa"/>
            <w:vAlign w:val="bottom"/>
            <w:tcBorders>
              <w:bottom w:val="single" w:sz="8" w:color="888992"/>
            </w:tcBorders>
          </w:tcPr>
          <w:p>
            <w:pPr>
              <w:spacing w:after="0"/>
              <w:rPr>
                <w:sz w:val="3"/>
                <w:szCs w:val="3"/>
                <w:color w:val="auto"/>
              </w:rPr>
            </w:pPr>
          </w:p>
        </w:tc>
        <w:tc>
          <w:tcPr>
            <w:tcW w:w="1400" w:type="dxa"/>
            <w:vAlign w:val="bottom"/>
            <w:tcBorders>
              <w:bottom w:val="single" w:sz="8" w:color="888992"/>
            </w:tcBorders>
          </w:tcPr>
          <w:p>
            <w:pPr>
              <w:spacing w:after="0"/>
              <w:rPr>
                <w:sz w:val="3"/>
                <w:szCs w:val="3"/>
                <w:color w:val="auto"/>
              </w:rPr>
            </w:pPr>
          </w:p>
        </w:tc>
        <w:tc>
          <w:tcPr>
            <w:tcW w:w="1260" w:type="dxa"/>
            <w:vAlign w:val="bottom"/>
            <w:tcBorders>
              <w:bottom w:val="single" w:sz="8" w:color="888992"/>
            </w:tcBorders>
          </w:tcPr>
          <w:p>
            <w:pPr>
              <w:spacing w:after="0"/>
              <w:rPr>
                <w:sz w:val="3"/>
                <w:szCs w:val="3"/>
                <w:color w:val="auto"/>
              </w:rPr>
            </w:pPr>
          </w:p>
        </w:tc>
      </w:tr>
    </w:tbl>
    <w:p>
      <w:pPr>
        <w:spacing w:after="0" w:line="228" w:lineRule="exact"/>
        <w:rPr>
          <w:rFonts w:ascii="Arial" w:cs="Arial" w:eastAsia="Arial" w:hAnsi="Arial"/>
          <w:sz w:val="13"/>
          <w:szCs w:val="13"/>
          <w:b w:val="1"/>
          <w:bCs w:val="1"/>
          <w:color w:val="FFFFFE"/>
        </w:rPr>
      </w:pPr>
    </w:p>
    <w:p>
      <w:pPr>
        <w:ind w:left="1860" w:right="260"/>
        <w:spacing w:after="0" w:line="246" w:lineRule="auto"/>
        <w:rPr>
          <w:sz w:val="20"/>
          <w:szCs w:val="20"/>
          <w:color w:val="auto"/>
        </w:rPr>
      </w:pPr>
      <w:r>
        <w:rPr>
          <w:rFonts w:ascii="Arial" w:cs="Arial" w:eastAsia="Arial" w:hAnsi="Arial"/>
          <w:sz w:val="16"/>
          <w:szCs w:val="16"/>
          <w:color w:val="auto"/>
        </w:rPr>
        <w:t>and (vii) performance shares that were granted to all of the Named Executive Officers in February 2012, which were based on a performance period of January 1, 2012 to December 31, 2014, and which were released in 2015 when the Company had the information needed to determine whether, and to what extent, the applicable performance criteria were met, as follows: performance shares related to TSR were released on February 17, 2015 as follows: Mr. Brandt — 27,151; Mr. Hatfield — 3,771;</w:t>
      </w:r>
    </w:p>
    <w:p>
      <w:pPr>
        <w:spacing w:after="0" w:line="2" w:lineRule="exact"/>
        <w:rPr>
          <w:rFonts w:ascii="Arial" w:cs="Arial" w:eastAsia="Arial" w:hAnsi="Arial"/>
          <w:sz w:val="13"/>
          <w:szCs w:val="13"/>
          <w:b w:val="1"/>
          <w:bCs w:val="1"/>
          <w:color w:val="FFFFFE"/>
        </w:rPr>
      </w:pPr>
    </w:p>
    <w:p>
      <w:pPr>
        <w:ind w:left="1860" w:right="280"/>
        <w:spacing w:after="0"/>
        <w:rPr>
          <w:sz w:val="20"/>
          <w:szCs w:val="20"/>
          <w:color w:val="auto"/>
        </w:rPr>
      </w:pPr>
      <w:r>
        <w:rPr>
          <w:rFonts w:ascii="Arial" w:cs="Arial" w:eastAsia="Arial" w:hAnsi="Arial"/>
          <w:sz w:val="16"/>
          <w:szCs w:val="16"/>
          <w:color w:val="auto"/>
        </w:rPr>
        <w:t>Mr. Edington — 3,771; Mr. Falck — 5,279; and Mr. Schiavoni — 3,017; dividend rights (and interest thereon) payable in stock on the performance shares released on February 17, 2015 as follows: Mr. Brandt — 2,992; Mr. Hatfield — 416; Mr. Edington — 416;</w:t>
      </w:r>
    </w:p>
    <w:p>
      <w:pPr>
        <w:ind w:left="1860" w:right="120"/>
        <w:spacing w:after="0"/>
        <w:rPr>
          <w:sz w:val="20"/>
          <w:szCs w:val="20"/>
          <w:color w:val="auto"/>
        </w:rPr>
      </w:pPr>
      <w:r>
        <w:rPr>
          <w:rFonts w:ascii="Arial" w:cs="Arial" w:eastAsia="Arial" w:hAnsi="Arial"/>
          <w:sz w:val="16"/>
          <w:szCs w:val="16"/>
          <w:color w:val="auto"/>
        </w:rPr>
        <w:t>Mr. Falck — 582; and Mr. Schiavoni — 332; and performance shares related to the six operational performance metrics were released on October 20, 2015 as follows: Mr. Brandt — 34,085; Mr. Hatfield — 4,734; Mr. Edington — 4,734; Mr. Falck — 6,627; and</w:t>
      </w:r>
    </w:p>
    <w:p>
      <w:pPr>
        <w:ind w:left="1860" w:right="60"/>
        <w:spacing w:after="0" w:line="253" w:lineRule="auto"/>
        <w:rPr>
          <w:sz w:val="20"/>
          <w:szCs w:val="20"/>
          <w:color w:val="auto"/>
        </w:rPr>
      </w:pPr>
      <w:r>
        <w:rPr>
          <w:rFonts w:ascii="Arial" w:cs="Arial" w:eastAsia="Arial" w:hAnsi="Arial"/>
          <w:sz w:val="16"/>
          <w:szCs w:val="16"/>
          <w:color w:val="auto"/>
        </w:rPr>
        <w:t>Mr. Schiavoni — 3,787; and dividend rights (and interest thereon) payable in stock on the performance shares released on October 20, 2015 as follows: Mr. Brandt — 4,464; Mr. Hatfield — 620; Mr. Edington — 620; Mr. Falck — 868; and Mr. Schiavoni — 496.</w:t>
      </w:r>
    </w:p>
    <w:p>
      <w:pPr>
        <w:spacing w:after="0" w:line="144" w:lineRule="exact"/>
        <w:rPr>
          <w:rFonts w:ascii="Arial" w:cs="Arial" w:eastAsia="Arial" w:hAnsi="Arial"/>
          <w:sz w:val="13"/>
          <w:szCs w:val="13"/>
          <w:b w:val="1"/>
          <w:bCs w:val="1"/>
          <w:color w:val="FFFFFE"/>
        </w:rPr>
      </w:pPr>
    </w:p>
    <w:p>
      <w:pPr>
        <w:ind w:left="1860" w:right="60" w:hanging="490"/>
        <w:spacing w:after="0" w:line="246" w:lineRule="auto"/>
        <w:tabs>
          <w:tab w:leader="none" w:pos="1860" w:val="left"/>
        </w:tabs>
        <w:numPr>
          <w:ilvl w:val="0"/>
          <w:numId w:val="90"/>
        </w:numPr>
        <w:rPr>
          <w:rFonts w:ascii="Arial" w:cs="Arial" w:eastAsia="Arial" w:hAnsi="Arial"/>
          <w:sz w:val="16"/>
          <w:szCs w:val="16"/>
          <w:color w:val="auto"/>
        </w:rPr>
      </w:pPr>
      <w:r>
        <w:rPr>
          <w:rFonts w:ascii="Arial" w:cs="Arial" w:eastAsia="Arial" w:hAnsi="Arial"/>
          <w:sz w:val="16"/>
          <w:szCs w:val="16"/>
          <w:color w:val="auto"/>
        </w:rPr>
        <w:t>The values realized for the RSUs, Supplemental RSUs and the performance shares are calculated by multiplying the number of shares of stock or units released or vested by the market value of the common stock on the release or vesting date, which: (i) for the RSUs released on February 20, 2015 was $65.77; (ii) for the Supplemental RSUs vested on February 13, 2015 was $65.13; (iii) for the Supplemental RSUs vested on March 2, 2015 was $62.86; (iv) for the Supplemental RSUs vested on June 1, 2015 was $60.91; (v) for the Supplemental RSUs vested on September 1, 2015 was $58.01; (vi) for the Supplemental RSUs vested on December 1, 2015 was $63.52; (vii) for the performance shares released on February 17, 2015 was $64.97; and (viii) for the performance shares released on October 20, 2015 was $65.74.</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169545</wp:posOffset>
            </wp:positionV>
            <wp:extent cx="841375" cy="16383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2"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74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83" w:name="page84"/>
    <w:bookmarkEnd w:id="8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137795</wp:posOffset>
            </wp:positionV>
            <wp:extent cx="1487805" cy="15557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9140"/>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Pension Benefits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360"/>
        <w:spacing w:after="0" w:line="247" w:lineRule="auto"/>
        <w:rPr>
          <w:sz w:val="20"/>
          <w:szCs w:val="20"/>
          <w:color w:val="auto"/>
        </w:rPr>
      </w:pPr>
      <w:r>
        <w:rPr>
          <w:rFonts w:ascii="Arial" w:cs="Arial" w:eastAsia="Arial" w:hAnsi="Arial"/>
          <w:sz w:val="20"/>
          <w:szCs w:val="20"/>
          <w:color w:val="auto"/>
        </w:rPr>
        <w:t>The Pension Benefits table below includes estimates of the potential future pension benefits for each Named Executive Officer based on the actuarial assumptions used for financial reporting purposes, such as the life expectancy of each Named Executive Officer and his spouse and "discount rates."</w:t>
      </w:r>
    </w:p>
    <w:p>
      <w:pPr>
        <w:spacing w:after="0" w:line="200" w:lineRule="exact"/>
        <w:rPr>
          <w:sz w:val="20"/>
          <w:szCs w:val="20"/>
          <w:color w:val="auto"/>
        </w:rPr>
      </w:pPr>
    </w:p>
    <w:p>
      <w:pPr>
        <w:spacing w:after="0" w:line="303" w:lineRule="exact"/>
        <w:rPr>
          <w:sz w:val="20"/>
          <w:szCs w:val="20"/>
          <w:color w:val="auto"/>
        </w:rPr>
      </w:pPr>
    </w:p>
    <w:tbl>
      <w:tblPr>
        <w:tblLayout w:type="fixed"/>
        <w:tblInd w:w="1460" w:type="dxa"/>
        <w:tblCellMar>
          <w:top w:w="0" w:type="dxa"/>
          <w:left w:w="0" w:type="dxa"/>
          <w:bottom w:w="0" w:type="dxa"/>
          <w:right w:w="0" w:type="dxa"/>
        </w:tblCellMar>
      </w:tblPr>
      <w:tr>
        <w:trPr>
          <w:trHeight w:val="203"/>
        </w:trPr>
        <w:tc>
          <w:tcPr>
            <w:tcW w:w="2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960" w:type="dxa"/>
            <w:vAlign w:val="bottom"/>
          </w:tcPr>
          <w:p>
            <w:pPr>
              <w:spacing w:after="0"/>
              <w:rPr>
                <w:sz w:val="17"/>
                <w:szCs w:val="17"/>
                <w:color w:val="auto"/>
              </w:rPr>
            </w:pPr>
          </w:p>
        </w:tc>
        <w:tc>
          <w:tcPr>
            <w:tcW w:w="1680" w:type="dxa"/>
            <w:vAlign w:val="bottom"/>
          </w:tcPr>
          <w:p>
            <w:pPr>
              <w:spacing w:after="0"/>
              <w:rPr>
                <w:sz w:val="17"/>
                <w:szCs w:val="17"/>
                <w:color w:val="auto"/>
              </w:rPr>
            </w:pPr>
          </w:p>
        </w:tc>
        <w:tc>
          <w:tcPr>
            <w:tcW w:w="1700" w:type="dxa"/>
            <w:vAlign w:val="bottom"/>
          </w:tcPr>
          <w:p>
            <w:pPr>
              <w:jc w:val="center"/>
              <w:spacing w:after="0"/>
              <w:rPr>
                <w:sz w:val="20"/>
                <w:szCs w:val="20"/>
                <w:color w:val="auto"/>
              </w:rPr>
            </w:pPr>
            <w:r>
              <w:rPr>
                <w:rFonts w:ascii="Arial" w:cs="Arial" w:eastAsia="Arial" w:hAnsi="Arial"/>
                <w:sz w:val="16"/>
                <w:szCs w:val="16"/>
                <w:b w:val="1"/>
                <w:bCs w:val="1"/>
                <w:color w:val="3A5575"/>
                <w:w w:val="99"/>
              </w:rPr>
              <w:t>PRESENT VALUE OF</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w w:val="94"/>
              </w:rPr>
              <w:t>PAYMENTS</w:t>
            </w:r>
          </w:p>
        </w:tc>
      </w:tr>
      <w:tr>
        <w:trPr>
          <w:trHeight w:val="184"/>
        </w:trPr>
        <w:tc>
          <w:tcPr>
            <w:tcW w:w="20" w:type="dxa"/>
            <w:vAlign w:val="bottom"/>
          </w:tcPr>
          <w:p>
            <w:pPr>
              <w:spacing w:after="0"/>
              <w:rPr>
                <w:sz w:val="16"/>
                <w:szCs w:val="16"/>
                <w:color w:val="auto"/>
              </w:rPr>
            </w:pPr>
          </w:p>
        </w:tc>
        <w:tc>
          <w:tcPr>
            <w:tcW w:w="18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1680" w:type="dxa"/>
            <w:vAlign w:val="bottom"/>
          </w:tcPr>
          <w:p>
            <w:pPr>
              <w:jc w:val="center"/>
              <w:spacing w:after="0"/>
              <w:rPr>
                <w:sz w:val="20"/>
                <w:szCs w:val="20"/>
                <w:color w:val="auto"/>
              </w:rPr>
            </w:pPr>
            <w:r>
              <w:rPr>
                <w:rFonts w:ascii="Arial" w:cs="Arial" w:eastAsia="Arial" w:hAnsi="Arial"/>
                <w:sz w:val="16"/>
                <w:szCs w:val="16"/>
                <w:b w:val="1"/>
                <w:bCs w:val="1"/>
                <w:color w:val="3A5575"/>
                <w:w w:val="99"/>
              </w:rPr>
              <w:t>NUMBER OF YEARS</w:t>
            </w:r>
          </w:p>
        </w:tc>
        <w:tc>
          <w:tcPr>
            <w:tcW w:w="1700" w:type="dxa"/>
            <w:vAlign w:val="bottom"/>
          </w:tcPr>
          <w:p>
            <w:pPr>
              <w:jc w:val="center"/>
              <w:spacing w:after="0"/>
              <w:rPr>
                <w:sz w:val="20"/>
                <w:szCs w:val="20"/>
                <w:color w:val="auto"/>
              </w:rPr>
            </w:pPr>
            <w:r>
              <w:rPr>
                <w:rFonts w:ascii="Arial" w:cs="Arial" w:eastAsia="Arial" w:hAnsi="Arial"/>
                <w:sz w:val="16"/>
                <w:szCs w:val="16"/>
                <w:b w:val="1"/>
                <w:bCs w:val="1"/>
                <w:color w:val="3A5575"/>
                <w:w w:val="99"/>
              </w:rPr>
              <w:t>ACCUMULATED</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w w:val="98"/>
              </w:rPr>
              <w:t>DURING LAST</w:t>
            </w:r>
          </w:p>
        </w:tc>
      </w:tr>
      <w:tr>
        <w:trPr>
          <w:trHeight w:val="184"/>
        </w:trPr>
        <w:tc>
          <w:tcPr>
            <w:tcW w:w="20" w:type="dxa"/>
            <w:vAlign w:val="bottom"/>
          </w:tcPr>
          <w:p>
            <w:pPr>
              <w:spacing w:after="0"/>
              <w:rPr>
                <w:sz w:val="16"/>
                <w:szCs w:val="16"/>
                <w:color w:val="auto"/>
              </w:rPr>
            </w:pPr>
          </w:p>
        </w:tc>
        <w:tc>
          <w:tcPr>
            <w:tcW w:w="1880" w:type="dxa"/>
            <w:vAlign w:val="bottom"/>
          </w:tcPr>
          <w:p>
            <w:pPr>
              <w:spacing w:after="0"/>
              <w:rPr>
                <w:sz w:val="16"/>
                <w:szCs w:val="16"/>
                <w:color w:val="auto"/>
              </w:rPr>
            </w:pPr>
          </w:p>
        </w:tc>
        <w:tc>
          <w:tcPr>
            <w:tcW w:w="1960" w:type="dxa"/>
            <w:vAlign w:val="bottom"/>
          </w:tcPr>
          <w:p>
            <w:pPr>
              <w:spacing w:after="0"/>
              <w:rPr>
                <w:sz w:val="16"/>
                <w:szCs w:val="16"/>
                <w:color w:val="auto"/>
              </w:rPr>
            </w:pPr>
          </w:p>
        </w:tc>
        <w:tc>
          <w:tcPr>
            <w:tcW w:w="1680" w:type="dxa"/>
            <w:vAlign w:val="bottom"/>
          </w:tcPr>
          <w:p>
            <w:pPr>
              <w:jc w:val="center"/>
              <w:spacing w:after="0"/>
              <w:rPr>
                <w:sz w:val="20"/>
                <w:szCs w:val="20"/>
                <w:color w:val="auto"/>
              </w:rPr>
            </w:pPr>
            <w:r>
              <w:rPr>
                <w:rFonts w:ascii="Arial" w:cs="Arial" w:eastAsia="Arial" w:hAnsi="Arial"/>
                <w:sz w:val="16"/>
                <w:szCs w:val="16"/>
                <w:b w:val="1"/>
                <w:bCs w:val="1"/>
                <w:color w:val="3A5575"/>
                <w:w w:val="99"/>
              </w:rPr>
              <w:t>CREDITED SERVICE</w:t>
            </w:r>
          </w:p>
        </w:tc>
        <w:tc>
          <w:tcPr>
            <w:tcW w:w="1700" w:type="dxa"/>
            <w:vAlign w:val="bottom"/>
          </w:tcPr>
          <w:p>
            <w:pPr>
              <w:jc w:val="center"/>
              <w:spacing w:after="0"/>
              <w:rPr>
                <w:sz w:val="20"/>
                <w:szCs w:val="20"/>
                <w:color w:val="auto"/>
              </w:rPr>
            </w:pPr>
            <w:r>
              <w:rPr>
                <w:rFonts w:ascii="Arial" w:cs="Arial" w:eastAsia="Arial" w:hAnsi="Arial"/>
                <w:sz w:val="16"/>
                <w:szCs w:val="16"/>
                <w:b w:val="1"/>
                <w:bCs w:val="1"/>
                <w:color w:val="3A5575"/>
              </w:rPr>
              <w:t>BENEFITS</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rPr>
              <w:t>FISCAL YEAR</w:t>
            </w:r>
          </w:p>
        </w:tc>
      </w:tr>
      <w:tr>
        <w:trPr>
          <w:trHeight w:val="221"/>
        </w:trPr>
        <w:tc>
          <w:tcPr>
            <w:tcW w:w="1900" w:type="dxa"/>
            <w:vAlign w:val="bottom"/>
            <w:tcBorders>
              <w:bottom w:val="single" w:sz="8" w:color="888992"/>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1960" w:type="dxa"/>
            <w:vAlign w:val="bottom"/>
            <w:tcBorders>
              <w:bottom w:val="single" w:sz="8" w:color="888992"/>
            </w:tcBorders>
          </w:tcPr>
          <w:p>
            <w:pPr>
              <w:ind w:left="100"/>
              <w:spacing w:after="0"/>
              <w:rPr>
                <w:sz w:val="20"/>
                <w:szCs w:val="20"/>
                <w:color w:val="auto"/>
              </w:rPr>
            </w:pPr>
            <w:r>
              <w:rPr>
                <w:rFonts w:ascii="Arial" w:cs="Arial" w:eastAsia="Arial" w:hAnsi="Arial"/>
                <w:sz w:val="16"/>
                <w:szCs w:val="16"/>
                <w:b w:val="1"/>
                <w:bCs w:val="1"/>
                <w:color w:val="3A5575"/>
              </w:rPr>
              <w:t>PLAN NAME</w:t>
            </w:r>
          </w:p>
        </w:tc>
        <w:tc>
          <w:tcPr>
            <w:tcW w:w="168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rPr>
              <w:t>(#)</w:t>
            </w:r>
          </w:p>
        </w:tc>
        <w:tc>
          <w:tcPr>
            <w:tcW w:w="1700" w:type="dxa"/>
            <w:vAlign w:val="bottom"/>
            <w:tcBorders>
              <w:bottom w:val="single" w:sz="8" w:color="888992"/>
            </w:tcBorders>
          </w:tcPr>
          <w:p>
            <w:pPr>
              <w:jc w:val="center"/>
              <w:spacing w:after="0" w:line="221" w:lineRule="exact"/>
              <w:rPr>
                <w:sz w:val="20"/>
                <w:szCs w:val="20"/>
                <w:color w:val="auto"/>
              </w:rPr>
            </w:pPr>
            <w:r>
              <w:rPr>
                <w:rFonts w:ascii="Arial" w:cs="Arial" w:eastAsia="Arial" w:hAnsi="Arial"/>
                <w:sz w:val="25"/>
                <w:szCs w:val="25"/>
                <w:b w:val="1"/>
                <w:bCs w:val="1"/>
                <w:color w:val="3A5575"/>
                <w:vertAlign w:val="subscript"/>
              </w:rPr>
              <w:t>($)</w:t>
            </w:r>
            <w:r>
              <w:rPr>
                <w:rFonts w:ascii="Arial" w:cs="Arial" w:eastAsia="Arial" w:hAnsi="Arial"/>
                <w:sz w:val="12"/>
                <w:szCs w:val="12"/>
                <w:b w:val="1"/>
                <w:bCs w:val="1"/>
                <w:color w:val="3A5575"/>
              </w:rPr>
              <w:t>(1)</w:t>
            </w:r>
          </w:p>
        </w:tc>
        <w:tc>
          <w:tcPr>
            <w:tcW w:w="1140" w:type="dxa"/>
            <w:vAlign w:val="bottom"/>
            <w:tcBorders>
              <w:bottom w:val="single" w:sz="8" w:color="888992"/>
            </w:tcBorders>
          </w:tcPr>
          <w:p>
            <w:pPr>
              <w:jc w:val="center"/>
              <w:spacing w:after="0"/>
              <w:rPr>
                <w:sz w:val="20"/>
                <w:szCs w:val="20"/>
                <w:color w:val="auto"/>
              </w:rPr>
            </w:pPr>
            <w:r>
              <w:rPr>
                <w:rFonts w:ascii="Arial" w:cs="Arial" w:eastAsia="Arial" w:hAnsi="Arial"/>
                <w:sz w:val="16"/>
                <w:szCs w:val="16"/>
                <w:b w:val="1"/>
                <w:bCs w:val="1"/>
                <w:color w:val="3A5575"/>
              </w:rPr>
              <w:t>($)</w:t>
            </w:r>
          </w:p>
        </w:tc>
      </w:tr>
      <w:tr>
        <w:trPr>
          <w:trHeight w:val="213"/>
        </w:trPr>
        <w:tc>
          <w:tcPr>
            <w:tcW w:w="20" w:type="dxa"/>
            <w:vAlign w:val="bottom"/>
          </w:tcPr>
          <w:p>
            <w:pPr>
              <w:spacing w:after="0"/>
              <w:rPr>
                <w:sz w:val="18"/>
                <w:szCs w:val="18"/>
                <w:color w:val="auto"/>
              </w:rPr>
            </w:pPr>
          </w:p>
        </w:tc>
        <w:tc>
          <w:tcPr>
            <w:tcW w:w="1880" w:type="dxa"/>
            <w:vAlign w:val="bottom"/>
            <w:shd w:val="clear" w:color="auto" w:fill="E3E5EB"/>
          </w:tcPr>
          <w:p>
            <w:pPr>
              <w:spacing w:after="0" w:line="213" w:lineRule="exact"/>
              <w:rPr>
                <w:sz w:val="20"/>
                <w:szCs w:val="20"/>
                <w:color w:val="auto"/>
              </w:rPr>
            </w:pPr>
            <w:r>
              <w:rPr>
                <w:rFonts w:ascii="Arial" w:cs="Arial" w:eastAsia="Arial" w:hAnsi="Arial"/>
                <w:sz w:val="15"/>
                <w:szCs w:val="15"/>
                <w:color w:val="auto"/>
              </w:rPr>
              <w:t>Donald E. Brandt</w:t>
            </w:r>
            <w:r>
              <w:rPr>
                <w:rFonts w:ascii="Arial" w:cs="Arial" w:eastAsia="Arial" w:hAnsi="Arial"/>
                <w:sz w:val="24"/>
                <w:szCs w:val="24"/>
                <w:color w:val="auto"/>
                <w:vertAlign w:val="superscript"/>
              </w:rPr>
              <w:t>(2)</w:t>
            </w:r>
          </w:p>
        </w:tc>
        <w:tc>
          <w:tcPr>
            <w:tcW w:w="19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Retirement Plan</w:t>
            </w:r>
          </w:p>
        </w:tc>
        <w:tc>
          <w:tcPr>
            <w:tcW w:w="1680" w:type="dxa"/>
            <w:vAlign w:val="bottom"/>
            <w:shd w:val="clear" w:color="auto" w:fill="E3E5EB"/>
          </w:tcPr>
          <w:p>
            <w:pPr>
              <w:jc w:val="right"/>
              <w:ind w:right="600"/>
              <w:spacing w:after="0"/>
              <w:rPr>
                <w:sz w:val="20"/>
                <w:szCs w:val="20"/>
                <w:color w:val="auto"/>
              </w:rPr>
            </w:pPr>
            <w:r>
              <w:rPr>
                <w:rFonts w:ascii="Arial" w:cs="Arial" w:eastAsia="Arial" w:hAnsi="Arial"/>
                <w:sz w:val="16"/>
                <w:szCs w:val="16"/>
                <w:color w:val="auto"/>
              </w:rPr>
              <w:t>13</w:t>
            </w:r>
          </w:p>
        </w:tc>
        <w:tc>
          <w:tcPr>
            <w:tcW w:w="1700" w:type="dxa"/>
            <w:vAlign w:val="bottom"/>
            <w:shd w:val="clear" w:color="auto" w:fill="E3E5EB"/>
          </w:tcPr>
          <w:p>
            <w:pPr>
              <w:jc w:val="right"/>
              <w:ind w:right="342"/>
              <w:spacing w:after="0"/>
              <w:rPr>
                <w:sz w:val="20"/>
                <w:szCs w:val="20"/>
                <w:color w:val="auto"/>
              </w:rPr>
            </w:pPr>
            <w:r>
              <w:rPr>
                <w:rFonts w:ascii="Arial" w:cs="Arial" w:eastAsia="Arial" w:hAnsi="Arial"/>
                <w:sz w:val="16"/>
                <w:szCs w:val="16"/>
                <w:color w:val="auto"/>
              </w:rPr>
              <w:t>383,892</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84"/>
        </w:trPr>
        <w:tc>
          <w:tcPr>
            <w:tcW w:w="20" w:type="dxa"/>
            <w:vAlign w:val="bottom"/>
          </w:tcPr>
          <w:p>
            <w:pPr>
              <w:spacing w:after="0"/>
              <w:rPr>
                <w:sz w:val="16"/>
                <w:szCs w:val="16"/>
                <w:color w:val="auto"/>
              </w:rPr>
            </w:pPr>
          </w:p>
        </w:tc>
        <w:tc>
          <w:tcPr>
            <w:tcW w:w="1880" w:type="dxa"/>
            <w:vAlign w:val="bottom"/>
            <w:tcBorders>
              <w:bottom w:val="single" w:sz="8" w:color="646466"/>
            </w:tcBorders>
            <w:shd w:val="clear" w:color="auto" w:fill="E3E5EB"/>
          </w:tcPr>
          <w:p>
            <w:pPr>
              <w:spacing w:after="0"/>
              <w:rPr>
                <w:sz w:val="16"/>
                <w:szCs w:val="16"/>
                <w:color w:val="auto"/>
              </w:rPr>
            </w:pPr>
          </w:p>
        </w:tc>
        <w:tc>
          <w:tcPr>
            <w:tcW w:w="1960" w:type="dxa"/>
            <w:vAlign w:val="bottom"/>
            <w:tcBorders>
              <w:bottom w:val="single" w:sz="8" w:color="646466"/>
            </w:tcBorders>
            <w:shd w:val="clear" w:color="auto" w:fill="E3E5EB"/>
          </w:tcPr>
          <w:p>
            <w:pPr>
              <w:ind w:left="100"/>
              <w:spacing w:after="0"/>
              <w:rPr>
                <w:sz w:val="20"/>
                <w:szCs w:val="20"/>
                <w:color w:val="auto"/>
              </w:rPr>
            </w:pPr>
            <w:r>
              <w:rPr>
                <w:rFonts w:ascii="Arial" w:cs="Arial" w:eastAsia="Arial" w:hAnsi="Arial"/>
                <w:sz w:val="16"/>
                <w:szCs w:val="16"/>
                <w:color w:val="auto"/>
              </w:rPr>
              <w:t>Supplemental Plan</w:t>
            </w:r>
          </w:p>
        </w:tc>
        <w:tc>
          <w:tcPr>
            <w:tcW w:w="1680" w:type="dxa"/>
            <w:vAlign w:val="bottom"/>
            <w:tcBorders>
              <w:bottom w:val="single" w:sz="8" w:color="646466"/>
            </w:tcBorders>
            <w:shd w:val="clear" w:color="auto" w:fill="E3E5EB"/>
          </w:tcPr>
          <w:p>
            <w:pPr>
              <w:jc w:val="right"/>
              <w:ind w:right="600"/>
              <w:spacing w:after="0"/>
              <w:rPr>
                <w:sz w:val="20"/>
                <w:szCs w:val="20"/>
                <w:color w:val="auto"/>
              </w:rPr>
            </w:pPr>
            <w:r>
              <w:rPr>
                <w:rFonts w:ascii="Arial" w:cs="Arial" w:eastAsia="Arial" w:hAnsi="Arial"/>
                <w:sz w:val="16"/>
                <w:szCs w:val="16"/>
                <w:color w:val="auto"/>
              </w:rPr>
              <w:t>13</w:t>
            </w:r>
          </w:p>
        </w:tc>
        <w:tc>
          <w:tcPr>
            <w:tcW w:w="1700" w:type="dxa"/>
            <w:vAlign w:val="bottom"/>
            <w:tcBorders>
              <w:bottom w:val="single" w:sz="8" w:color="646466"/>
            </w:tcBorders>
            <w:shd w:val="clear" w:color="auto" w:fill="E3E5EB"/>
          </w:tcPr>
          <w:p>
            <w:pPr>
              <w:jc w:val="right"/>
              <w:ind w:right="342"/>
              <w:spacing w:after="0"/>
              <w:rPr>
                <w:sz w:val="20"/>
                <w:szCs w:val="20"/>
                <w:color w:val="auto"/>
              </w:rPr>
            </w:pPr>
            <w:r>
              <w:rPr>
                <w:rFonts w:ascii="Arial" w:cs="Arial" w:eastAsia="Arial" w:hAnsi="Arial"/>
                <w:sz w:val="16"/>
                <w:szCs w:val="16"/>
                <w:color w:val="auto"/>
              </w:rPr>
              <w:t>9,146,497</w:t>
            </w:r>
          </w:p>
        </w:tc>
        <w:tc>
          <w:tcPr>
            <w:tcW w:w="1140" w:type="dxa"/>
            <w:vAlign w:val="bottom"/>
            <w:tcBorders>
              <w:bottom w:val="single" w:sz="8" w:color="646466"/>
            </w:tcBorders>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96"/>
        </w:trPr>
        <w:tc>
          <w:tcPr>
            <w:tcW w:w="20" w:type="dxa"/>
            <w:vAlign w:val="bottom"/>
          </w:tcPr>
          <w:p>
            <w:pPr>
              <w:spacing w:after="0"/>
              <w:rPr>
                <w:sz w:val="17"/>
                <w:szCs w:val="17"/>
                <w:color w:val="auto"/>
              </w:rPr>
            </w:pPr>
          </w:p>
        </w:tc>
        <w:tc>
          <w:tcPr>
            <w:tcW w:w="1880" w:type="dxa"/>
            <w:vAlign w:val="bottom"/>
          </w:tcPr>
          <w:p>
            <w:pPr>
              <w:spacing w:after="0" w:line="195" w:lineRule="exact"/>
              <w:rPr>
                <w:sz w:val="20"/>
                <w:szCs w:val="20"/>
                <w:color w:val="auto"/>
              </w:rPr>
            </w:pPr>
            <w:r>
              <w:rPr>
                <w:rFonts w:ascii="Arial" w:cs="Arial" w:eastAsia="Arial" w:hAnsi="Arial"/>
                <w:sz w:val="14"/>
                <w:szCs w:val="14"/>
                <w:color w:val="auto"/>
              </w:rPr>
              <w:t>James R. Hatfield</w:t>
            </w:r>
            <w:r>
              <w:rPr>
                <w:rFonts w:ascii="Arial" w:cs="Arial" w:eastAsia="Arial" w:hAnsi="Arial"/>
                <w:sz w:val="22"/>
                <w:szCs w:val="22"/>
                <w:color w:val="auto"/>
                <w:vertAlign w:val="superscript"/>
              </w:rPr>
              <w:t>(3)</w:t>
            </w:r>
          </w:p>
        </w:tc>
        <w:tc>
          <w:tcPr>
            <w:tcW w:w="1960" w:type="dxa"/>
            <w:vAlign w:val="bottom"/>
          </w:tcPr>
          <w:p>
            <w:pPr>
              <w:ind w:left="100"/>
              <w:spacing w:after="0"/>
              <w:rPr>
                <w:sz w:val="20"/>
                <w:szCs w:val="20"/>
                <w:color w:val="auto"/>
              </w:rPr>
            </w:pPr>
            <w:r>
              <w:rPr>
                <w:rFonts w:ascii="Arial" w:cs="Arial" w:eastAsia="Arial" w:hAnsi="Arial"/>
                <w:sz w:val="16"/>
                <w:szCs w:val="16"/>
                <w:color w:val="auto"/>
              </w:rPr>
              <w:t>Retirement Plan</w:t>
            </w:r>
          </w:p>
        </w:tc>
        <w:tc>
          <w:tcPr>
            <w:tcW w:w="1680" w:type="dxa"/>
            <w:vAlign w:val="bottom"/>
          </w:tcPr>
          <w:p>
            <w:pPr>
              <w:jc w:val="right"/>
              <w:ind w:right="600"/>
              <w:spacing w:after="0"/>
              <w:rPr>
                <w:sz w:val="20"/>
                <w:szCs w:val="20"/>
                <w:color w:val="auto"/>
              </w:rPr>
            </w:pPr>
            <w:r>
              <w:rPr>
                <w:rFonts w:ascii="Arial" w:cs="Arial" w:eastAsia="Arial" w:hAnsi="Arial"/>
                <w:sz w:val="16"/>
                <w:szCs w:val="16"/>
                <w:color w:val="auto"/>
              </w:rPr>
              <w:t>8</w:t>
            </w:r>
          </w:p>
        </w:tc>
        <w:tc>
          <w:tcPr>
            <w:tcW w:w="1700" w:type="dxa"/>
            <w:vAlign w:val="bottom"/>
          </w:tcPr>
          <w:p>
            <w:pPr>
              <w:jc w:val="right"/>
              <w:ind w:right="342"/>
              <w:spacing w:after="0"/>
              <w:rPr>
                <w:sz w:val="20"/>
                <w:szCs w:val="20"/>
                <w:color w:val="auto"/>
              </w:rPr>
            </w:pPr>
            <w:r>
              <w:rPr>
                <w:rFonts w:ascii="Arial" w:cs="Arial" w:eastAsia="Arial" w:hAnsi="Arial"/>
                <w:sz w:val="16"/>
                <w:szCs w:val="16"/>
                <w:color w:val="auto"/>
              </w:rPr>
              <w:t>148,804</w:t>
            </w:r>
          </w:p>
        </w:tc>
        <w:tc>
          <w:tcPr>
            <w:tcW w:w="1140" w:type="dxa"/>
            <w:vAlign w:val="bottom"/>
          </w:tcPr>
          <w:p>
            <w:pPr>
              <w:jc w:val="center"/>
              <w:spacing w:after="0"/>
              <w:rPr>
                <w:sz w:val="20"/>
                <w:szCs w:val="20"/>
                <w:color w:val="auto"/>
              </w:rPr>
            </w:pPr>
            <w:r>
              <w:rPr>
                <w:rFonts w:ascii="Arial" w:cs="Arial" w:eastAsia="Arial" w:hAnsi="Arial"/>
                <w:sz w:val="16"/>
                <w:szCs w:val="16"/>
                <w:color w:val="auto"/>
              </w:rPr>
              <w:t>0</w:t>
            </w:r>
          </w:p>
        </w:tc>
      </w:tr>
      <w:tr>
        <w:trPr>
          <w:trHeight w:val="201"/>
        </w:trPr>
        <w:tc>
          <w:tcPr>
            <w:tcW w:w="20" w:type="dxa"/>
            <w:vAlign w:val="bottom"/>
          </w:tcPr>
          <w:p>
            <w:pPr>
              <w:spacing w:after="0"/>
              <w:rPr>
                <w:sz w:val="17"/>
                <w:szCs w:val="17"/>
                <w:color w:val="auto"/>
              </w:rPr>
            </w:pPr>
          </w:p>
        </w:tc>
        <w:tc>
          <w:tcPr>
            <w:tcW w:w="1880" w:type="dxa"/>
            <w:vAlign w:val="bottom"/>
            <w:tcBorders>
              <w:bottom w:val="single" w:sz="8" w:color="646466"/>
            </w:tcBorders>
          </w:tcPr>
          <w:p>
            <w:pPr>
              <w:spacing w:after="0"/>
              <w:rPr>
                <w:sz w:val="17"/>
                <w:szCs w:val="17"/>
                <w:color w:val="auto"/>
              </w:rPr>
            </w:pPr>
          </w:p>
        </w:tc>
        <w:tc>
          <w:tcPr>
            <w:tcW w:w="1960" w:type="dxa"/>
            <w:vAlign w:val="bottom"/>
            <w:tcBorders>
              <w:bottom w:val="single" w:sz="8" w:color="646466"/>
            </w:tcBorders>
          </w:tcPr>
          <w:p>
            <w:pPr>
              <w:ind w:left="100"/>
              <w:spacing w:after="0"/>
              <w:rPr>
                <w:sz w:val="20"/>
                <w:szCs w:val="20"/>
                <w:color w:val="auto"/>
              </w:rPr>
            </w:pPr>
            <w:r>
              <w:rPr>
                <w:rFonts w:ascii="Arial" w:cs="Arial" w:eastAsia="Arial" w:hAnsi="Arial"/>
                <w:sz w:val="16"/>
                <w:szCs w:val="16"/>
                <w:color w:val="auto"/>
              </w:rPr>
              <w:t>Supplemental Plan</w:t>
            </w:r>
          </w:p>
        </w:tc>
        <w:tc>
          <w:tcPr>
            <w:tcW w:w="1680" w:type="dxa"/>
            <w:vAlign w:val="bottom"/>
            <w:tcBorders>
              <w:bottom w:val="single" w:sz="8" w:color="646466"/>
            </w:tcBorders>
          </w:tcPr>
          <w:p>
            <w:pPr>
              <w:jc w:val="right"/>
              <w:ind w:right="600"/>
              <w:spacing w:after="0"/>
              <w:rPr>
                <w:sz w:val="20"/>
                <w:szCs w:val="20"/>
                <w:color w:val="auto"/>
              </w:rPr>
            </w:pPr>
            <w:r>
              <w:rPr>
                <w:rFonts w:ascii="Arial" w:cs="Arial" w:eastAsia="Arial" w:hAnsi="Arial"/>
                <w:sz w:val="16"/>
                <w:szCs w:val="16"/>
                <w:color w:val="auto"/>
              </w:rPr>
              <w:t>8</w:t>
            </w:r>
          </w:p>
        </w:tc>
        <w:tc>
          <w:tcPr>
            <w:tcW w:w="1700" w:type="dxa"/>
            <w:vAlign w:val="bottom"/>
            <w:tcBorders>
              <w:bottom w:val="single" w:sz="8" w:color="646466"/>
            </w:tcBorders>
          </w:tcPr>
          <w:p>
            <w:pPr>
              <w:jc w:val="right"/>
              <w:ind w:right="342"/>
              <w:spacing w:after="0"/>
              <w:rPr>
                <w:sz w:val="20"/>
                <w:szCs w:val="20"/>
                <w:color w:val="auto"/>
              </w:rPr>
            </w:pPr>
            <w:r>
              <w:rPr>
                <w:rFonts w:ascii="Arial" w:cs="Arial" w:eastAsia="Arial" w:hAnsi="Arial"/>
                <w:sz w:val="16"/>
                <w:szCs w:val="16"/>
                <w:color w:val="auto"/>
              </w:rPr>
              <w:t>2,179,158</w:t>
            </w:r>
          </w:p>
        </w:tc>
        <w:tc>
          <w:tcPr>
            <w:tcW w:w="1140" w:type="dxa"/>
            <w:vAlign w:val="bottom"/>
            <w:tcBorders>
              <w:bottom w:val="single" w:sz="8" w:color="646466"/>
            </w:tcBorders>
          </w:tcPr>
          <w:p>
            <w:pPr>
              <w:jc w:val="center"/>
              <w:spacing w:after="0"/>
              <w:rPr>
                <w:sz w:val="20"/>
                <w:szCs w:val="20"/>
                <w:color w:val="auto"/>
              </w:rPr>
            </w:pPr>
            <w:r>
              <w:rPr>
                <w:rFonts w:ascii="Arial" w:cs="Arial" w:eastAsia="Arial" w:hAnsi="Arial"/>
                <w:sz w:val="16"/>
                <w:szCs w:val="16"/>
                <w:color w:val="auto"/>
              </w:rPr>
              <w:t>0</w:t>
            </w:r>
          </w:p>
        </w:tc>
      </w:tr>
      <w:tr>
        <w:trPr>
          <w:trHeight w:val="213"/>
        </w:trPr>
        <w:tc>
          <w:tcPr>
            <w:tcW w:w="20" w:type="dxa"/>
            <w:vAlign w:val="bottom"/>
          </w:tcPr>
          <w:p>
            <w:pPr>
              <w:spacing w:after="0"/>
              <w:rPr>
                <w:sz w:val="18"/>
                <w:szCs w:val="18"/>
                <w:color w:val="auto"/>
              </w:rPr>
            </w:pPr>
          </w:p>
        </w:tc>
        <w:tc>
          <w:tcPr>
            <w:tcW w:w="1880" w:type="dxa"/>
            <w:vAlign w:val="bottom"/>
            <w:shd w:val="clear" w:color="auto" w:fill="E3E5EB"/>
          </w:tcPr>
          <w:p>
            <w:pPr>
              <w:spacing w:after="0" w:line="213" w:lineRule="exact"/>
              <w:rPr>
                <w:sz w:val="20"/>
                <w:szCs w:val="20"/>
                <w:color w:val="auto"/>
              </w:rPr>
            </w:pPr>
            <w:r>
              <w:rPr>
                <w:rFonts w:ascii="Arial" w:cs="Arial" w:eastAsia="Arial" w:hAnsi="Arial"/>
                <w:sz w:val="15"/>
                <w:szCs w:val="15"/>
                <w:color w:val="auto"/>
              </w:rPr>
              <w:t>Randall K. Edington</w:t>
            </w:r>
            <w:r>
              <w:rPr>
                <w:rFonts w:ascii="Arial" w:cs="Arial" w:eastAsia="Arial" w:hAnsi="Arial"/>
                <w:sz w:val="24"/>
                <w:szCs w:val="24"/>
                <w:color w:val="auto"/>
                <w:vertAlign w:val="superscript"/>
              </w:rPr>
              <w:t>(4)</w:t>
            </w:r>
          </w:p>
        </w:tc>
        <w:tc>
          <w:tcPr>
            <w:tcW w:w="19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Retirement Plan</w:t>
            </w:r>
          </w:p>
        </w:tc>
        <w:tc>
          <w:tcPr>
            <w:tcW w:w="1680" w:type="dxa"/>
            <w:vAlign w:val="bottom"/>
            <w:shd w:val="clear" w:color="auto" w:fill="E3E5EB"/>
          </w:tcPr>
          <w:p>
            <w:pPr>
              <w:jc w:val="right"/>
              <w:ind w:right="600"/>
              <w:spacing w:after="0"/>
              <w:rPr>
                <w:sz w:val="20"/>
                <w:szCs w:val="20"/>
                <w:color w:val="auto"/>
              </w:rPr>
            </w:pPr>
            <w:r>
              <w:rPr>
                <w:rFonts w:ascii="Arial" w:cs="Arial" w:eastAsia="Arial" w:hAnsi="Arial"/>
                <w:sz w:val="16"/>
                <w:szCs w:val="16"/>
                <w:color w:val="auto"/>
              </w:rPr>
              <w:t>9</w:t>
            </w:r>
          </w:p>
        </w:tc>
        <w:tc>
          <w:tcPr>
            <w:tcW w:w="1700" w:type="dxa"/>
            <w:vAlign w:val="bottom"/>
            <w:shd w:val="clear" w:color="auto" w:fill="E3E5EB"/>
          </w:tcPr>
          <w:p>
            <w:pPr>
              <w:jc w:val="right"/>
              <w:ind w:right="342"/>
              <w:spacing w:after="0"/>
              <w:rPr>
                <w:sz w:val="20"/>
                <w:szCs w:val="20"/>
                <w:color w:val="auto"/>
              </w:rPr>
            </w:pPr>
            <w:r>
              <w:rPr>
                <w:rFonts w:ascii="Arial" w:cs="Arial" w:eastAsia="Arial" w:hAnsi="Arial"/>
                <w:sz w:val="16"/>
                <w:szCs w:val="16"/>
                <w:color w:val="auto"/>
              </w:rPr>
              <w:t>185,925</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84"/>
        </w:trPr>
        <w:tc>
          <w:tcPr>
            <w:tcW w:w="20" w:type="dxa"/>
            <w:vAlign w:val="bottom"/>
          </w:tcPr>
          <w:p>
            <w:pPr>
              <w:spacing w:after="0"/>
              <w:rPr>
                <w:sz w:val="16"/>
                <w:szCs w:val="16"/>
                <w:color w:val="auto"/>
              </w:rPr>
            </w:pPr>
          </w:p>
        </w:tc>
        <w:tc>
          <w:tcPr>
            <w:tcW w:w="1880" w:type="dxa"/>
            <w:vAlign w:val="bottom"/>
            <w:shd w:val="clear" w:color="auto" w:fill="E3E5EB"/>
          </w:tcPr>
          <w:p>
            <w:pPr>
              <w:spacing w:after="0"/>
              <w:rPr>
                <w:sz w:val="16"/>
                <w:szCs w:val="16"/>
                <w:color w:val="auto"/>
              </w:rPr>
            </w:pPr>
          </w:p>
        </w:tc>
        <w:tc>
          <w:tcPr>
            <w:tcW w:w="19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Supplemental Plan</w:t>
            </w:r>
          </w:p>
        </w:tc>
        <w:tc>
          <w:tcPr>
            <w:tcW w:w="1680" w:type="dxa"/>
            <w:vAlign w:val="bottom"/>
            <w:shd w:val="clear" w:color="auto" w:fill="E3E5EB"/>
          </w:tcPr>
          <w:p>
            <w:pPr>
              <w:jc w:val="right"/>
              <w:ind w:right="600"/>
              <w:spacing w:after="0"/>
              <w:rPr>
                <w:sz w:val="20"/>
                <w:szCs w:val="20"/>
                <w:color w:val="auto"/>
              </w:rPr>
            </w:pPr>
            <w:r>
              <w:rPr>
                <w:rFonts w:ascii="Arial" w:cs="Arial" w:eastAsia="Arial" w:hAnsi="Arial"/>
                <w:sz w:val="16"/>
                <w:szCs w:val="16"/>
                <w:color w:val="auto"/>
              </w:rPr>
              <w:t>9</w:t>
            </w:r>
          </w:p>
        </w:tc>
        <w:tc>
          <w:tcPr>
            <w:tcW w:w="1700" w:type="dxa"/>
            <w:vAlign w:val="bottom"/>
            <w:shd w:val="clear" w:color="auto" w:fill="E3E5EB"/>
          </w:tcPr>
          <w:p>
            <w:pPr>
              <w:jc w:val="right"/>
              <w:ind w:right="342"/>
              <w:spacing w:after="0"/>
              <w:rPr>
                <w:sz w:val="20"/>
                <w:szCs w:val="20"/>
                <w:color w:val="auto"/>
              </w:rPr>
            </w:pPr>
            <w:r>
              <w:rPr>
                <w:rFonts w:ascii="Arial" w:cs="Arial" w:eastAsia="Arial" w:hAnsi="Arial"/>
                <w:sz w:val="16"/>
                <w:szCs w:val="16"/>
                <w:color w:val="auto"/>
              </w:rPr>
              <w:t>4,370,799</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84"/>
        </w:trPr>
        <w:tc>
          <w:tcPr>
            <w:tcW w:w="20" w:type="dxa"/>
            <w:vAlign w:val="bottom"/>
          </w:tcPr>
          <w:p>
            <w:pPr>
              <w:spacing w:after="0"/>
              <w:rPr>
                <w:sz w:val="16"/>
                <w:szCs w:val="16"/>
                <w:color w:val="auto"/>
              </w:rPr>
            </w:pPr>
          </w:p>
        </w:tc>
        <w:tc>
          <w:tcPr>
            <w:tcW w:w="1880" w:type="dxa"/>
            <w:vAlign w:val="bottom"/>
            <w:tcBorders>
              <w:bottom w:val="single" w:sz="8" w:color="646466"/>
            </w:tcBorders>
            <w:shd w:val="clear" w:color="auto" w:fill="E3E5EB"/>
          </w:tcPr>
          <w:p>
            <w:pPr>
              <w:spacing w:after="0"/>
              <w:rPr>
                <w:sz w:val="16"/>
                <w:szCs w:val="16"/>
                <w:color w:val="auto"/>
              </w:rPr>
            </w:pPr>
          </w:p>
        </w:tc>
        <w:tc>
          <w:tcPr>
            <w:tcW w:w="1960" w:type="dxa"/>
            <w:vAlign w:val="bottom"/>
            <w:tcBorders>
              <w:bottom w:val="single" w:sz="8" w:color="646466"/>
            </w:tcBorders>
            <w:shd w:val="clear" w:color="auto" w:fill="E3E5EB"/>
          </w:tcPr>
          <w:p>
            <w:pPr>
              <w:ind w:left="100"/>
              <w:spacing w:after="0"/>
              <w:rPr>
                <w:sz w:val="20"/>
                <w:szCs w:val="20"/>
                <w:color w:val="auto"/>
              </w:rPr>
            </w:pPr>
            <w:r>
              <w:rPr>
                <w:rFonts w:ascii="Arial" w:cs="Arial" w:eastAsia="Arial" w:hAnsi="Arial"/>
                <w:sz w:val="16"/>
                <w:szCs w:val="16"/>
                <w:color w:val="auto"/>
              </w:rPr>
              <w:t>Employment Agreements</w:t>
            </w:r>
          </w:p>
        </w:tc>
        <w:tc>
          <w:tcPr>
            <w:tcW w:w="1680" w:type="dxa"/>
            <w:vAlign w:val="bottom"/>
            <w:tcBorders>
              <w:bottom w:val="single" w:sz="8" w:color="646466"/>
            </w:tcBorders>
            <w:shd w:val="clear" w:color="auto" w:fill="E3E5EB"/>
          </w:tcPr>
          <w:p>
            <w:pPr>
              <w:jc w:val="center"/>
              <w:spacing w:after="0"/>
              <w:rPr>
                <w:sz w:val="20"/>
                <w:szCs w:val="20"/>
                <w:color w:val="auto"/>
              </w:rPr>
            </w:pPr>
            <w:r>
              <w:rPr>
                <w:rFonts w:ascii="Arial" w:cs="Arial" w:eastAsia="Arial" w:hAnsi="Arial"/>
                <w:sz w:val="16"/>
                <w:szCs w:val="16"/>
                <w:color w:val="auto"/>
                <w:w w:val="97"/>
              </w:rPr>
              <w:t>N/A</w:t>
            </w:r>
          </w:p>
        </w:tc>
        <w:tc>
          <w:tcPr>
            <w:tcW w:w="1700" w:type="dxa"/>
            <w:vAlign w:val="bottom"/>
            <w:tcBorders>
              <w:bottom w:val="single" w:sz="8" w:color="646466"/>
            </w:tcBorders>
            <w:shd w:val="clear" w:color="auto" w:fill="E3E5EB"/>
          </w:tcPr>
          <w:p>
            <w:pPr>
              <w:jc w:val="right"/>
              <w:ind w:right="342"/>
              <w:spacing w:after="0"/>
              <w:rPr>
                <w:sz w:val="20"/>
                <w:szCs w:val="20"/>
                <w:color w:val="auto"/>
              </w:rPr>
            </w:pPr>
            <w:r>
              <w:rPr>
                <w:rFonts w:ascii="Arial" w:cs="Arial" w:eastAsia="Arial" w:hAnsi="Arial"/>
                <w:sz w:val="16"/>
                <w:szCs w:val="16"/>
                <w:color w:val="auto"/>
              </w:rPr>
              <w:t>10,706,487</w:t>
            </w:r>
          </w:p>
        </w:tc>
        <w:tc>
          <w:tcPr>
            <w:tcW w:w="1140" w:type="dxa"/>
            <w:vAlign w:val="bottom"/>
            <w:tcBorders>
              <w:bottom w:val="single" w:sz="8" w:color="646466"/>
            </w:tcBorders>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96"/>
        </w:trPr>
        <w:tc>
          <w:tcPr>
            <w:tcW w:w="20" w:type="dxa"/>
            <w:vAlign w:val="bottom"/>
          </w:tcPr>
          <w:p>
            <w:pPr>
              <w:spacing w:after="0"/>
              <w:rPr>
                <w:sz w:val="17"/>
                <w:szCs w:val="17"/>
                <w:color w:val="auto"/>
              </w:rPr>
            </w:pPr>
          </w:p>
        </w:tc>
        <w:tc>
          <w:tcPr>
            <w:tcW w:w="1880" w:type="dxa"/>
            <w:vAlign w:val="bottom"/>
          </w:tcPr>
          <w:p>
            <w:pPr>
              <w:spacing w:after="0" w:line="195" w:lineRule="exact"/>
              <w:rPr>
                <w:sz w:val="20"/>
                <w:szCs w:val="20"/>
                <w:color w:val="auto"/>
              </w:rPr>
            </w:pPr>
            <w:r>
              <w:rPr>
                <w:rFonts w:ascii="Arial" w:cs="Arial" w:eastAsia="Arial" w:hAnsi="Arial"/>
                <w:sz w:val="14"/>
                <w:szCs w:val="14"/>
                <w:color w:val="auto"/>
              </w:rPr>
              <w:t>David P. Falck</w:t>
            </w:r>
            <w:r>
              <w:rPr>
                <w:rFonts w:ascii="Arial" w:cs="Arial" w:eastAsia="Arial" w:hAnsi="Arial"/>
                <w:sz w:val="22"/>
                <w:szCs w:val="22"/>
                <w:color w:val="auto"/>
                <w:vertAlign w:val="superscript"/>
              </w:rPr>
              <w:t>(5)</w:t>
            </w:r>
          </w:p>
        </w:tc>
        <w:tc>
          <w:tcPr>
            <w:tcW w:w="1960" w:type="dxa"/>
            <w:vAlign w:val="bottom"/>
          </w:tcPr>
          <w:p>
            <w:pPr>
              <w:ind w:left="100"/>
              <w:spacing w:after="0"/>
              <w:rPr>
                <w:sz w:val="20"/>
                <w:szCs w:val="20"/>
                <w:color w:val="auto"/>
              </w:rPr>
            </w:pPr>
            <w:r>
              <w:rPr>
                <w:rFonts w:ascii="Arial" w:cs="Arial" w:eastAsia="Arial" w:hAnsi="Arial"/>
                <w:sz w:val="16"/>
                <w:szCs w:val="16"/>
                <w:color w:val="auto"/>
              </w:rPr>
              <w:t>Retirement Plan</w:t>
            </w:r>
          </w:p>
        </w:tc>
        <w:tc>
          <w:tcPr>
            <w:tcW w:w="1680" w:type="dxa"/>
            <w:vAlign w:val="bottom"/>
          </w:tcPr>
          <w:p>
            <w:pPr>
              <w:jc w:val="right"/>
              <w:ind w:right="600"/>
              <w:spacing w:after="0"/>
              <w:rPr>
                <w:sz w:val="20"/>
                <w:szCs w:val="20"/>
                <w:color w:val="auto"/>
              </w:rPr>
            </w:pPr>
            <w:r>
              <w:rPr>
                <w:rFonts w:ascii="Arial" w:cs="Arial" w:eastAsia="Arial" w:hAnsi="Arial"/>
                <w:sz w:val="16"/>
                <w:szCs w:val="16"/>
                <w:color w:val="auto"/>
              </w:rPr>
              <w:t>7</w:t>
            </w:r>
          </w:p>
        </w:tc>
        <w:tc>
          <w:tcPr>
            <w:tcW w:w="1700" w:type="dxa"/>
            <w:vAlign w:val="bottom"/>
          </w:tcPr>
          <w:p>
            <w:pPr>
              <w:jc w:val="right"/>
              <w:ind w:right="342"/>
              <w:spacing w:after="0"/>
              <w:rPr>
                <w:sz w:val="20"/>
                <w:szCs w:val="20"/>
                <w:color w:val="auto"/>
              </w:rPr>
            </w:pPr>
            <w:r>
              <w:rPr>
                <w:rFonts w:ascii="Arial" w:cs="Arial" w:eastAsia="Arial" w:hAnsi="Arial"/>
                <w:sz w:val="16"/>
                <w:szCs w:val="16"/>
                <w:color w:val="auto"/>
              </w:rPr>
              <w:t>132,568</w:t>
            </w:r>
          </w:p>
        </w:tc>
        <w:tc>
          <w:tcPr>
            <w:tcW w:w="1140" w:type="dxa"/>
            <w:vAlign w:val="bottom"/>
          </w:tcPr>
          <w:p>
            <w:pPr>
              <w:jc w:val="center"/>
              <w:spacing w:after="0"/>
              <w:rPr>
                <w:sz w:val="20"/>
                <w:szCs w:val="20"/>
                <w:color w:val="auto"/>
              </w:rPr>
            </w:pPr>
            <w:r>
              <w:rPr>
                <w:rFonts w:ascii="Arial" w:cs="Arial" w:eastAsia="Arial" w:hAnsi="Arial"/>
                <w:sz w:val="16"/>
                <w:szCs w:val="16"/>
                <w:color w:val="auto"/>
              </w:rPr>
              <w:t>0</w:t>
            </w:r>
          </w:p>
        </w:tc>
      </w:tr>
      <w:tr>
        <w:trPr>
          <w:trHeight w:val="201"/>
        </w:trPr>
        <w:tc>
          <w:tcPr>
            <w:tcW w:w="20" w:type="dxa"/>
            <w:vAlign w:val="bottom"/>
          </w:tcPr>
          <w:p>
            <w:pPr>
              <w:spacing w:after="0"/>
              <w:rPr>
                <w:sz w:val="17"/>
                <w:szCs w:val="17"/>
                <w:color w:val="auto"/>
              </w:rPr>
            </w:pPr>
          </w:p>
        </w:tc>
        <w:tc>
          <w:tcPr>
            <w:tcW w:w="1880" w:type="dxa"/>
            <w:vAlign w:val="bottom"/>
            <w:tcBorders>
              <w:bottom w:val="single" w:sz="8" w:color="646466"/>
            </w:tcBorders>
          </w:tcPr>
          <w:p>
            <w:pPr>
              <w:spacing w:after="0"/>
              <w:rPr>
                <w:sz w:val="17"/>
                <w:szCs w:val="17"/>
                <w:color w:val="auto"/>
              </w:rPr>
            </w:pPr>
          </w:p>
        </w:tc>
        <w:tc>
          <w:tcPr>
            <w:tcW w:w="1960" w:type="dxa"/>
            <w:vAlign w:val="bottom"/>
            <w:tcBorders>
              <w:bottom w:val="single" w:sz="8" w:color="646466"/>
            </w:tcBorders>
          </w:tcPr>
          <w:p>
            <w:pPr>
              <w:ind w:left="100"/>
              <w:spacing w:after="0"/>
              <w:rPr>
                <w:sz w:val="20"/>
                <w:szCs w:val="20"/>
                <w:color w:val="auto"/>
              </w:rPr>
            </w:pPr>
            <w:r>
              <w:rPr>
                <w:rFonts w:ascii="Arial" w:cs="Arial" w:eastAsia="Arial" w:hAnsi="Arial"/>
                <w:sz w:val="16"/>
                <w:szCs w:val="16"/>
                <w:color w:val="auto"/>
              </w:rPr>
              <w:t>Supplemental Plan</w:t>
            </w:r>
          </w:p>
        </w:tc>
        <w:tc>
          <w:tcPr>
            <w:tcW w:w="1680" w:type="dxa"/>
            <w:vAlign w:val="bottom"/>
            <w:tcBorders>
              <w:bottom w:val="single" w:sz="8" w:color="646466"/>
            </w:tcBorders>
          </w:tcPr>
          <w:p>
            <w:pPr>
              <w:jc w:val="right"/>
              <w:ind w:right="600"/>
              <w:spacing w:after="0"/>
              <w:rPr>
                <w:sz w:val="20"/>
                <w:szCs w:val="20"/>
                <w:color w:val="auto"/>
              </w:rPr>
            </w:pPr>
            <w:r>
              <w:rPr>
                <w:rFonts w:ascii="Arial" w:cs="Arial" w:eastAsia="Arial" w:hAnsi="Arial"/>
                <w:sz w:val="16"/>
                <w:szCs w:val="16"/>
                <w:color w:val="auto"/>
              </w:rPr>
              <w:t>7</w:t>
            </w:r>
          </w:p>
        </w:tc>
        <w:tc>
          <w:tcPr>
            <w:tcW w:w="1700" w:type="dxa"/>
            <w:vAlign w:val="bottom"/>
            <w:tcBorders>
              <w:bottom w:val="single" w:sz="8" w:color="646466"/>
            </w:tcBorders>
          </w:tcPr>
          <w:p>
            <w:pPr>
              <w:jc w:val="right"/>
              <w:ind w:right="342"/>
              <w:spacing w:after="0"/>
              <w:rPr>
                <w:sz w:val="20"/>
                <w:szCs w:val="20"/>
                <w:color w:val="auto"/>
              </w:rPr>
            </w:pPr>
            <w:r>
              <w:rPr>
                <w:rFonts w:ascii="Arial" w:cs="Arial" w:eastAsia="Arial" w:hAnsi="Arial"/>
                <w:sz w:val="16"/>
                <w:szCs w:val="16"/>
                <w:color w:val="auto"/>
              </w:rPr>
              <w:t>1,660,249</w:t>
            </w:r>
          </w:p>
        </w:tc>
        <w:tc>
          <w:tcPr>
            <w:tcW w:w="1140" w:type="dxa"/>
            <w:vAlign w:val="bottom"/>
            <w:tcBorders>
              <w:bottom w:val="single" w:sz="8" w:color="646466"/>
            </w:tcBorders>
          </w:tcPr>
          <w:p>
            <w:pPr>
              <w:jc w:val="center"/>
              <w:spacing w:after="0"/>
              <w:rPr>
                <w:sz w:val="20"/>
                <w:szCs w:val="20"/>
                <w:color w:val="auto"/>
              </w:rPr>
            </w:pPr>
            <w:r>
              <w:rPr>
                <w:rFonts w:ascii="Arial" w:cs="Arial" w:eastAsia="Arial" w:hAnsi="Arial"/>
                <w:sz w:val="16"/>
                <w:szCs w:val="16"/>
                <w:color w:val="auto"/>
              </w:rPr>
              <w:t>0</w:t>
            </w:r>
          </w:p>
        </w:tc>
      </w:tr>
      <w:tr>
        <w:trPr>
          <w:trHeight w:val="213"/>
        </w:trPr>
        <w:tc>
          <w:tcPr>
            <w:tcW w:w="20" w:type="dxa"/>
            <w:vAlign w:val="bottom"/>
          </w:tcPr>
          <w:p>
            <w:pPr>
              <w:spacing w:after="0"/>
              <w:rPr>
                <w:sz w:val="18"/>
                <w:szCs w:val="18"/>
                <w:color w:val="auto"/>
              </w:rPr>
            </w:pPr>
          </w:p>
        </w:tc>
        <w:tc>
          <w:tcPr>
            <w:tcW w:w="1880" w:type="dxa"/>
            <w:vAlign w:val="bottom"/>
            <w:shd w:val="clear" w:color="auto" w:fill="E3E5EB"/>
          </w:tcPr>
          <w:p>
            <w:pPr>
              <w:spacing w:after="0" w:line="213" w:lineRule="exact"/>
              <w:rPr>
                <w:sz w:val="20"/>
                <w:szCs w:val="20"/>
                <w:color w:val="auto"/>
              </w:rPr>
            </w:pPr>
            <w:r>
              <w:rPr>
                <w:rFonts w:ascii="Arial" w:cs="Arial" w:eastAsia="Arial" w:hAnsi="Arial"/>
                <w:sz w:val="15"/>
                <w:szCs w:val="15"/>
                <w:color w:val="auto"/>
              </w:rPr>
              <w:t>Mark A. Schiavoni</w:t>
            </w:r>
            <w:r>
              <w:rPr>
                <w:rFonts w:ascii="Arial" w:cs="Arial" w:eastAsia="Arial" w:hAnsi="Arial"/>
                <w:sz w:val="24"/>
                <w:szCs w:val="24"/>
                <w:color w:val="auto"/>
                <w:vertAlign w:val="superscript"/>
              </w:rPr>
              <w:t>(6)</w:t>
            </w:r>
          </w:p>
        </w:tc>
        <w:tc>
          <w:tcPr>
            <w:tcW w:w="1960" w:type="dxa"/>
            <w:vAlign w:val="bottom"/>
            <w:shd w:val="clear" w:color="auto" w:fill="E3E5EB"/>
          </w:tcPr>
          <w:p>
            <w:pPr>
              <w:ind w:left="100"/>
              <w:spacing w:after="0"/>
              <w:rPr>
                <w:sz w:val="20"/>
                <w:szCs w:val="20"/>
                <w:color w:val="auto"/>
              </w:rPr>
            </w:pPr>
            <w:r>
              <w:rPr>
                <w:rFonts w:ascii="Arial" w:cs="Arial" w:eastAsia="Arial" w:hAnsi="Arial"/>
                <w:sz w:val="16"/>
                <w:szCs w:val="16"/>
                <w:color w:val="auto"/>
              </w:rPr>
              <w:t>Retirement Plan</w:t>
            </w:r>
          </w:p>
        </w:tc>
        <w:tc>
          <w:tcPr>
            <w:tcW w:w="1680" w:type="dxa"/>
            <w:vAlign w:val="bottom"/>
            <w:shd w:val="clear" w:color="auto" w:fill="E3E5EB"/>
          </w:tcPr>
          <w:p>
            <w:pPr>
              <w:jc w:val="right"/>
              <w:ind w:right="600"/>
              <w:spacing w:after="0"/>
              <w:rPr>
                <w:sz w:val="20"/>
                <w:szCs w:val="20"/>
                <w:color w:val="auto"/>
              </w:rPr>
            </w:pPr>
            <w:r>
              <w:rPr>
                <w:rFonts w:ascii="Arial" w:cs="Arial" w:eastAsia="Arial" w:hAnsi="Arial"/>
                <w:sz w:val="16"/>
                <w:szCs w:val="16"/>
                <w:color w:val="auto"/>
              </w:rPr>
              <w:t>7</w:t>
            </w:r>
          </w:p>
        </w:tc>
        <w:tc>
          <w:tcPr>
            <w:tcW w:w="1700" w:type="dxa"/>
            <w:vAlign w:val="bottom"/>
            <w:shd w:val="clear" w:color="auto" w:fill="E3E5EB"/>
          </w:tcPr>
          <w:p>
            <w:pPr>
              <w:jc w:val="right"/>
              <w:ind w:right="342"/>
              <w:spacing w:after="0"/>
              <w:rPr>
                <w:sz w:val="20"/>
                <w:szCs w:val="20"/>
                <w:color w:val="auto"/>
              </w:rPr>
            </w:pPr>
            <w:r>
              <w:rPr>
                <w:rFonts w:ascii="Arial" w:cs="Arial" w:eastAsia="Arial" w:hAnsi="Arial"/>
                <w:sz w:val="16"/>
                <w:szCs w:val="16"/>
                <w:color w:val="auto"/>
              </w:rPr>
              <w:t>134,732</w:t>
            </w:r>
          </w:p>
        </w:tc>
        <w:tc>
          <w:tcPr>
            <w:tcW w:w="1140" w:type="dxa"/>
            <w:vAlign w:val="bottom"/>
            <w:shd w:val="clear" w:color="auto" w:fill="E3E5EB"/>
          </w:tcPr>
          <w:p>
            <w:pPr>
              <w:jc w:val="center"/>
              <w:spacing w:after="0"/>
              <w:rPr>
                <w:sz w:val="20"/>
                <w:szCs w:val="20"/>
                <w:color w:val="auto"/>
              </w:rPr>
            </w:pPr>
            <w:r>
              <w:rPr>
                <w:rFonts w:ascii="Arial" w:cs="Arial" w:eastAsia="Arial" w:hAnsi="Arial"/>
                <w:sz w:val="16"/>
                <w:szCs w:val="16"/>
                <w:color w:val="auto"/>
              </w:rPr>
              <w:t>0</w:t>
            </w:r>
          </w:p>
        </w:tc>
      </w:tr>
      <w:tr>
        <w:trPr>
          <w:trHeight w:val="184"/>
        </w:trPr>
        <w:tc>
          <w:tcPr>
            <w:tcW w:w="20" w:type="dxa"/>
            <w:vAlign w:val="bottom"/>
          </w:tcPr>
          <w:p>
            <w:pPr>
              <w:spacing w:after="0"/>
              <w:rPr>
                <w:sz w:val="16"/>
                <w:szCs w:val="16"/>
                <w:color w:val="auto"/>
              </w:rPr>
            </w:pPr>
          </w:p>
        </w:tc>
        <w:tc>
          <w:tcPr>
            <w:tcW w:w="1880" w:type="dxa"/>
            <w:vAlign w:val="bottom"/>
            <w:tcBorders>
              <w:bottom w:val="single" w:sz="8" w:color="888992"/>
            </w:tcBorders>
            <w:shd w:val="clear" w:color="auto" w:fill="E3E5EB"/>
          </w:tcPr>
          <w:p>
            <w:pPr>
              <w:spacing w:after="0"/>
              <w:rPr>
                <w:sz w:val="16"/>
                <w:szCs w:val="16"/>
                <w:color w:val="auto"/>
              </w:rPr>
            </w:pPr>
          </w:p>
        </w:tc>
        <w:tc>
          <w:tcPr>
            <w:tcW w:w="1960" w:type="dxa"/>
            <w:vAlign w:val="bottom"/>
            <w:tcBorders>
              <w:bottom w:val="single" w:sz="8" w:color="888992"/>
            </w:tcBorders>
            <w:shd w:val="clear" w:color="auto" w:fill="E3E5EB"/>
          </w:tcPr>
          <w:p>
            <w:pPr>
              <w:ind w:left="100"/>
              <w:spacing w:after="0"/>
              <w:rPr>
                <w:sz w:val="20"/>
                <w:szCs w:val="20"/>
                <w:color w:val="auto"/>
              </w:rPr>
            </w:pPr>
            <w:r>
              <w:rPr>
                <w:rFonts w:ascii="Arial" w:cs="Arial" w:eastAsia="Arial" w:hAnsi="Arial"/>
                <w:sz w:val="16"/>
                <w:szCs w:val="16"/>
                <w:color w:val="auto"/>
              </w:rPr>
              <w:t>Supplemental Plan</w:t>
            </w:r>
          </w:p>
        </w:tc>
        <w:tc>
          <w:tcPr>
            <w:tcW w:w="1680" w:type="dxa"/>
            <w:vAlign w:val="bottom"/>
            <w:tcBorders>
              <w:bottom w:val="single" w:sz="8" w:color="888992"/>
            </w:tcBorders>
            <w:shd w:val="clear" w:color="auto" w:fill="E3E5EB"/>
          </w:tcPr>
          <w:p>
            <w:pPr>
              <w:jc w:val="right"/>
              <w:ind w:right="600"/>
              <w:spacing w:after="0"/>
              <w:rPr>
                <w:sz w:val="20"/>
                <w:szCs w:val="20"/>
                <w:color w:val="auto"/>
              </w:rPr>
            </w:pPr>
            <w:r>
              <w:rPr>
                <w:rFonts w:ascii="Arial" w:cs="Arial" w:eastAsia="Arial" w:hAnsi="Arial"/>
                <w:sz w:val="16"/>
                <w:szCs w:val="16"/>
                <w:color w:val="auto"/>
              </w:rPr>
              <w:t>7</w:t>
            </w:r>
          </w:p>
        </w:tc>
        <w:tc>
          <w:tcPr>
            <w:tcW w:w="1700" w:type="dxa"/>
            <w:vAlign w:val="bottom"/>
            <w:tcBorders>
              <w:bottom w:val="single" w:sz="8" w:color="888992"/>
            </w:tcBorders>
            <w:shd w:val="clear" w:color="auto" w:fill="E3E5EB"/>
          </w:tcPr>
          <w:p>
            <w:pPr>
              <w:jc w:val="right"/>
              <w:ind w:right="342"/>
              <w:spacing w:after="0"/>
              <w:rPr>
                <w:sz w:val="20"/>
                <w:szCs w:val="20"/>
                <w:color w:val="auto"/>
              </w:rPr>
            </w:pPr>
            <w:r>
              <w:rPr>
                <w:rFonts w:ascii="Arial" w:cs="Arial" w:eastAsia="Arial" w:hAnsi="Arial"/>
                <w:sz w:val="16"/>
                <w:szCs w:val="16"/>
                <w:color w:val="auto"/>
              </w:rPr>
              <w:t>1,634,005</w:t>
            </w:r>
          </w:p>
        </w:tc>
        <w:tc>
          <w:tcPr>
            <w:tcW w:w="1140" w:type="dxa"/>
            <w:vAlign w:val="bottom"/>
            <w:tcBorders>
              <w:bottom w:val="single" w:sz="8" w:color="888992"/>
            </w:tcBorders>
            <w:shd w:val="clear" w:color="auto" w:fill="E3E5EB"/>
          </w:tcPr>
          <w:p>
            <w:pPr>
              <w:jc w:val="center"/>
              <w:spacing w:after="0"/>
              <w:rPr>
                <w:sz w:val="20"/>
                <w:szCs w:val="20"/>
                <w:color w:val="auto"/>
              </w:rPr>
            </w:pPr>
            <w:r>
              <w:rPr>
                <w:rFonts w:ascii="Arial" w:cs="Arial" w:eastAsia="Arial" w:hAnsi="Arial"/>
                <w:sz w:val="16"/>
                <w:szCs w:val="16"/>
                <w:color w:val="auto"/>
              </w:rPr>
              <w:t>0</w:t>
            </w:r>
          </w:p>
        </w:tc>
      </w:tr>
    </w:tbl>
    <w:p>
      <w:pPr>
        <w:spacing w:after="0" w:line="302" w:lineRule="exact"/>
        <w:rPr>
          <w:sz w:val="20"/>
          <w:szCs w:val="20"/>
          <w:color w:val="auto"/>
        </w:rPr>
      </w:pPr>
    </w:p>
    <w:p>
      <w:pPr>
        <w:ind w:left="1860" w:right="120" w:hanging="490"/>
        <w:spacing w:after="0" w:line="279"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See Note 7 of the Notes to Consolidated Financial Statements in the 2015 Form 10-K for additional information about the assumptions used by the Company in calculating pension obligations.</w:t>
      </w:r>
    </w:p>
    <w:p>
      <w:pPr>
        <w:spacing w:after="0" w:line="124" w:lineRule="exact"/>
        <w:rPr>
          <w:rFonts w:ascii="Arial" w:cs="Arial" w:eastAsia="Arial" w:hAnsi="Arial"/>
          <w:sz w:val="16"/>
          <w:szCs w:val="16"/>
          <w:color w:val="auto"/>
        </w:rPr>
      </w:pPr>
    </w:p>
    <w:p>
      <w:pPr>
        <w:ind w:left="1860" w:right="80" w:hanging="490"/>
        <w:spacing w:after="0" w:line="259"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The amounts shown are the present values of Mr. Brandt's accumulated benefits to be paid as an annuity and lump sum for the Retirement Plan and as an annuity to be paid under the Supplemental Plan, both at age 65, which is the earliest Mr. Brandt could retire with no reduction in benefits. See the following "Discussion of Pension Benefits."</w:t>
      </w:r>
    </w:p>
    <w:p>
      <w:pPr>
        <w:spacing w:after="0" w:line="140" w:lineRule="exact"/>
        <w:rPr>
          <w:rFonts w:ascii="Arial" w:cs="Arial" w:eastAsia="Arial" w:hAnsi="Arial"/>
          <w:sz w:val="16"/>
          <w:szCs w:val="16"/>
          <w:color w:val="auto"/>
        </w:rPr>
      </w:pPr>
    </w:p>
    <w:p>
      <w:pPr>
        <w:ind w:left="1860" w:right="560" w:hanging="490"/>
        <w:spacing w:after="0" w:line="279"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The amounts shown are the present values of Mr. Hatfield's accumulated benefits to be paid as an annuity and lump sum for the Retirement Plan and as an annuity to be paid under the Supplemental Plan.</w:t>
      </w:r>
    </w:p>
    <w:p>
      <w:pPr>
        <w:spacing w:after="0" w:line="136" w:lineRule="exact"/>
        <w:rPr>
          <w:rFonts w:ascii="Arial" w:cs="Arial" w:eastAsia="Arial" w:hAnsi="Arial"/>
          <w:sz w:val="16"/>
          <w:szCs w:val="16"/>
          <w:color w:val="auto"/>
        </w:rPr>
      </w:pPr>
    </w:p>
    <w:p>
      <w:pPr>
        <w:ind w:left="1860" w:right="160" w:hanging="490"/>
        <w:spacing w:after="0" w:line="253"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The amounts shown are the present values of Mr. Edington's accumulated benefits to be paid as an annuity and lump sum for the Retirement Plan and his employment agreements, and as an annuity for the Supplemental Plan. Mr. Edington's employment agreements are described in the narrative disclosure accompanying the Summary Compensation Table and the Grants of Plan-Based Awards table.</w:t>
      </w:r>
    </w:p>
    <w:p>
      <w:pPr>
        <w:spacing w:after="0" w:line="144" w:lineRule="exact"/>
        <w:rPr>
          <w:rFonts w:ascii="Arial" w:cs="Arial" w:eastAsia="Arial" w:hAnsi="Arial"/>
          <w:sz w:val="16"/>
          <w:szCs w:val="16"/>
          <w:color w:val="auto"/>
        </w:rPr>
      </w:pPr>
    </w:p>
    <w:p>
      <w:pPr>
        <w:ind w:left="1860" w:right="720" w:hanging="490"/>
        <w:spacing w:after="0" w:line="279"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The amounts shown are the present values of Mr. Falck's accumulated benefits to be paid as an annuity and lump sum for the Retirement Plan and an annuity to be paid under the Supplemental Plan.</w:t>
      </w:r>
    </w:p>
    <w:p>
      <w:pPr>
        <w:spacing w:after="0" w:line="124" w:lineRule="exact"/>
        <w:rPr>
          <w:rFonts w:ascii="Arial" w:cs="Arial" w:eastAsia="Arial" w:hAnsi="Arial"/>
          <w:sz w:val="16"/>
          <w:szCs w:val="16"/>
          <w:color w:val="auto"/>
        </w:rPr>
      </w:pPr>
    </w:p>
    <w:p>
      <w:pPr>
        <w:ind w:left="1860" w:right="400" w:hanging="490"/>
        <w:spacing w:after="0" w:line="279" w:lineRule="auto"/>
        <w:tabs>
          <w:tab w:leader="none" w:pos="1860" w:val="left"/>
        </w:tabs>
        <w:numPr>
          <w:ilvl w:val="0"/>
          <w:numId w:val="91"/>
        </w:numPr>
        <w:rPr>
          <w:rFonts w:ascii="Arial" w:cs="Arial" w:eastAsia="Arial" w:hAnsi="Arial"/>
          <w:sz w:val="16"/>
          <w:szCs w:val="16"/>
          <w:color w:val="auto"/>
        </w:rPr>
      </w:pPr>
      <w:r>
        <w:rPr>
          <w:rFonts w:ascii="Arial" w:cs="Arial" w:eastAsia="Arial" w:hAnsi="Arial"/>
          <w:sz w:val="16"/>
          <w:szCs w:val="16"/>
          <w:color w:val="auto"/>
        </w:rPr>
        <w:t>The amounts shown are the present values of Mr. Schiavoni's accumulated benefits to be paid as an annuity and lump sum for the Retirement Plan and as an annuity to be paid under the Supplemental Plan.</w:t>
      </w:r>
    </w:p>
    <w:p>
      <w:pPr>
        <w:spacing w:after="0" w:line="56"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84" w:name="page85"/>
    <w:bookmarkEnd w:id="84"/>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137795</wp:posOffset>
            </wp:positionV>
            <wp:extent cx="1487805" cy="15557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462"/>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ind w:left="2"/>
        <w:spacing w:after="0"/>
        <w:rPr>
          <w:sz w:val="20"/>
          <w:szCs w:val="20"/>
          <w:color w:val="auto"/>
        </w:rPr>
      </w:pPr>
      <w:r>
        <w:rPr>
          <w:rFonts w:ascii="Arial" w:cs="Arial" w:eastAsia="Arial" w:hAnsi="Arial"/>
          <w:sz w:val="22"/>
          <w:szCs w:val="22"/>
          <w:b w:val="1"/>
          <w:bCs w:val="1"/>
          <w:color w:val="3A5575"/>
        </w:rPr>
        <w:t>Discussion of Pension Benefits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19050</wp:posOffset>
            </wp:positionV>
            <wp:extent cx="7259320" cy="762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left="2" w:right="20"/>
        <w:spacing w:after="0" w:line="239" w:lineRule="auto"/>
        <w:rPr>
          <w:sz w:val="20"/>
          <w:szCs w:val="20"/>
          <w:color w:val="auto"/>
        </w:rPr>
      </w:pPr>
      <w:r>
        <w:rPr>
          <w:rFonts w:ascii="Arial" w:cs="Arial" w:eastAsia="Arial" w:hAnsi="Arial"/>
          <w:sz w:val="20"/>
          <w:szCs w:val="20"/>
          <w:b w:val="1"/>
          <w:bCs w:val="1"/>
          <w:i w:val="1"/>
          <w:iCs w:val="1"/>
          <w:color w:val="auto"/>
        </w:rPr>
        <w:t xml:space="preserve">Retirement Plan and Supplemental Plan. </w:t>
      </w:r>
      <w:r>
        <w:rPr>
          <w:rFonts w:ascii="Arial" w:cs="Arial" w:eastAsia="Arial" w:hAnsi="Arial"/>
          <w:sz w:val="20"/>
          <w:szCs w:val="20"/>
          <w:color w:val="auto"/>
        </w:rPr>
        <w:t>The Company's Retirement Plan is a tax-qualified, non-contributory retirement plan</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for salaried and hourly employees. The Supplemental Plan provides retirement benefits for key salaried employees, in addition to those provided under the Retirement Plan. The Supplemental Plan pays only the difference between the total benefit payable under the Supplemental Plan and the benefit payable under the Retirement Plan. As a result, an executive who participates in the Supplemental Plan does not receive duplicative benefits.</w:t>
      </w:r>
    </w:p>
    <w:p>
      <w:pPr>
        <w:spacing w:after="0" w:line="155" w:lineRule="exact"/>
        <w:rPr>
          <w:sz w:val="20"/>
          <w:szCs w:val="20"/>
          <w:color w:val="auto"/>
        </w:rPr>
      </w:pPr>
    </w:p>
    <w:p>
      <w:pPr>
        <w:ind w:left="2" w:right="80"/>
        <w:spacing w:after="0" w:line="246" w:lineRule="auto"/>
        <w:rPr>
          <w:sz w:val="20"/>
          <w:szCs w:val="20"/>
          <w:color w:val="auto"/>
        </w:rPr>
      </w:pPr>
      <w:r>
        <w:rPr>
          <w:rFonts w:ascii="Arial" w:cs="Arial" w:eastAsia="Arial" w:hAnsi="Arial"/>
          <w:sz w:val="19"/>
          <w:szCs w:val="19"/>
          <w:color w:val="auto"/>
        </w:rPr>
        <w:t>Prior to April 1, 2003, benefits under the Retirement Plan and the Supplemental Plan (the "Traditional Formula Benefit") accrued in accordance with a traditional retirement plan formula based on average annual compensation and years of service (the "Traditional Formula"). Effective April 1, 2003, the Company changed the benefit accrual formula for both the Retirement Plan and the Supplemental Plan (the "Account Balance Benefit") to a retirement account balance formula (the "Account Balance Formula"). As part of the modification, all then current participants were able to elect to either (1) continue to earn benefits calculated under the Traditional Formula, or (2) earn benefits calculated (a) under the Traditional Formula for service through March 31, 2003, and</w:t>
      </w:r>
    </w:p>
    <w:p>
      <w:pPr>
        <w:spacing w:after="0" w:line="5" w:lineRule="exact"/>
        <w:rPr>
          <w:sz w:val="20"/>
          <w:szCs w:val="20"/>
          <w:color w:val="auto"/>
        </w:rPr>
      </w:pPr>
    </w:p>
    <w:p>
      <w:pPr>
        <w:ind w:left="2" w:right="60" w:hanging="2"/>
        <w:spacing w:after="0" w:line="234" w:lineRule="auto"/>
        <w:tabs>
          <w:tab w:leader="none" w:pos="296" w:val="left"/>
        </w:tabs>
        <w:numPr>
          <w:ilvl w:val="0"/>
          <w:numId w:val="92"/>
        </w:numPr>
        <w:rPr>
          <w:rFonts w:ascii="Arial" w:cs="Arial" w:eastAsia="Arial" w:hAnsi="Arial"/>
          <w:sz w:val="20"/>
          <w:szCs w:val="20"/>
          <w:color w:val="auto"/>
        </w:rPr>
      </w:pPr>
      <w:r>
        <w:rPr>
          <w:rFonts w:ascii="Arial" w:cs="Arial" w:eastAsia="Arial" w:hAnsi="Arial"/>
          <w:sz w:val="20"/>
          <w:szCs w:val="20"/>
          <w:color w:val="auto"/>
        </w:rPr>
        <w:t>under the Account Balance Formula for service after that date. Mr. Brandt's benefits are calculated under the combined Traditional Formula/Account Balance Formula. Messrs. Hatfield's, Edington's, Falck's and Schiavoni's benefits are calculated under the Account Balance Formula. Mr. Edington's benefits under the Supplemental Plan are calculated in accordance with his employment agreements with the Company, which are described in the narrative disclosure accompanying the Summary Compensation Table and the Grants of Plan-Based Awards table.</w:t>
      </w:r>
    </w:p>
    <w:p>
      <w:pPr>
        <w:spacing w:after="0" w:line="155" w:lineRule="exact"/>
        <w:rPr>
          <w:sz w:val="20"/>
          <w:szCs w:val="20"/>
          <w:color w:val="auto"/>
        </w:rPr>
      </w:pPr>
    </w:p>
    <w:p>
      <w:pPr>
        <w:ind w:left="2" w:right="180"/>
        <w:spacing w:after="0" w:line="265" w:lineRule="auto"/>
        <w:rPr>
          <w:sz w:val="20"/>
          <w:szCs w:val="20"/>
          <w:color w:val="auto"/>
        </w:rPr>
      </w:pPr>
      <w:r>
        <w:rPr>
          <w:rFonts w:ascii="Arial" w:cs="Arial" w:eastAsia="Arial" w:hAnsi="Arial"/>
          <w:sz w:val="20"/>
          <w:szCs w:val="20"/>
          <w:color w:val="auto"/>
        </w:rPr>
        <w:t>Under the Traditional Formula of the Supplemental Plan, a participant's monthly benefit for life beginning at normal retirement age (age 65 or age 60 with 20 years of service) is equal to the following:</w:t>
      </w:r>
    </w:p>
    <w:p>
      <w:pPr>
        <w:spacing w:after="0" w:line="118" w:lineRule="exact"/>
        <w:rPr>
          <w:sz w:val="20"/>
          <w:szCs w:val="20"/>
          <w:color w:val="auto"/>
        </w:rPr>
      </w:pPr>
    </w:p>
    <w:p>
      <w:pPr>
        <w:ind w:left="482" w:hanging="482"/>
        <w:spacing w:after="0"/>
        <w:tabs>
          <w:tab w:leader="none" w:pos="482" w:val="left"/>
        </w:tabs>
        <w:numPr>
          <w:ilvl w:val="0"/>
          <w:numId w:val="93"/>
        </w:numPr>
        <w:rPr>
          <w:rFonts w:ascii="Arial" w:cs="Arial" w:eastAsia="Arial" w:hAnsi="Arial"/>
          <w:sz w:val="20"/>
          <w:szCs w:val="20"/>
          <w:color w:val="3A5575"/>
        </w:rPr>
      </w:pPr>
      <w:r>
        <w:rPr>
          <w:rFonts w:ascii="Arial" w:cs="Arial" w:eastAsia="Arial" w:hAnsi="Arial"/>
          <w:sz w:val="20"/>
          <w:szCs w:val="20"/>
          <w:color w:val="auto"/>
        </w:rPr>
        <w:t>3% of the participant's average monthly compensation multiplied by the participant's first 10 years of service, plus</w:t>
      </w:r>
    </w:p>
    <w:p>
      <w:pPr>
        <w:spacing w:after="0" w:line="211" w:lineRule="exact"/>
        <w:rPr>
          <w:rFonts w:ascii="Arial" w:cs="Arial" w:eastAsia="Arial" w:hAnsi="Arial"/>
          <w:sz w:val="20"/>
          <w:szCs w:val="20"/>
          <w:color w:val="3A5575"/>
        </w:rPr>
      </w:pPr>
    </w:p>
    <w:p>
      <w:pPr>
        <w:ind w:left="482" w:hanging="482"/>
        <w:spacing w:after="0"/>
        <w:tabs>
          <w:tab w:leader="none" w:pos="482" w:val="left"/>
        </w:tabs>
        <w:numPr>
          <w:ilvl w:val="0"/>
          <w:numId w:val="93"/>
        </w:numPr>
        <w:rPr>
          <w:rFonts w:ascii="Arial" w:cs="Arial" w:eastAsia="Arial" w:hAnsi="Arial"/>
          <w:sz w:val="20"/>
          <w:szCs w:val="20"/>
          <w:color w:val="3A5575"/>
        </w:rPr>
      </w:pPr>
      <w:r>
        <w:rPr>
          <w:rFonts w:ascii="Arial" w:cs="Arial" w:eastAsia="Arial" w:hAnsi="Arial"/>
          <w:sz w:val="20"/>
          <w:szCs w:val="20"/>
          <w:color w:val="auto"/>
        </w:rPr>
        <w:t>2% of the participant's average monthly compensation multiplied by the participant's next 15 years of service, minus</w:t>
      </w:r>
    </w:p>
    <w:p>
      <w:pPr>
        <w:spacing w:after="0" w:line="199" w:lineRule="exact"/>
        <w:rPr>
          <w:rFonts w:ascii="Arial" w:cs="Arial" w:eastAsia="Arial" w:hAnsi="Arial"/>
          <w:sz w:val="20"/>
          <w:szCs w:val="20"/>
          <w:color w:val="3A5575"/>
        </w:rPr>
      </w:pPr>
    </w:p>
    <w:p>
      <w:pPr>
        <w:ind w:left="482" w:hanging="482"/>
        <w:spacing w:after="0"/>
        <w:tabs>
          <w:tab w:leader="none" w:pos="482" w:val="left"/>
        </w:tabs>
        <w:numPr>
          <w:ilvl w:val="0"/>
          <w:numId w:val="93"/>
        </w:numPr>
        <w:rPr>
          <w:rFonts w:ascii="Arial" w:cs="Arial" w:eastAsia="Arial" w:hAnsi="Arial"/>
          <w:sz w:val="20"/>
          <w:szCs w:val="20"/>
          <w:color w:val="3A5575"/>
        </w:rPr>
      </w:pPr>
      <w:r>
        <w:rPr>
          <w:rFonts w:ascii="Arial" w:cs="Arial" w:eastAsia="Arial" w:hAnsi="Arial"/>
          <w:sz w:val="20"/>
          <w:szCs w:val="20"/>
          <w:color w:val="auto"/>
        </w:rPr>
        <w:t>benefits payable under the Retirement Plan.</w:t>
      </w:r>
    </w:p>
    <w:p>
      <w:pPr>
        <w:spacing w:after="0" w:line="187" w:lineRule="exact"/>
        <w:rPr>
          <w:sz w:val="20"/>
          <w:szCs w:val="20"/>
          <w:color w:val="auto"/>
        </w:rPr>
      </w:pPr>
    </w:p>
    <w:p>
      <w:pPr>
        <w:ind w:left="2" w:right="20"/>
        <w:spacing w:after="0" w:line="237" w:lineRule="auto"/>
        <w:rPr>
          <w:sz w:val="20"/>
          <w:szCs w:val="20"/>
          <w:color w:val="auto"/>
        </w:rPr>
      </w:pPr>
      <w:r>
        <w:rPr>
          <w:rFonts w:ascii="Arial" w:cs="Arial" w:eastAsia="Arial" w:hAnsi="Arial"/>
          <w:sz w:val="20"/>
          <w:szCs w:val="20"/>
          <w:color w:val="auto"/>
        </w:rPr>
        <w:t>A participant's Traditional Formula Benefit under the Retirement Plan is a monthly benefit for life beginning at normal retirement age and is equal to the participant's average monthly compensation multiplied by 1.65% for the first 33 years of service, plus 1% of average monthly compensation for each year of service credited in excess of 33 years. A participant's Traditional Formula Benefit begins when the participant reaches age 65 with 5 years of service or age 60 with 33 years of service. The maximum Traditional Formula Benefit a participant may receive under both the Retirement Plan and the Supplemental Plan is a monthly benefit of 60% of the participant's average monthly compensation.</w:t>
      </w:r>
    </w:p>
    <w:p>
      <w:pPr>
        <w:spacing w:after="0" w:line="158" w:lineRule="exact"/>
        <w:rPr>
          <w:sz w:val="20"/>
          <w:szCs w:val="20"/>
          <w:color w:val="auto"/>
        </w:rPr>
      </w:pPr>
    </w:p>
    <w:p>
      <w:pPr>
        <w:ind w:left="2" w:right="160"/>
        <w:spacing w:after="0" w:line="239" w:lineRule="auto"/>
        <w:rPr>
          <w:sz w:val="20"/>
          <w:szCs w:val="20"/>
          <w:color w:val="auto"/>
        </w:rPr>
      </w:pPr>
      <w:r>
        <w:rPr>
          <w:rFonts w:ascii="Arial" w:cs="Arial" w:eastAsia="Arial" w:hAnsi="Arial"/>
          <w:sz w:val="20"/>
          <w:szCs w:val="20"/>
          <w:color w:val="auto"/>
        </w:rPr>
        <w:t>Under both the Supplemental Plan and the Retirement Plan, a participant may elect to begin receiving the Traditional Formula Benefit after attaining early retirement age, which is defined as age 55 with 10 years of service. The Traditional Formula Benefit of an individual who makes this election is reduced to reflect the early commencement of benefits. Under the Supplemental Plan, the reduction equals 3% per year for each year for which the individual receives benefits prior to normal retirement and under the Retirement Plan, if the individual has more than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172085</wp:posOffset>
            </wp:positionV>
            <wp:extent cx="841375" cy="16383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76</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85" w:name="page86"/>
    <w:bookmarkEnd w:id="85"/>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600"/>
        <w:spacing w:after="0" w:line="255" w:lineRule="auto"/>
        <w:rPr>
          <w:sz w:val="20"/>
          <w:szCs w:val="20"/>
          <w:color w:val="auto"/>
        </w:rPr>
      </w:pPr>
      <w:r>
        <w:rPr>
          <w:rFonts w:ascii="Arial" w:cs="Arial" w:eastAsia="Arial" w:hAnsi="Arial"/>
          <w:sz w:val="19"/>
          <w:szCs w:val="19"/>
          <w:color w:val="auto"/>
        </w:rPr>
        <w:t>20 years of service, the reduction equals 3% per year for each year for which the individual receives benefits prior to normal retirement, and if the individual has less than 20 years of service, the benefit is</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200"/>
        <w:spacing w:after="0" w:line="235" w:lineRule="auto"/>
        <w:rPr>
          <w:sz w:val="20"/>
          <w:szCs w:val="20"/>
          <w:color w:val="auto"/>
        </w:rPr>
      </w:pPr>
      <w:r>
        <w:rPr>
          <w:rFonts w:ascii="Arial" w:cs="Arial" w:eastAsia="Arial" w:hAnsi="Arial"/>
          <w:sz w:val="20"/>
          <w:szCs w:val="20"/>
          <w:color w:val="auto"/>
        </w:rPr>
        <w:t>actuarially reduced for each year for which the individual receives benefits prior to normal retirement. Mr. Brandt currently qualifies for early retirement, but not normal retirement, under the Retirement Plan and the Supplemental Plan. Messrs. Hatfield, Edington, Falck and Schiavoni do not currently qualify for early or normal retirement under either the Supplemental Plan or the Retirement Plan.</w:t>
      </w:r>
    </w:p>
    <w:p>
      <w:pPr>
        <w:spacing w:after="0" w:line="155" w:lineRule="exact"/>
        <w:rPr>
          <w:rFonts w:ascii="Arial" w:cs="Arial" w:eastAsia="Arial" w:hAnsi="Arial"/>
          <w:sz w:val="13"/>
          <w:szCs w:val="13"/>
          <w:b w:val="1"/>
          <w:bCs w:val="1"/>
          <w:color w:val="FFFFFE"/>
        </w:rPr>
      </w:pPr>
    </w:p>
    <w:p>
      <w:pPr>
        <w:ind w:right="660"/>
        <w:spacing w:after="0" w:line="265" w:lineRule="auto"/>
        <w:rPr>
          <w:sz w:val="20"/>
          <w:szCs w:val="20"/>
          <w:color w:val="auto"/>
        </w:rPr>
      </w:pPr>
      <w:r>
        <w:rPr>
          <w:rFonts w:ascii="Arial" w:cs="Arial" w:eastAsia="Arial" w:hAnsi="Arial"/>
          <w:sz w:val="20"/>
          <w:szCs w:val="20"/>
          <w:color w:val="auto"/>
        </w:rPr>
        <w:t>Under the Account Balance Formula, a notional account is established for each eligible participant and benefits are generally payable at termination of employment. The Company credits monthly amounts to a participant's account.</w:t>
      </w:r>
    </w:p>
    <w:p>
      <w:pPr>
        <w:spacing w:after="0" w:line="130"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color w:val="auto"/>
        </w:rPr>
        <w:t>Under the Supplemental Plan, Company credits are based on the following formula:</w:t>
      </w:r>
    </w:p>
    <w:p>
      <w:pPr>
        <w:spacing w:after="0" w:line="200" w:lineRule="exact"/>
        <w:rPr>
          <w:rFonts w:ascii="Arial" w:cs="Arial" w:eastAsia="Arial" w:hAnsi="Arial"/>
          <w:sz w:val="13"/>
          <w:szCs w:val="13"/>
          <w:b w:val="1"/>
          <w:bCs w:val="1"/>
          <w:color w:val="FFFFFE"/>
        </w:rPr>
      </w:pPr>
    </w:p>
    <w:p>
      <w:pPr>
        <w:spacing w:after="0" w:line="317" w:lineRule="exact"/>
        <w:rPr>
          <w:rFonts w:ascii="Arial" w:cs="Arial" w:eastAsia="Arial" w:hAnsi="Arial"/>
          <w:sz w:val="13"/>
          <w:szCs w:val="13"/>
          <w:b w:val="1"/>
          <w:bCs w:val="1"/>
          <w:color w:val="FFFFFE"/>
        </w:rPr>
      </w:pPr>
    </w:p>
    <w:tbl>
      <w:tblPr>
        <w:tblLayout w:type="fixed"/>
        <w:tblInd w:w="146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3660" w:type="dxa"/>
            <w:vAlign w:val="bottom"/>
          </w:tcPr>
          <w:p>
            <w:pPr>
              <w:spacing w:after="0"/>
              <w:rPr>
                <w:sz w:val="19"/>
                <w:szCs w:val="19"/>
                <w:color w:val="auto"/>
              </w:rPr>
            </w:pPr>
          </w:p>
        </w:tc>
        <w:tc>
          <w:tcPr>
            <w:tcW w:w="4700" w:type="dxa"/>
            <w:vAlign w:val="bottom"/>
          </w:tcPr>
          <w:p>
            <w:pPr>
              <w:jc w:val="center"/>
              <w:ind w:left="862"/>
              <w:spacing w:after="0"/>
              <w:rPr>
                <w:sz w:val="20"/>
                <w:szCs w:val="20"/>
                <w:color w:val="auto"/>
              </w:rPr>
            </w:pPr>
            <w:r>
              <w:rPr>
                <w:rFonts w:ascii="Arial" w:cs="Arial" w:eastAsia="Arial" w:hAnsi="Arial"/>
                <w:sz w:val="20"/>
                <w:szCs w:val="20"/>
                <w:b w:val="1"/>
                <w:bCs w:val="1"/>
                <w:color w:val="3A5575"/>
                <w:w w:val="96"/>
              </w:rPr>
              <w:t>PERCENT OF MONTHLY</w:t>
            </w:r>
          </w:p>
        </w:tc>
        <w:tc>
          <w:tcPr>
            <w:tcW w:w="0" w:type="dxa"/>
            <w:vAlign w:val="bottom"/>
          </w:tcPr>
          <w:p>
            <w:pPr>
              <w:spacing w:after="0"/>
              <w:rPr>
                <w:sz w:val="1"/>
                <w:szCs w:val="1"/>
                <w:color w:val="auto"/>
              </w:rPr>
            </w:pPr>
          </w:p>
        </w:tc>
      </w:tr>
      <w:tr>
        <w:trPr>
          <w:trHeight w:val="221"/>
        </w:trPr>
        <w:tc>
          <w:tcPr>
            <w:tcW w:w="368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AGE AT END OF PLAN YEAR</w:t>
            </w:r>
          </w:p>
        </w:tc>
        <w:tc>
          <w:tcPr>
            <w:tcW w:w="4700" w:type="dxa"/>
            <w:vAlign w:val="bottom"/>
          </w:tcPr>
          <w:p>
            <w:pPr>
              <w:jc w:val="center"/>
              <w:ind w:left="842"/>
              <w:spacing w:after="0" w:line="221" w:lineRule="exact"/>
              <w:rPr>
                <w:sz w:val="20"/>
                <w:szCs w:val="20"/>
                <w:color w:val="auto"/>
              </w:rPr>
            </w:pPr>
            <w:r>
              <w:rPr>
                <w:rFonts w:ascii="Arial" w:cs="Arial" w:eastAsia="Arial" w:hAnsi="Arial"/>
                <w:sz w:val="20"/>
                <w:szCs w:val="20"/>
                <w:b w:val="1"/>
                <w:bCs w:val="1"/>
                <w:color w:val="3A5575"/>
                <w:w w:val="97"/>
              </w:rPr>
              <w:t>COMPENSATION CONTRIBUTION RATE</w:t>
            </w:r>
          </w:p>
        </w:tc>
        <w:tc>
          <w:tcPr>
            <w:tcW w:w="0" w:type="dxa"/>
            <w:vAlign w:val="bottom"/>
          </w:tcPr>
          <w:p>
            <w:pPr>
              <w:spacing w:after="0"/>
              <w:rPr>
                <w:sz w:val="1"/>
                <w:szCs w:val="1"/>
                <w:color w:val="auto"/>
              </w:rPr>
            </w:pPr>
          </w:p>
        </w:tc>
      </w:tr>
      <w:tr>
        <w:trPr>
          <w:trHeight w:val="255"/>
        </w:trPr>
        <w:tc>
          <w:tcPr>
            <w:tcW w:w="3680" w:type="dxa"/>
            <w:vAlign w:val="bottom"/>
            <w:tcBorders>
              <w:bottom w:val="single" w:sz="8" w:color="888992"/>
            </w:tcBorders>
            <w:gridSpan w:val="2"/>
            <w:vMerge w:val="continue"/>
          </w:tcPr>
          <w:p>
            <w:pPr>
              <w:spacing w:after="0"/>
              <w:rPr>
                <w:sz w:val="22"/>
                <w:szCs w:val="22"/>
                <w:color w:val="auto"/>
              </w:rPr>
            </w:pPr>
          </w:p>
        </w:tc>
        <w:tc>
          <w:tcPr>
            <w:tcW w:w="4700" w:type="dxa"/>
            <w:vAlign w:val="bottom"/>
            <w:tcBorders>
              <w:bottom w:val="single" w:sz="8" w:color="888992"/>
            </w:tcBorders>
          </w:tcPr>
          <w:p>
            <w:pPr>
              <w:jc w:val="center"/>
              <w:ind w:left="862"/>
              <w:spacing w:after="0"/>
              <w:rPr>
                <w:sz w:val="20"/>
                <w:szCs w:val="20"/>
                <w:color w:val="auto"/>
              </w:rPr>
            </w:pPr>
            <w:r>
              <w:rPr>
                <w:rFonts w:ascii="Arial" w:cs="Arial" w:eastAsia="Arial" w:hAnsi="Arial"/>
                <w:sz w:val="20"/>
                <w:szCs w:val="20"/>
                <w:b w:val="1"/>
                <w:bCs w:val="1"/>
                <w:color w:val="3A5575"/>
                <w:w w:val="96"/>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366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Less than 35</w:t>
            </w:r>
          </w:p>
        </w:tc>
        <w:tc>
          <w:tcPr>
            <w:tcW w:w="4700" w:type="dxa"/>
            <w:vAlign w:val="bottom"/>
            <w:shd w:val="clear" w:color="auto" w:fill="E3E5EB"/>
          </w:tcPr>
          <w:p>
            <w:pPr>
              <w:jc w:val="center"/>
              <w:ind w:left="862"/>
              <w:spacing w:after="0" w:line="213" w:lineRule="exact"/>
              <w:rPr>
                <w:sz w:val="20"/>
                <w:szCs w:val="20"/>
                <w:color w:val="auto"/>
              </w:rPr>
            </w:pPr>
            <w:r>
              <w:rPr>
                <w:rFonts w:ascii="Arial" w:cs="Arial" w:eastAsia="Arial" w:hAnsi="Arial"/>
                <w:sz w:val="20"/>
                <w:szCs w:val="20"/>
                <w:color w:val="auto"/>
                <w:w w:val="98"/>
              </w:rPr>
              <w:t>12</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tcPr>
          <w:p>
            <w:pPr>
              <w:spacing w:after="0" w:line="221" w:lineRule="exact"/>
              <w:rPr>
                <w:sz w:val="20"/>
                <w:szCs w:val="20"/>
                <w:color w:val="auto"/>
              </w:rPr>
            </w:pPr>
            <w:r>
              <w:rPr>
                <w:rFonts w:ascii="Arial" w:cs="Arial" w:eastAsia="Arial" w:hAnsi="Arial"/>
                <w:sz w:val="20"/>
                <w:szCs w:val="20"/>
                <w:color w:val="auto"/>
              </w:rPr>
              <w:t>35-39</w:t>
            </w:r>
          </w:p>
        </w:tc>
        <w:tc>
          <w:tcPr>
            <w:tcW w:w="4700" w:type="dxa"/>
            <w:vAlign w:val="bottom"/>
          </w:tcPr>
          <w:p>
            <w:pPr>
              <w:jc w:val="center"/>
              <w:ind w:left="862"/>
              <w:spacing w:after="0" w:line="221" w:lineRule="exact"/>
              <w:rPr>
                <w:sz w:val="20"/>
                <w:szCs w:val="20"/>
                <w:color w:val="auto"/>
              </w:rPr>
            </w:pPr>
            <w:r>
              <w:rPr>
                <w:rFonts w:ascii="Arial" w:cs="Arial" w:eastAsia="Arial" w:hAnsi="Arial"/>
                <w:sz w:val="20"/>
                <w:szCs w:val="20"/>
                <w:color w:val="auto"/>
                <w:w w:val="98"/>
              </w:rPr>
              <w:t>14</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40-44</w:t>
            </w:r>
          </w:p>
        </w:tc>
        <w:tc>
          <w:tcPr>
            <w:tcW w:w="4700" w:type="dxa"/>
            <w:vAlign w:val="bottom"/>
            <w:shd w:val="clear" w:color="auto" w:fill="E3E5EB"/>
          </w:tcPr>
          <w:p>
            <w:pPr>
              <w:jc w:val="center"/>
              <w:ind w:left="862"/>
              <w:spacing w:after="0" w:line="221" w:lineRule="exact"/>
              <w:rPr>
                <w:sz w:val="20"/>
                <w:szCs w:val="20"/>
                <w:color w:val="auto"/>
              </w:rPr>
            </w:pPr>
            <w:r>
              <w:rPr>
                <w:rFonts w:ascii="Arial" w:cs="Arial" w:eastAsia="Arial" w:hAnsi="Arial"/>
                <w:sz w:val="20"/>
                <w:szCs w:val="20"/>
                <w:color w:val="auto"/>
                <w:w w:val="98"/>
              </w:rPr>
              <w:t>16</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tcPr>
          <w:p>
            <w:pPr>
              <w:spacing w:after="0" w:line="221" w:lineRule="exact"/>
              <w:rPr>
                <w:sz w:val="20"/>
                <w:szCs w:val="20"/>
                <w:color w:val="auto"/>
              </w:rPr>
            </w:pPr>
            <w:r>
              <w:rPr>
                <w:rFonts w:ascii="Arial" w:cs="Arial" w:eastAsia="Arial" w:hAnsi="Arial"/>
                <w:sz w:val="20"/>
                <w:szCs w:val="20"/>
                <w:color w:val="auto"/>
              </w:rPr>
              <w:t>45-49</w:t>
            </w:r>
          </w:p>
        </w:tc>
        <w:tc>
          <w:tcPr>
            <w:tcW w:w="4700" w:type="dxa"/>
            <w:vAlign w:val="bottom"/>
          </w:tcPr>
          <w:p>
            <w:pPr>
              <w:jc w:val="center"/>
              <w:ind w:left="862"/>
              <w:spacing w:after="0" w:line="221" w:lineRule="exact"/>
              <w:rPr>
                <w:sz w:val="20"/>
                <w:szCs w:val="20"/>
                <w:color w:val="auto"/>
              </w:rPr>
            </w:pPr>
            <w:r>
              <w:rPr>
                <w:rFonts w:ascii="Arial" w:cs="Arial" w:eastAsia="Arial" w:hAnsi="Arial"/>
                <w:sz w:val="20"/>
                <w:szCs w:val="20"/>
                <w:color w:val="auto"/>
                <w:w w:val="98"/>
              </w:rPr>
              <w:t>20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50-54</w:t>
            </w:r>
          </w:p>
        </w:tc>
        <w:tc>
          <w:tcPr>
            <w:tcW w:w="4700" w:type="dxa"/>
            <w:vAlign w:val="bottom"/>
            <w:shd w:val="clear" w:color="auto" w:fill="E3E5EB"/>
          </w:tcPr>
          <w:p>
            <w:pPr>
              <w:jc w:val="center"/>
              <w:ind w:left="862"/>
              <w:spacing w:after="0" w:line="221" w:lineRule="exact"/>
              <w:rPr>
                <w:sz w:val="20"/>
                <w:szCs w:val="20"/>
                <w:color w:val="auto"/>
              </w:rPr>
            </w:pPr>
            <w:r>
              <w:rPr>
                <w:rFonts w:ascii="Arial" w:cs="Arial" w:eastAsia="Arial" w:hAnsi="Arial"/>
                <w:sz w:val="20"/>
                <w:szCs w:val="20"/>
                <w:color w:val="auto"/>
                <w:w w:val="98"/>
              </w:rPr>
              <w:t>24</w:t>
            </w:r>
          </w:p>
        </w:tc>
        <w:tc>
          <w:tcPr>
            <w:tcW w:w="0" w:type="dxa"/>
            <w:vAlign w:val="bottom"/>
          </w:tcPr>
          <w:p>
            <w:pPr>
              <w:spacing w:after="0"/>
              <w:rPr>
                <w:sz w:val="1"/>
                <w:szCs w:val="1"/>
                <w:color w:val="auto"/>
              </w:rPr>
            </w:pPr>
          </w:p>
        </w:tc>
      </w:tr>
      <w:tr>
        <w:trPr>
          <w:trHeight w:val="221"/>
        </w:trPr>
        <w:tc>
          <w:tcPr>
            <w:tcW w:w="20" w:type="dxa"/>
            <w:vAlign w:val="bottom"/>
            <w:tcBorders>
              <w:bottom w:val="single" w:sz="8" w:color="888992"/>
            </w:tcBorders>
          </w:tcPr>
          <w:p>
            <w:pPr>
              <w:spacing w:after="0"/>
              <w:rPr>
                <w:sz w:val="19"/>
                <w:szCs w:val="19"/>
                <w:color w:val="auto"/>
              </w:rPr>
            </w:pPr>
          </w:p>
        </w:tc>
        <w:tc>
          <w:tcPr>
            <w:tcW w:w="3660" w:type="dxa"/>
            <w:vAlign w:val="bottom"/>
            <w:tcBorders>
              <w:bottom w:val="single" w:sz="8" w:color="888992"/>
            </w:tcBorders>
          </w:tcPr>
          <w:p>
            <w:pPr>
              <w:spacing w:after="0" w:line="221" w:lineRule="exact"/>
              <w:rPr>
                <w:sz w:val="20"/>
                <w:szCs w:val="20"/>
                <w:color w:val="auto"/>
              </w:rPr>
            </w:pPr>
            <w:r>
              <w:rPr>
                <w:rFonts w:ascii="Arial" w:cs="Arial" w:eastAsia="Arial" w:hAnsi="Arial"/>
                <w:sz w:val="20"/>
                <w:szCs w:val="20"/>
                <w:color w:val="auto"/>
              </w:rPr>
              <w:t>55 and over</w:t>
            </w:r>
          </w:p>
        </w:tc>
        <w:tc>
          <w:tcPr>
            <w:tcW w:w="4700" w:type="dxa"/>
            <w:vAlign w:val="bottom"/>
            <w:tcBorders>
              <w:bottom w:val="single" w:sz="8" w:color="888992"/>
            </w:tcBorders>
          </w:tcPr>
          <w:p>
            <w:pPr>
              <w:jc w:val="center"/>
              <w:ind w:left="862"/>
              <w:spacing w:after="0" w:line="221" w:lineRule="exact"/>
              <w:rPr>
                <w:sz w:val="20"/>
                <w:szCs w:val="20"/>
                <w:color w:val="auto"/>
              </w:rPr>
            </w:pPr>
            <w:r>
              <w:rPr>
                <w:rFonts w:ascii="Arial" w:cs="Arial" w:eastAsia="Arial" w:hAnsi="Arial"/>
                <w:sz w:val="20"/>
                <w:szCs w:val="20"/>
                <w:color w:val="auto"/>
                <w:w w:val="98"/>
              </w:rPr>
              <w:t>28</w:t>
            </w:r>
          </w:p>
        </w:tc>
        <w:tc>
          <w:tcPr>
            <w:tcW w:w="0" w:type="dxa"/>
            <w:vAlign w:val="bottom"/>
          </w:tcPr>
          <w:p>
            <w:pPr>
              <w:spacing w:after="0"/>
              <w:rPr>
                <w:sz w:val="1"/>
                <w:szCs w:val="1"/>
                <w:color w:val="auto"/>
              </w:rPr>
            </w:pPr>
          </w:p>
        </w:tc>
      </w:tr>
    </w:tbl>
    <w:p>
      <w:pPr>
        <w:spacing w:after="0" w:line="277" w:lineRule="exact"/>
        <w:rPr>
          <w:rFonts w:ascii="Arial" w:cs="Arial" w:eastAsia="Arial" w:hAnsi="Arial"/>
          <w:sz w:val="13"/>
          <w:szCs w:val="13"/>
          <w:b w:val="1"/>
          <w:bCs w:val="1"/>
          <w:color w:val="FFFFFE"/>
        </w:rPr>
      </w:pPr>
    </w:p>
    <w:p>
      <w:pPr>
        <w:ind w:right="40"/>
        <w:spacing w:after="0" w:line="265" w:lineRule="auto"/>
        <w:rPr>
          <w:sz w:val="20"/>
          <w:szCs w:val="20"/>
          <w:color w:val="auto"/>
        </w:rPr>
      </w:pPr>
      <w:r>
        <w:rPr>
          <w:rFonts w:ascii="Arial" w:cs="Arial" w:eastAsia="Arial" w:hAnsi="Arial"/>
          <w:sz w:val="20"/>
          <w:szCs w:val="20"/>
          <w:color w:val="auto"/>
        </w:rPr>
        <w:t>Company credits under the Supplemental Plan stop at the end of the year in which a participant attains 25 years of service (the "25-Year Cap").</w:t>
      </w:r>
    </w:p>
    <w:p>
      <w:pPr>
        <w:spacing w:after="0" w:line="130"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0"/>
          <w:szCs w:val="20"/>
          <w:color w:val="auto"/>
        </w:rPr>
        <w:t>Under the Retirement Plan, Company credits are based on the following formula:</w:t>
      </w:r>
    </w:p>
    <w:p>
      <w:pPr>
        <w:spacing w:after="0" w:line="200" w:lineRule="exact"/>
        <w:rPr>
          <w:rFonts w:ascii="Arial" w:cs="Arial" w:eastAsia="Arial" w:hAnsi="Arial"/>
          <w:sz w:val="13"/>
          <w:szCs w:val="13"/>
          <w:b w:val="1"/>
          <w:bCs w:val="1"/>
          <w:color w:val="FFFFFE"/>
        </w:rPr>
      </w:pPr>
    </w:p>
    <w:p>
      <w:pPr>
        <w:spacing w:after="0" w:line="317" w:lineRule="exact"/>
        <w:rPr>
          <w:rFonts w:ascii="Arial" w:cs="Arial" w:eastAsia="Arial" w:hAnsi="Arial"/>
          <w:sz w:val="13"/>
          <w:szCs w:val="13"/>
          <w:b w:val="1"/>
          <w:bCs w:val="1"/>
          <w:color w:val="FFFFFE"/>
        </w:rPr>
      </w:pPr>
    </w:p>
    <w:tbl>
      <w:tblPr>
        <w:tblLayout w:type="fixed"/>
        <w:tblInd w:w="146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6140" w:type="dxa"/>
            <w:vAlign w:val="bottom"/>
          </w:tcPr>
          <w:p>
            <w:pPr>
              <w:spacing w:after="0"/>
              <w:rPr>
                <w:sz w:val="19"/>
                <w:szCs w:val="19"/>
                <w:color w:val="auto"/>
              </w:rPr>
            </w:pPr>
          </w:p>
        </w:tc>
        <w:tc>
          <w:tcPr>
            <w:tcW w:w="3840" w:type="dxa"/>
            <w:vAlign w:val="bottom"/>
          </w:tcPr>
          <w:p>
            <w:pPr>
              <w:jc w:val="center"/>
              <w:ind w:left="2"/>
              <w:spacing w:after="0"/>
              <w:rPr>
                <w:sz w:val="20"/>
                <w:szCs w:val="20"/>
                <w:color w:val="auto"/>
              </w:rPr>
            </w:pPr>
            <w:r>
              <w:rPr>
                <w:rFonts w:ascii="Arial" w:cs="Arial" w:eastAsia="Arial" w:hAnsi="Arial"/>
                <w:sz w:val="20"/>
                <w:szCs w:val="20"/>
                <w:b w:val="1"/>
                <w:bCs w:val="1"/>
                <w:color w:val="3A5575"/>
                <w:w w:val="96"/>
              </w:rPr>
              <w:t>PERCENT OF MONTHLY</w:t>
            </w:r>
          </w:p>
        </w:tc>
        <w:tc>
          <w:tcPr>
            <w:tcW w:w="0" w:type="dxa"/>
            <w:vAlign w:val="bottom"/>
          </w:tcPr>
          <w:p>
            <w:pPr>
              <w:spacing w:after="0"/>
              <w:rPr>
                <w:sz w:val="1"/>
                <w:szCs w:val="1"/>
                <w:color w:val="auto"/>
              </w:rPr>
            </w:pPr>
          </w:p>
        </w:tc>
      </w:tr>
      <w:tr>
        <w:trPr>
          <w:trHeight w:val="221"/>
        </w:trPr>
        <w:tc>
          <w:tcPr>
            <w:tcW w:w="6160" w:type="dxa"/>
            <w:vAlign w:val="bottom"/>
            <w:gridSpan w:val="2"/>
            <w:vMerge w:val="restart"/>
          </w:tcPr>
          <w:p>
            <w:pPr>
              <w:spacing w:after="0"/>
              <w:rPr>
                <w:sz w:val="20"/>
                <w:szCs w:val="20"/>
                <w:color w:val="auto"/>
              </w:rPr>
            </w:pPr>
            <w:r>
              <w:rPr>
                <w:rFonts w:ascii="Arial" w:cs="Arial" w:eastAsia="Arial" w:hAnsi="Arial"/>
                <w:sz w:val="20"/>
                <w:szCs w:val="20"/>
                <w:b w:val="1"/>
                <w:bCs w:val="1"/>
                <w:color w:val="3A5575"/>
                <w:w w:val="99"/>
              </w:rPr>
              <w:t>AGE PLUS WHOLE YEARS OF SERVICE AT END OF PLAN YEAR</w:t>
            </w:r>
          </w:p>
        </w:tc>
        <w:tc>
          <w:tcPr>
            <w:tcW w:w="384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7"/>
              </w:rPr>
              <w:t>COMPENSATION CONTRIBUTION RATE</w:t>
            </w:r>
          </w:p>
        </w:tc>
        <w:tc>
          <w:tcPr>
            <w:tcW w:w="0" w:type="dxa"/>
            <w:vAlign w:val="bottom"/>
          </w:tcPr>
          <w:p>
            <w:pPr>
              <w:spacing w:after="0"/>
              <w:rPr>
                <w:sz w:val="1"/>
                <w:szCs w:val="1"/>
                <w:color w:val="auto"/>
              </w:rPr>
            </w:pPr>
          </w:p>
        </w:tc>
      </w:tr>
      <w:tr>
        <w:trPr>
          <w:trHeight w:val="255"/>
        </w:trPr>
        <w:tc>
          <w:tcPr>
            <w:tcW w:w="6160" w:type="dxa"/>
            <w:vAlign w:val="bottom"/>
            <w:tcBorders>
              <w:bottom w:val="single" w:sz="8" w:color="888992"/>
            </w:tcBorders>
            <w:gridSpan w:val="2"/>
            <w:vMerge w:val="continue"/>
          </w:tcPr>
          <w:p>
            <w:pPr>
              <w:spacing w:after="0"/>
              <w:rPr>
                <w:sz w:val="22"/>
                <w:szCs w:val="22"/>
                <w:color w:val="auto"/>
              </w:rPr>
            </w:pPr>
          </w:p>
        </w:tc>
        <w:tc>
          <w:tcPr>
            <w:tcW w:w="3840" w:type="dxa"/>
            <w:vAlign w:val="bottom"/>
            <w:tcBorders>
              <w:bottom w:val="single" w:sz="8" w:color="888992"/>
            </w:tcBorders>
          </w:tcPr>
          <w:p>
            <w:pPr>
              <w:jc w:val="center"/>
              <w:ind w:left="2"/>
              <w:spacing w:after="0"/>
              <w:rPr>
                <w:sz w:val="20"/>
                <w:szCs w:val="20"/>
                <w:color w:val="auto"/>
              </w:rPr>
            </w:pPr>
            <w:r>
              <w:rPr>
                <w:rFonts w:ascii="Arial" w:cs="Arial" w:eastAsia="Arial" w:hAnsi="Arial"/>
                <w:sz w:val="20"/>
                <w:szCs w:val="20"/>
                <w:b w:val="1"/>
                <w:bCs w:val="1"/>
                <w:color w:val="3A5575"/>
                <w:w w:val="96"/>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614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Less than 40</w:t>
            </w:r>
          </w:p>
        </w:tc>
        <w:tc>
          <w:tcPr>
            <w:tcW w:w="3840" w:type="dxa"/>
            <w:vAlign w:val="bottom"/>
            <w:shd w:val="clear" w:color="auto" w:fill="E3E5EB"/>
          </w:tcPr>
          <w:p>
            <w:pPr>
              <w:jc w:val="right"/>
              <w:ind w:right="1662"/>
              <w:spacing w:after="0" w:line="213" w:lineRule="exact"/>
              <w:rPr>
                <w:sz w:val="20"/>
                <w:szCs w:val="20"/>
                <w:color w:val="auto"/>
              </w:rPr>
            </w:pPr>
            <w:r>
              <w:rPr>
                <w:rFonts w:ascii="Arial" w:cs="Arial" w:eastAsia="Arial" w:hAnsi="Arial"/>
                <w:sz w:val="20"/>
                <w:szCs w:val="20"/>
                <w:color w:val="auto"/>
              </w:rPr>
              <w:t>4</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6140" w:type="dxa"/>
            <w:vAlign w:val="bottom"/>
          </w:tcPr>
          <w:p>
            <w:pPr>
              <w:spacing w:after="0" w:line="221" w:lineRule="exact"/>
              <w:rPr>
                <w:sz w:val="20"/>
                <w:szCs w:val="20"/>
                <w:color w:val="auto"/>
              </w:rPr>
            </w:pPr>
            <w:r>
              <w:rPr>
                <w:rFonts w:ascii="Arial" w:cs="Arial" w:eastAsia="Arial" w:hAnsi="Arial"/>
                <w:sz w:val="20"/>
                <w:szCs w:val="20"/>
                <w:color w:val="auto"/>
              </w:rPr>
              <w:t>40-49</w:t>
            </w:r>
          </w:p>
        </w:tc>
        <w:tc>
          <w:tcPr>
            <w:tcW w:w="3840" w:type="dxa"/>
            <w:vAlign w:val="bottom"/>
          </w:tcPr>
          <w:p>
            <w:pPr>
              <w:jc w:val="right"/>
              <w:ind w:right="1662"/>
              <w:spacing w:after="0" w:line="221" w:lineRule="exact"/>
              <w:rPr>
                <w:sz w:val="20"/>
                <w:szCs w:val="20"/>
                <w:color w:val="auto"/>
              </w:rPr>
            </w:pPr>
            <w:r>
              <w:rPr>
                <w:rFonts w:ascii="Arial" w:cs="Arial" w:eastAsia="Arial" w:hAnsi="Arial"/>
                <w:sz w:val="20"/>
                <w:szCs w:val="20"/>
                <w:color w:val="auto"/>
              </w:rPr>
              <w:t>5</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614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50-59</w:t>
            </w:r>
          </w:p>
        </w:tc>
        <w:tc>
          <w:tcPr>
            <w:tcW w:w="3840" w:type="dxa"/>
            <w:vAlign w:val="bottom"/>
            <w:shd w:val="clear" w:color="auto" w:fill="E3E5EB"/>
          </w:tcPr>
          <w:p>
            <w:pPr>
              <w:jc w:val="right"/>
              <w:ind w:right="1662"/>
              <w:spacing w:after="0" w:line="221" w:lineRule="exact"/>
              <w:rPr>
                <w:sz w:val="20"/>
                <w:szCs w:val="20"/>
                <w:color w:val="auto"/>
              </w:rPr>
            </w:pPr>
            <w:r>
              <w:rPr>
                <w:rFonts w:ascii="Arial" w:cs="Arial" w:eastAsia="Arial" w:hAnsi="Arial"/>
                <w:sz w:val="20"/>
                <w:szCs w:val="20"/>
                <w:color w:val="auto"/>
              </w:rPr>
              <w:t>6</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6140" w:type="dxa"/>
            <w:vAlign w:val="bottom"/>
          </w:tcPr>
          <w:p>
            <w:pPr>
              <w:spacing w:after="0" w:line="221" w:lineRule="exact"/>
              <w:rPr>
                <w:sz w:val="20"/>
                <w:szCs w:val="20"/>
                <w:color w:val="auto"/>
              </w:rPr>
            </w:pPr>
            <w:r>
              <w:rPr>
                <w:rFonts w:ascii="Arial" w:cs="Arial" w:eastAsia="Arial" w:hAnsi="Arial"/>
                <w:sz w:val="20"/>
                <w:szCs w:val="20"/>
                <w:color w:val="auto"/>
              </w:rPr>
              <w:t>60-69</w:t>
            </w:r>
          </w:p>
        </w:tc>
        <w:tc>
          <w:tcPr>
            <w:tcW w:w="3840" w:type="dxa"/>
            <w:vAlign w:val="bottom"/>
          </w:tcPr>
          <w:p>
            <w:pPr>
              <w:jc w:val="right"/>
              <w:ind w:right="1662"/>
              <w:spacing w:after="0" w:line="221" w:lineRule="exact"/>
              <w:rPr>
                <w:sz w:val="20"/>
                <w:szCs w:val="20"/>
                <w:color w:val="auto"/>
              </w:rPr>
            </w:pPr>
            <w:r>
              <w:rPr>
                <w:rFonts w:ascii="Arial" w:cs="Arial" w:eastAsia="Arial" w:hAnsi="Arial"/>
                <w:sz w:val="20"/>
                <w:szCs w:val="20"/>
                <w:color w:val="auto"/>
              </w:rPr>
              <w:t>7</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614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70-79</w:t>
            </w:r>
          </w:p>
        </w:tc>
        <w:tc>
          <w:tcPr>
            <w:tcW w:w="3840" w:type="dxa"/>
            <w:vAlign w:val="bottom"/>
            <w:shd w:val="clear" w:color="auto" w:fill="E3E5EB"/>
          </w:tcPr>
          <w:p>
            <w:pPr>
              <w:jc w:val="right"/>
              <w:ind w:right="1662"/>
              <w:spacing w:after="0" w:line="221" w:lineRule="exact"/>
              <w:rPr>
                <w:sz w:val="20"/>
                <w:szCs w:val="20"/>
                <w:color w:val="auto"/>
              </w:rPr>
            </w:pPr>
            <w:r>
              <w:rPr>
                <w:rFonts w:ascii="Arial" w:cs="Arial" w:eastAsia="Arial" w:hAnsi="Arial"/>
                <w:sz w:val="20"/>
                <w:szCs w:val="20"/>
                <w:color w:val="auto"/>
              </w:rPr>
              <w:t>9</w:t>
            </w:r>
          </w:p>
        </w:tc>
        <w:tc>
          <w:tcPr>
            <w:tcW w:w="0" w:type="dxa"/>
            <w:vAlign w:val="bottom"/>
          </w:tcPr>
          <w:p>
            <w:pPr>
              <w:spacing w:after="0"/>
              <w:rPr>
                <w:sz w:val="1"/>
                <w:szCs w:val="1"/>
                <w:color w:val="auto"/>
              </w:rPr>
            </w:pPr>
          </w:p>
        </w:tc>
      </w:tr>
      <w:tr>
        <w:trPr>
          <w:trHeight w:val="221"/>
        </w:trPr>
        <w:tc>
          <w:tcPr>
            <w:tcW w:w="20" w:type="dxa"/>
            <w:vAlign w:val="bottom"/>
            <w:tcBorders>
              <w:bottom w:val="single" w:sz="8" w:color="888992"/>
            </w:tcBorders>
          </w:tcPr>
          <w:p>
            <w:pPr>
              <w:spacing w:after="0"/>
              <w:rPr>
                <w:sz w:val="19"/>
                <w:szCs w:val="19"/>
                <w:color w:val="auto"/>
              </w:rPr>
            </w:pPr>
          </w:p>
        </w:tc>
        <w:tc>
          <w:tcPr>
            <w:tcW w:w="6140" w:type="dxa"/>
            <w:vAlign w:val="bottom"/>
            <w:tcBorders>
              <w:bottom w:val="single" w:sz="8" w:color="888992"/>
            </w:tcBorders>
          </w:tcPr>
          <w:p>
            <w:pPr>
              <w:spacing w:after="0" w:line="221" w:lineRule="exact"/>
              <w:rPr>
                <w:sz w:val="20"/>
                <w:szCs w:val="20"/>
                <w:color w:val="auto"/>
              </w:rPr>
            </w:pPr>
            <w:r>
              <w:rPr>
                <w:rFonts w:ascii="Arial" w:cs="Arial" w:eastAsia="Arial" w:hAnsi="Arial"/>
                <w:sz w:val="20"/>
                <w:szCs w:val="20"/>
                <w:color w:val="auto"/>
              </w:rPr>
              <w:t>80 and over</w:t>
            </w:r>
          </w:p>
        </w:tc>
        <w:tc>
          <w:tcPr>
            <w:tcW w:w="3840" w:type="dxa"/>
            <w:vAlign w:val="bottom"/>
            <w:tcBorders>
              <w:bottom w:val="single" w:sz="8" w:color="888992"/>
            </w:tcBorders>
          </w:tcPr>
          <w:p>
            <w:pPr>
              <w:jc w:val="right"/>
              <w:ind w:right="1662"/>
              <w:spacing w:after="0" w:line="221" w:lineRule="exact"/>
              <w:rPr>
                <w:sz w:val="20"/>
                <w:szCs w:val="20"/>
                <w:color w:val="auto"/>
              </w:rPr>
            </w:pPr>
            <w:r>
              <w:rPr>
                <w:rFonts w:ascii="Arial" w:cs="Arial" w:eastAsia="Arial" w:hAnsi="Arial"/>
                <w:sz w:val="20"/>
                <w:szCs w:val="20"/>
                <w:color w:val="auto"/>
              </w:rPr>
              <w:t>11</w:t>
            </w:r>
          </w:p>
        </w:tc>
        <w:tc>
          <w:tcPr>
            <w:tcW w:w="0" w:type="dxa"/>
            <w:vAlign w:val="bottom"/>
          </w:tcPr>
          <w:p>
            <w:pPr>
              <w:spacing w:after="0"/>
              <w:rPr>
                <w:sz w:val="1"/>
                <w:szCs w:val="1"/>
                <w:color w:val="auto"/>
              </w:rPr>
            </w:pPr>
          </w:p>
        </w:tc>
      </w:tr>
    </w:tbl>
    <w:p>
      <w:pPr>
        <w:spacing w:after="0" w:line="289" w:lineRule="exact"/>
        <w:rPr>
          <w:rFonts w:ascii="Arial" w:cs="Arial" w:eastAsia="Arial" w:hAnsi="Arial"/>
          <w:sz w:val="13"/>
          <w:szCs w:val="13"/>
          <w:b w:val="1"/>
          <w:bCs w:val="1"/>
          <w:color w:val="FFFFFE"/>
        </w:rPr>
      </w:pPr>
    </w:p>
    <w:p>
      <w:pPr>
        <w:ind w:right="240"/>
        <w:spacing w:after="0" w:line="265" w:lineRule="auto"/>
        <w:rPr>
          <w:sz w:val="20"/>
          <w:szCs w:val="20"/>
          <w:color w:val="auto"/>
        </w:rPr>
      </w:pPr>
      <w:r>
        <w:rPr>
          <w:rFonts w:ascii="Arial" w:cs="Arial" w:eastAsia="Arial" w:hAnsi="Arial"/>
          <w:sz w:val="20"/>
          <w:szCs w:val="20"/>
          <w:color w:val="auto"/>
        </w:rPr>
        <w:t>In addition, participants in the Retirement Plan on December 31, 2002 are eligible for up to 10 years of transition credits based on age and years of service (with the maximum transition credit being equal to 2.75% of average monthly compensation).</w:t>
      </w:r>
    </w:p>
    <w:p>
      <w:pPr>
        <w:spacing w:after="0" w:line="130" w:lineRule="exact"/>
        <w:rPr>
          <w:rFonts w:ascii="Arial" w:cs="Arial" w:eastAsia="Arial" w:hAnsi="Arial"/>
          <w:sz w:val="13"/>
          <w:szCs w:val="13"/>
          <w:b w:val="1"/>
          <w:bCs w:val="1"/>
          <w:color w:val="FFFFFE"/>
        </w:rPr>
      </w:pPr>
    </w:p>
    <w:p>
      <w:pPr>
        <w:ind w:right="100"/>
        <w:spacing w:after="0" w:line="242" w:lineRule="auto"/>
        <w:rPr>
          <w:sz w:val="20"/>
          <w:szCs w:val="20"/>
          <w:color w:val="auto"/>
        </w:rPr>
      </w:pPr>
      <w:r>
        <w:rPr>
          <w:rFonts w:ascii="Arial" w:cs="Arial" w:eastAsia="Arial" w:hAnsi="Arial"/>
          <w:sz w:val="20"/>
          <w:szCs w:val="20"/>
          <w:color w:val="auto"/>
        </w:rPr>
        <w:t>For purposes of calculating the Traditional Formula Benefit and the Account Balance Benefit under the Retirement Plan, compensation consists solely of base salary up to $260,000, including any employee contributions under the Company's 401(k) plan, flexible benefits plan and qualified transportation arrangement under Section 132(f) of the Code. Amounts voluntarily deferred under other deferred compensation plans, bonuses and incentive pay are not taken</w:t>
      </w:r>
    </w:p>
    <w:p>
      <w:pPr>
        <w:spacing w:after="0" w:line="232" w:lineRule="exact"/>
        <w:rPr>
          <w:rFonts w:ascii="Arial" w:cs="Arial" w:eastAsia="Arial" w:hAnsi="Arial"/>
          <w:sz w:val="13"/>
          <w:szCs w:val="13"/>
          <w:b w:val="1"/>
          <w:bCs w:val="1"/>
          <w:color w:val="FFFFFE"/>
        </w:rPr>
      </w:pPr>
    </w:p>
    <w:p>
      <w:pPr>
        <w:jc w:val="right"/>
        <w:ind w:right="20"/>
        <w:spacing w:after="0"/>
        <w:tabs>
          <w:tab w:leader="none" w:pos="210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77</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99695</wp:posOffset>
            </wp:positionV>
            <wp:extent cx="7263765" cy="2032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60"/>
          </w:cols>
          <w:pgMar w:left="240" w:top="110" w:right="199" w:bottom="1440" w:gutter="0" w:footer="0" w:header="0"/>
        </w:sectPr>
      </w:pPr>
    </w:p>
    <w:bookmarkStart w:id="86" w:name="page87"/>
    <w:bookmarkEnd w:id="86"/>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0" w:right="60"/>
        <w:spacing w:after="0" w:line="255" w:lineRule="auto"/>
        <w:rPr>
          <w:sz w:val="20"/>
          <w:szCs w:val="20"/>
          <w:color w:val="auto"/>
        </w:rPr>
      </w:pPr>
      <w:r>
        <w:rPr>
          <w:rFonts w:ascii="Arial" w:cs="Arial" w:eastAsia="Arial" w:hAnsi="Arial"/>
          <w:sz w:val="19"/>
          <w:szCs w:val="19"/>
          <w:color w:val="auto"/>
        </w:rPr>
        <w:t>into account under the Retirement Plan. The Supplemental Plan takes these amounts into account (with certain exceptions) plus base salary beyond the $260,000 limit. In addition, retention units (as described</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-274955</wp:posOffset>
            </wp:positionV>
            <wp:extent cx="1487805" cy="15557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640"/>
        <w:spacing w:after="0"/>
        <w:rPr>
          <w:sz w:val="20"/>
          <w:szCs w:val="20"/>
          <w:color w:val="auto"/>
        </w:rPr>
      </w:pPr>
      <w:r>
        <w:rPr>
          <w:rFonts w:ascii="Arial" w:cs="Arial" w:eastAsia="Arial" w:hAnsi="Arial"/>
          <w:sz w:val="20"/>
          <w:szCs w:val="20"/>
          <w:color w:val="auto"/>
        </w:rPr>
        <w:t>above in the Narrative Disclosure to Summary Compensation Table and Grants of Plan-Based Awards Table) are included in compensation under the Supplemental Plan.</w:t>
      </w:r>
    </w:p>
    <w:p>
      <w:pPr>
        <w:spacing w:after="0" w:line="154" w:lineRule="exact"/>
        <w:rPr>
          <w:rFonts w:ascii="Arial" w:cs="Arial" w:eastAsia="Arial" w:hAnsi="Arial"/>
          <w:sz w:val="13"/>
          <w:szCs w:val="13"/>
          <w:b w:val="1"/>
          <w:bCs w:val="1"/>
          <w:color w:val="FFFFFE"/>
        </w:rPr>
      </w:pPr>
    </w:p>
    <w:p>
      <w:pPr>
        <w:ind w:right="180"/>
        <w:spacing w:after="0" w:line="239" w:lineRule="auto"/>
        <w:rPr>
          <w:sz w:val="20"/>
          <w:szCs w:val="20"/>
          <w:color w:val="auto"/>
        </w:rPr>
      </w:pPr>
      <w:r>
        <w:rPr>
          <w:rFonts w:ascii="Arial" w:cs="Arial" w:eastAsia="Arial" w:hAnsi="Arial"/>
          <w:sz w:val="20"/>
          <w:szCs w:val="20"/>
          <w:color w:val="auto"/>
        </w:rPr>
        <w:t>For purposes of the Traditional Formula under the Retirement Plan, the average monthly compensation is the average of the highest 36 consecutive months of compensation in the final 10 years of employment; under the Supplemental Plan, the average monthly compensation is the average of the highest 36 consecutive months of compensation during employment. For purposes of the Account Balance Formula, contributions are based on the participant's then current monthly compensation calculated as described above.</w:t>
      </w:r>
    </w:p>
    <w:p>
      <w:pPr>
        <w:spacing w:after="0" w:line="155" w:lineRule="exact"/>
        <w:rPr>
          <w:rFonts w:ascii="Arial" w:cs="Arial" w:eastAsia="Arial" w:hAnsi="Arial"/>
          <w:sz w:val="13"/>
          <w:szCs w:val="13"/>
          <w:b w:val="1"/>
          <w:bCs w:val="1"/>
          <w:color w:val="FFFFFE"/>
        </w:rPr>
      </w:pPr>
    </w:p>
    <w:p>
      <w:pPr>
        <w:ind w:right="40"/>
        <w:spacing w:after="0" w:line="236" w:lineRule="auto"/>
        <w:rPr>
          <w:sz w:val="20"/>
          <w:szCs w:val="20"/>
          <w:color w:val="auto"/>
        </w:rPr>
      </w:pPr>
      <w:r>
        <w:rPr>
          <w:rFonts w:ascii="Arial" w:cs="Arial" w:eastAsia="Arial" w:hAnsi="Arial"/>
          <w:sz w:val="20"/>
          <w:szCs w:val="20"/>
          <w:color w:val="auto"/>
        </w:rPr>
        <w:t>A participant's years of service begin accruing on the date of employment. However, benefits do not vest until the completion of three-years of service. Under both the Retirement Plan and the Supplemental Plan, benefits are generally payable, as the participant elects, in the form of a level annuity, with or without survivorship, or a lump sum. However, Traditional Formula Benefits generally are not available as a lump sum, but are paid in the form of an annuity. Optional benefit forms are of relatively equal actuarial value under the Retirement Plan. Under the Supplemental Plan, the 50% joint and survivor benefit form is fully subsidized, and the other benefit forms are partially subsidized. The Supplemental Plan offers an optional five-year certain form of payment (payable in 60 monthly installments).</w:t>
      </w:r>
    </w:p>
    <w:p>
      <w:pPr>
        <w:spacing w:after="0" w:line="159" w:lineRule="exact"/>
        <w:rPr>
          <w:rFonts w:ascii="Arial" w:cs="Arial" w:eastAsia="Arial" w:hAnsi="Arial"/>
          <w:sz w:val="13"/>
          <w:szCs w:val="13"/>
          <w:b w:val="1"/>
          <w:bCs w:val="1"/>
          <w:color w:val="FFFFFE"/>
        </w:rPr>
      </w:pPr>
    </w:p>
    <w:p>
      <w:pPr>
        <w:ind w:right="720"/>
        <w:spacing w:after="0" w:line="265" w:lineRule="auto"/>
        <w:rPr>
          <w:sz w:val="20"/>
          <w:szCs w:val="20"/>
          <w:color w:val="auto"/>
        </w:rPr>
      </w:pPr>
      <w:r>
        <w:rPr>
          <w:rFonts w:ascii="Arial" w:cs="Arial" w:eastAsia="Arial" w:hAnsi="Arial"/>
          <w:sz w:val="20"/>
          <w:szCs w:val="20"/>
          <w:color w:val="auto"/>
        </w:rPr>
        <w:t>Effective January 1, 2011, the Supplemental Plan was amended to reduce the Company credits for individuals who became participants on or after January 1, 2011 to the levels listed in the following table:</w:t>
      </w:r>
    </w:p>
    <w:p>
      <w:pPr>
        <w:spacing w:after="0" w:line="200" w:lineRule="exact"/>
        <w:rPr>
          <w:rFonts w:ascii="Arial" w:cs="Arial" w:eastAsia="Arial" w:hAnsi="Arial"/>
          <w:sz w:val="13"/>
          <w:szCs w:val="13"/>
          <w:b w:val="1"/>
          <w:bCs w:val="1"/>
          <w:color w:val="FFFFFE"/>
        </w:rPr>
      </w:pPr>
    </w:p>
    <w:p>
      <w:pPr>
        <w:spacing w:after="0" w:line="260" w:lineRule="exact"/>
        <w:rPr>
          <w:rFonts w:ascii="Arial" w:cs="Arial" w:eastAsia="Arial" w:hAnsi="Arial"/>
          <w:sz w:val="13"/>
          <w:szCs w:val="13"/>
          <w:b w:val="1"/>
          <w:bCs w:val="1"/>
          <w:color w:val="FFFFFE"/>
        </w:rPr>
      </w:pPr>
    </w:p>
    <w:tbl>
      <w:tblPr>
        <w:tblLayout w:type="fixed"/>
        <w:tblInd w:w="146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3660" w:type="dxa"/>
            <w:vAlign w:val="bottom"/>
          </w:tcPr>
          <w:p>
            <w:pPr>
              <w:spacing w:after="0"/>
              <w:rPr>
                <w:sz w:val="19"/>
                <w:szCs w:val="19"/>
                <w:color w:val="auto"/>
              </w:rPr>
            </w:pPr>
          </w:p>
        </w:tc>
        <w:tc>
          <w:tcPr>
            <w:tcW w:w="4700" w:type="dxa"/>
            <w:vAlign w:val="bottom"/>
          </w:tcPr>
          <w:p>
            <w:pPr>
              <w:jc w:val="center"/>
              <w:ind w:left="862"/>
              <w:spacing w:after="0"/>
              <w:rPr>
                <w:sz w:val="20"/>
                <w:szCs w:val="20"/>
                <w:color w:val="auto"/>
              </w:rPr>
            </w:pPr>
            <w:r>
              <w:rPr>
                <w:rFonts w:ascii="Arial" w:cs="Arial" w:eastAsia="Arial" w:hAnsi="Arial"/>
                <w:sz w:val="20"/>
                <w:szCs w:val="20"/>
                <w:b w:val="1"/>
                <w:bCs w:val="1"/>
                <w:color w:val="3A5575"/>
                <w:w w:val="96"/>
              </w:rPr>
              <w:t>PERCENT OF MONTHLY</w:t>
            </w:r>
          </w:p>
        </w:tc>
        <w:tc>
          <w:tcPr>
            <w:tcW w:w="0" w:type="dxa"/>
            <w:vAlign w:val="bottom"/>
          </w:tcPr>
          <w:p>
            <w:pPr>
              <w:spacing w:after="0"/>
              <w:rPr>
                <w:sz w:val="1"/>
                <w:szCs w:val="1"/>
                <w:color w:val="auto"/>
              </w:rPr>
            </w:pPr>
          </w:p>
        </w:tc>
      </w:tr>
      <w:tr>
        <w:trPr>
          <w:trHeight w:val="221"/>
        </w:trPr>
        <w:tc>
          <w:tcPr>
            <w:tcW w:w="368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AGE AT END OF PLAN YEAR</w:t>
            </w:r>
          </w:p>
        </w:tc>
        <w:tc>
          <w:tcPr>
            <w:tcW w:w="4700" w:type="dxa"/>
            <w:vAlign w:val="bottom"/>
          </w:tcPr>
          <w:p>
            <w:pPr>
              <w:jc w:val="center"/>
              <w:ind w:left="842"/>
              <w:spacing w:after="0" w:line="221" w:lineRule="exact"/>
              <w:rPr>
                <w:sz w:val="20"/>
                <w:szCs w:val="20"/>
                <w:color w:val="auto"/>
              </w:rPr>
            </w:pPr>
            <w:r>
              <w:rPr>
                <w:rFonts w:ascii="Arial" w:cs="Arial" w:eastAsia="Arial" w:hAnsi="Arial"/>
                <w:sz w:val="20"/>
                <w:szCs w:val="20"/>
                <w:b w:val="1"/>
                <w:bCs w:val="1"/>
                <w:color w:val="3A5575"/>
                <w:w w:val="97"/>
              </w:rPr>
              <w:t>COMPENSATION CONTRIBUTION RATE</w:t>
            </w:r>
          </w:p>
        </w:tc>
        <w:tc>
          <w:tcPr>
            <w:tcW w:w="0" w:type="dxa"/>
            <w:vAlign w:val="bottom"/>
          </w:tcPr>
          <w:p>
            <w:pPr>
              <w:spacing w:after="0"/>
              <w:rPr>
                <w:sz w:val="1"/>
                <w:szCs w:val="1"/>
                <w:color w:val="auto"/>
              </w:rPr>
            </w:pPr>
          </w:p>
        </w:tc>
      </w:tr>
      <w:tr>
        <w:trPr>
          <w:trHeight w:val="255"/>
        </w:trPr>
        <w:tc>
          <w:tcPr>
            <w:tcW w:w="3680" w:type="dxa"/>
            <w:vAlign w:val="bottom"/>
            <w:tcBorders>
              <w:bottom w:val="single" w:sz="8" w:color="888992"/>
            </w:tcBorders>
            <w:gridSpan w:val="2"/>
            <w:vMerge w:val="continue"/>
          </w:tcPr>
          <w:p>
            <w:pPr>
              <w:spacing w:after="0"/>
              <w:rPr>
                <w:sz w:val="22"/>
                <w:szCs w:val="22"/>
                <w:color w:val="auto"/>
              </w:rPr>
            </w:pPr>
          </w:p>
        </w:tc>
        <w:tc>
          <w:tcPr>
            <w:tcW w:w="4700" w:type="dxa"/>
            <w:vAlign w:val="bottom"/>
            <w:tcBorders>
              <w:bottom w:val="single" w:sz="8" w:color="888992"/>
            </w:tcBorders>
          </w:tcPr>
          <w:p>
            <w:pPr>
              <w:jc w:val="center"/>
              <w:ind w:left="862"/>
              <w:spacing w:after="0"/>
              <w:rPr>
                <w:sz w:val="20"/>
                <w:szCs w:val="20"/>
                <w:color w:val="auto"/>
              </w:rPr>
            </w:pPr>
            <w:r>
              <w:rPr>
                <w:rFonts w:ascii="Arial" w:cs="Arial" w:eastAsia="Arial" w:hAnsi="Arial"/>
                <w:sz w:val="20"/>
                <w:szCs w:val="20"/>
                <w:b w:val="1"/>
                <w:bCs w:val="1"/>
                <w:color w:val="3A5575"/>
                <w:w w:val="96"/>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366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Less than 35</w:t>
            </w:r>
          </w:p>
        </w:tc>
        <w:tc>
          <w:tcPr>
            <w:tcW w:w="4700" w:type="dxa"/>
            <w:vAlign w:val="bottom"/>
            <w:shd w:val="clear" w:color="auto" w:fill="E3E5EB"/>
          </w:tcPr>
          <w:p>
            <w:pPr>
              <w:jc w:val="right"/>
              <w:ind w:right="1662"/>
              <w:spacing w:after="0" w:line="213" w:lineRule="exact"/>
              <w:rPr>
                <w:sz w:val="20"/>
                <w:szCs w:val="20"/>
                <w:color w:val="auto"/>
              </w:rPr>
            </w:pPr>
            <w:r>
              <w:rPr>
                <w:rFonts w:ascii="Arial" w:cs="Arial" w:eastAsia="Arial" w:hAnsi="Arial"/>
                <w:sz w:val="20"/>
                <w:szCs w:val="20"/>
                <w:color w:val="auto"/>
              </w:rPr>
              <w:t>8</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tcPr>
          <w:p>
            <w:pPr>
              <w:spacing w:after="0" w:line="221" w:lineRule="exact"/>
              <w:rPr>
                <w:sz w:val="20"/>
                <w:szCs w:val="20"/>
                <w:color w:val="auto"/>
              </w:rPr>
            </w:pPr>
            <w:r>
              <w:rPr>
                <w:rFonts w:ascii="Arial" w:cs="Arial" w:eastAsia="Arial" w:hAnsi="Arial"/>
                <w:sz w:val="20"/>
                <w:szCs w:val="20"/>
                <w:color w:val="auto"/>
              </w:rPr>
              <w:t>35-39</w:t>
            </w:r>
          </w:p>
        </w:tc>
        <w:tc>
          <w:tcPr>
            <w:tcW w:w="4700" w:type="dxa"/>
            <w:vAlign w:val="bottom"/>
          </w:tcPr>
          <w:p>
            <w:pPr>
              <w:jc w:val="right"/>
              <w:ind w:right="1662"/>
              <w:spacing w:after="0" w:line="221" w:lineRule="exact"/>
              <w:rPr>
                <w:sz w:val="20"/>
                <w:szCs w:val="20"/>
                <w:color w:val="auto"/>
              </w:rPr>
            </w:pPr>
            <w:r>
              <w:rPr>
                <w:rFonts w:ascii="Arial" w:cs="Arial" w:eastAsia="Arial" w:hAnsi="Arial"/>
                <w:sz w:val="20"/>
                <w:szCs w:val="20"/>
                <w:color w:val="auto"/>
              </w:rPr>
              <w:t>9</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40-44</w:t>
            </w:r>
          </w:p>
        </w:tc>
        <w:tc>
          <w:tcPr>
            <w:tcW w:w="4700" w:type="dxa"/>
            <w:vAlign w:val="bottom"/>
            <w:shd w:val="clear" w:color="auto" w:fill="E3E5EB"/>
          </w:tcPr>
          <w:p>
            <w:pPr>
              <w:jc w:val="right"/>
              <w:ind w:right="1662"/>
              <w:spacing w:after="0" w:line="221" w:lineRule="exact"/>
              <w:rPr>
                <w:sz w:val="20"/>
                <w:szCs w:val="20"/>
                <w:color w:val="auto"/>
              </w:rPr>
            </w:pPr>
            <w:r>
              <w:rPr>
                <w:rFonts w:ascii="Arial" w:cs="Arial" w:eastAsia="Arial" w:hAnsi="Arial"/>
                <w:sz w:val="20"/>
                <w:szCs w:val="20"/>
                <w:color w:val="auto"/>
              </w:rPr>
              <w:t>10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tcPr>
          <w:p>
            <w:pPr>
              <w:spacing w:after="0" w:line="221" w:lineRule="exact"/>
              <w:rPr>
                <w:sz w:val="20"/>
                <w:szCs w:val="20"/>
                <w:color w:val="auto"/>
              </w:rPr>
            </w:pPr>
            <w:r>
              <w:rPr>
                <w:rFonts w:ascii="Arial" w:cs="Arial" w:eastAsia="Arial" w:hAnsi="Arial"/>
                <w:sz w:val="20"/>
                <w:szCs w:val="20"/>
                <w:color w:val="auto"/>
              </w:rPr>
              <w:t>45-49</w:t>
            </w:r>
          </w:p>
        </w:tc>
        <w:tc>
          <w:tcPr>
            <w:tcW w:w="4700" w:type="dxa"/>
            <w:vAlign w:val="bottom"/>
          </w:tcPr>
          <w:p>
            <w:pPr>
              <w:jc w:val="right"/>
              <w:ind w:right="1662"/>
              <w:spacing w:after="0" w:line="221" w:lineRule="exact"/>
              <w:rPr>
                <w:sz w:val="20"/>
                <w:szCs w:val="20"/>
                <w:color w:val="auto"/>
              </w:rPr>
            </w:pPr>
            <w:r>
              <w:rPr>
                <w:rFonts w:ascii="Arial" w:cs="Arial" w:eastAsia="Arial" w:hAnsi="Arial"/>
                <w:sz w:val="20"/>
                <w:szCs w:val="20"/>
                <w:color w:val="auto"/>
              </w:rPr>
              <w:t>12</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66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50-54</w:t>
            </w:r>
          </w:p>
        </w:tc>
        <w:tc>
          <w:tcPr>
            <w:tcW w:w="4700" w:type="dxa"/>
            <w:vAlign w:val="bottom"/>
            <w:shd w:val="clear" w:color="auto" w:fill="E3E5EB"/>
          </w:tcPr>
          <w:p>
            <w:pPr>
              <w:jc w:val="right"/>
              <w:ind w:right="1662"/>
              <w:spacing w:after="0" w:line="221" w:lineRule="exact"/>
              <w:rPr>
                <w:sz w:val="20"/>
                <w:szCs w:val="20"/>
                <w:color w:val="auto"/>
              </w:rPr>
            </w:pPr>
            <w:r>
              <w:rPr>
                <w:rFonts w:ascii="Arial" w:cs="Arial" w:eastAsia="Arial" w:hAnsi="Arial"/>
                <w:sz w:val="20"/>
                <w:szCs w:val="20"/>
                <w:color w:val="auto"/>
              </w:rPr>
              <w:t>15</w:t>
            </w:r>
          </w:p>
        </w:tc>
        <w:tc>
          <w:tcPr>
            <w:tcW w:w="0" w:type="dxa"/>
            <w:vAlign w:val="bottom"/>
          </w:tcPr>
          <w:p>
            <w:pPr>
              <w:spacing w:after="0"/>
              <w:rPr>
                <w:sz w:val="1"/>
                <w:szCs w:val="1"/>
                <w:color w:val="auto"/>
              </w:rPr>
            </w:pPr>
          </w:p>
        </w:tc>
      </w:tr>
      <w:tr>
        <w:trPr>
          <w:trHeight w:val="221"/>
        </w:trPr>
        <w:tc>
          <w:tcPr>
            <w:tcW w:w="20" w:type="dxa"/>
            <w:vAlign w:val="bottom"/>
            <w:tcBorders>
              <w:bottom w:val="single" w:sz="8" w:color="888992"/>
            </w:tcBorders>
          </w:tcPr>
          <w:p>
            <w:pPr>
              <w:spacing w:after="0"/>
              <w:rPr>
                <w:sz w:val="19"/>
                <w:szCs w:val="19"/>
                <w:color w:val="auto"/>
              </w:rPr>
            </w:pPr>
          </w:p>
        </w:tc>
        <w:tc>
          <w:tcPr>
            <w:tcW w:w="3660" w:type="dxa"/>
            <w:vAlign w:val="bottom"/>
            <w:tcBorders>
              <w:bottom w:val="single" w:sz="8" w:color="888992"/>
            </w:tcBorders>
          </w:tcPr>
          <w:p>
            <w:pPr>
              <w:spacing w:after="0" w:line="221" w:lineRule="exact"/>
              <w:rPr>
                <w:sz w:val="20"/>
                <w:szCs w:val="20"/>
                <w:color w:val="auto"/>
              </w:rPr>
            </w:pPr>
            <w:r>
              <w:rPr>
                <w:rFonts w:ascii="Arial" w:cs="Arial" w:eastAsia="Arial" w:hAnsi="Arial"/>
                <w:sz w:val="20"/>
                <w:szCs w:val="20"/>
                <w:color w:val="auto"/>
              </w:rPr>
              <w:t>55 and over</w:t>
            </w:r>
          </w:p>
        </w:tc>
        <w:tc>
          <w:tcPr>
            <w:tcW w:w="4700" w:type="dxa"/>
            <w:vAlign w:val="bottom"/>
            <w:tcBorders>
              <w:bottom w:val="single" w:sz="8" w:color="888992"/>
            </w:tcBorders>
          </w:tcPr>
          <w:p>
            <w:pPr>
              <w:jc w:val="right"/>
              <w:ind w:right="1662"/>
              <w:spacing w:after="0" w:line="221" w:lineRule="exact"/>
              <w:rPr>
                <w:sz w:val="20"/>
                <w:szCs w:val="20"/>
                <w:color w:val="auto"/>
              </w:rPr>
            </w:pPr>
            <w:r>
              <w:rPr>
                <w:rFonts w:ascii="Arial" w:cs="Arial" w:eastAsia="Arial" w:hAnsi="Arial"/>
                <w:sz w:val="20"/>
                <w:szCs w:val="20"/>
                <w:color w:val="auto"/>
              </w:rPr>
              <w:t>18</w:t>
            </w:r>
          </w:p>
        </w:tc>
        <w:tc>
          <w:tcPr>
            <w:tcW w:w="0" w:type="dxa"/>
            <w:vAlign w:val="bottom"/>
          </w:tcPr>
          <w:p>
            <w:pPr>
              <w:spacing w:after="0"/>
              <w:rPr>
                <w:sz w:val="1"/>
                <w:szCs w:val="1"/>
                <w:color w:val="auto"/>
              </w:rPr>
            </w:pPr>
          </w:p>
        </w:tc>
      </w:tr>
    </w:tbl>
    <w:p>
      <w:pPr>
        <w:spacing w:after="0" w:line="277" w:lineRule="exact"/>
        <w:rPr>
          <w:rFonts w:ascii="Arial" w:cs="Arial" w:eastAsia="Arial" w:hAnsi="Arial"/>
          <w:sz w:val="13"/>
          <w:szCs w:val="13"/>
          <w:b w:val="1"/>
          <w:bCs w:val="1"/>
          <w:color w:val="FFFFFE"/>
        </w:rPr>
      </w:pPr>
    </w:p>
    <w:p>
      <w:pPr>
        <w:jc w:val="both"/>
        <w:ind w:right="480"/>
        <w:spacing w:after="0" w:line="259" w:lineRule="auto"/>
        <w:rPr>
          <w:sz w:val="20"/>
          <w:szCs w:val="20"/>
          <w:color w:val="auto"/>
        </w:rPr>
      </w:pPr>
      <w:r>
        <w:rPr>
          <w:rFonts w:ascii="Arial" w:cs="Arial" w:eastAsia="Arial" w:hAnsi="Arial"/>
          <w:sz w:val="19"/>
          <w:szCs w:val="19"/>
          <w:color w:val="auto"/>
        </w:rPr>
        <w:t>In addition, individuals who became participants in the Supplemental Plan on or after January 1, 2011 are no longer entitled to receive a fully subsidized 50% joint and survivor annuity form of benefit, but the 25-Year Cap has been eliminated. Prior to the amendment, participants who were promoted to officer status were entitled to retroactive treatment as an officer for their entire period of employment. This feature has been eliminated for individuals promoted to officer status on or after January 1, 2011.</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160020</wp:posOffset>
            </wp:positionV>
            <wp:extent cx="841375" cy="16383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37"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78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87" w:name="page88"/>
    <w:bookmarkEnd w:id="87"/>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19"/>
          <w:szCs w:val="19"/>
          <w:color w:val="auto"/>
        </w:rPr>
        <w:t>Pursuant to Mr. Edington's 2012 Supplemental Agreement, as of December 31, 2013, the supplemental</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-119380</wp:posOffset>
            </wp:positionV>
            <wp:extent cx="1487805" cy="15557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pension benefit amount calculated in accordance with the 2008 Agreement was increased by an amount</w:t>
      </w:r>
    </w:p>
    <w:p>
      <w:pPr>
        <w:ind w:right="40"/>
        <w:spacing w:after="0" w:line="248" w:lineRule="auto"/>
        <w:rPr>
          <w:sz w:val="20"/>
          <w:szCs w:val="20"/>
          <w:color w:val="auto"/>
        </w:rPr>
      </w:pPr>
      <w:r>
        <w:rPr>
          <w:rFonts w:ascii="Arial" w:cs="Arial" w:eastAsia="Arial" w:hAnsi="Arial"/>
          <w:sz w:val="19"/>
          <w:szCs w:val="19"/>
          <w:color w:val="auto"/>
        </w:rPr>
        <w:t>equal to 5% of the benefit that would have otherwise been payable and as of December 31, 2014, the supplemental pension benefit amount was increased by an amount equal to 10% (inclusive of the preceding 5% increase) of the benefit that would have otherwise been payable. Pursuant to the 2014 Supplemental Agreement, if Mr. Edington is actively employed with the Company on June 30, 2016, Mr. Edington's existing supplemental pension benefit set forth in the 2008 Agreement as increased by the 2012 Supplemental Agreement, will increase by an amount equal to 5% of the benefit that would have otherwise been payable.</w:t>
      </w:r>
    </w:p>
    <w:p>
      <w:pPr>
        <w:spacing w:after="0" w:line="147" w:lineRule="exact"/>
        <w:rPr>
          <w:rFonts w:ascii="Arial" w:cs="Arial" w:eastAsia="Arial" w:hAnsi="Arial"/>
          <w:sz w:val="13"/>
          <w:szCs w:val="13"/>
          <w:b w:val="1"/>
          <w:bCs w:val="1"/>
          <w:color w:val="FFFFFE"/>
        </w:rPr>
      </w:pPr>
    </w:p>
    <w:p>
      <w:pPr>
        <w:ind w:right="600"/>
        <w:spacing w:after="0" w:line="265" w:lineRule="auto"/>
        <w:rPr>
          <w:sz w:val="20"/>
          <w:szCs w:val="20"/>
          <w:color w:val="auto"/>
        </w:rPr>
      </w:pPr>
      <w:r>
        <w:rPr>
          <w:rFonts w:ascii="Arial" w:cs="Arial" w:eastAsia="Arial" w:hAnsi="Arial"/>
          <w:sz w:val="20"/>
          <w:szCs w:val="20"/>
          <w:color w:val="auto"/>
        </w:rPr>
        <w:t>Benefits under the Retirement Plan are paid from a tax-exempt trust. Benefits under the Supplemental Plan are paid from the general assets of the Company.</w:t>
      </w:r>
    </w:p>
    <w:p>
      <w:pPr>
        <w:spacing w:after="0" w:line="126"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2"/>
          <w:szCs w:val="22"/>
          <w:b w:val="1"/>
          <w:bCs w:val="1"/>
          <w:color w:val="3A5575"/>
        </w:rPr>
        <w:t>Nonqualified Deferred Compensation</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200" w:lineRule="exact"/>
        <w:rPr>
          <w:rFonts w:ascii="Arial" w:cs="Arial" w:eastAsia="Arial" w:hAnsi="Arial"/>
          <w:sz w:val="13"/>
          <w:szCs w:val="13"/>
          <w:b w:val="1"/>
          <w:bCs w:val="1"/>
          <w:color w:val="FFFFFE"/>
        </w:rPr>
      </w:pPr>
    </w:p>
    <w:p>
      <w:pPr>
        <w:spacing w:after="0" w:line="200" w:lineRule="exact"/>
        <w:rPr>
          <w:rFonts w:ascii="Arial" w:cs="Arial" w:eastAsia="Arial" w:hAnsi="Arial"/>
          <w:sz w:val="13"/>
          <w:szCs w:val="13"/>
          <w:b w:val="1"/>
          <w:bCs w:val="1"/>
          <w:color w:val="FFFFFE"/>
        </w:rPr>
      </w:pPr>
    </w:p>
    <w:p>
      <w:pPr>
        <w:spacing w:after="0" w:line="347" w:lineRule="exact"/>
        <w:rPr>
          <w:rFonts w:ascii="Arial" w:cs="Arial" w:eastAsia="Arial" w:hAnsi="Arial"/>
          <w:sz w:val="13"/>
          <w:szCs w:val="13"/>
          <w:b w:val="1"/>
          <w:bCs w:val="1"/>
          <w:color w:val="FFFFFE"/>
        </w:rPr>
      </w:pPr>
    </w:p>
    <w:tbl>
      <w:tblPr>
        <w:tblLayout w:type="fixed"/>
        <w:tblInd w:w="1460" w:type="dxa"/>
        <w:tblCellMar>
          <w:top w:w="0" w:type="dxa"/>
          <w:left w:w="0" w:type="dxa"/>
          <w:bottom w:w="0" w:type="dxa"/>
          <w:right w:w="0" w:type="dxa"/>
        </w:tblCellMar>
      </w:tblPr>
      <w:tr>
        <w:trPr>
          <w:trHeight w:val="184"/>
        </w:trPr>
        <w:tc>
          <w:tcPr>
            <w:tcW w:w="20" w:type="dxa"/>
            <w:vAlign w:val="bottom"/>
          </w:tcPr>
          <w:p>
            <w:pPr>
              <w:spacing w:after="0"/>
              <w:rPr>
                <w:sz w:val="16"/>
                <w:szCs w:val="16"/>
                <w:color w:val="auto"/>
              </w:rPr>
            </w:pPr>
          </w:p>
        </w:tc>
        <w:tc>
          <w:tcPr>
            <w:tcW w:w="182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Arial" w:cs="Arial" w:eastAsia="Arial" w:hAnsi="Arial"/>
                <w:sz w:val="16"/>
                <w:szCs w:val="16"/>
                <w:b w:val="1"/>
                <w:bCs w:val="1"/>
                <w:color w:val="3A5575"/>
                <w:w w:val="98"/>
              </w:rPr>
              <w:t>AGGREGATE</w:t>
            </w:r>
          </w:p>
        </w:tc>
      </w:tr>
      <w:tr>
        <w:trPr>
          <w:trHeight w:val="203"/>
        </w:trPr>
        <w:tc>
          <w:tcPr>
            <w:tcW w:w="20" w:type="dxa"/>
            <w:vAlign w:val="bottom"/>
          </w:tcPr>
          <w:p>
            <w:pPr>
              <w:spacing w:after="0"/>
              <w:rPr>
                <w:sz w:val="17"/>
                <w:szCs w:val="17"/>
                <w:color w:val="auto"/>
              </w:rPr>
            </w:pPr>
          </w:p>
        </w:tc>
        <w:tc>
          <w:tcPr>
            <w:tcW w:w="1820" w:type="dxa"/>
            <w:vAlign w:val="bottom"/>
          </w:tcPr>
          <w:p>
            <w:pPr>
              <w:spacing w:after="0"/>
              <w:rPr>
                <w:sz w:val="17"/>
                <w:szCs w:val="17"/>
                <w:color w:val="auto"/>
              </w:rPr>
            </w:pPr>
          </w:p>
        </w:tc>
        <w:tc>
          <w:tcPr>
            <w:tcW w:w="1480" w:type="dxa"/>
            <w:vAlign w:val="bottom"/>
          </w:tcPr>
          <w:p>
            <w:pPr>
              <w:jc w:val="center"/>
              <w:spacing w:after="0"/>
              <w:rPr>
                <w:sz w:val="20"/>
                <w:szCs w:val="20"/>
                <w:color w:val="auto"/>
              </w:rPr>
            </w:pPr>
            <w:r>
              <w:rPr>
                <w:rFonts w:ascii="Arial" w:cs="Arial" w:eastAsia="Arial" w:hAnsi="Arial"/>
                <w:sz w:val="16"/>
                <w:szCs w:val="16"/>
                <w:b w:val="1"/>
                <w:bCs w:val="1"/>
                <w:color w:val="3A5575"/>
                <w:w w:val="99"/>
              </w:rPr>
              <w:t>EXECUTIVE</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9"/>
              </w:rPr>
              <w:t>REGISTRANT</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w w:val="98"/>
              </w:rPr>
              <w:t>AGGREGATE</w:t>
            </w:r>
          </w:p>
        </w:tc>
        <w:tc>
          <w:tcPr>
            <w:tcW w:w="1380" w:type="dxa"/>
            <w:vAlign w:val="bottom"/>
          </w:tcPr>
          <w:p>
            <w:pPr>
              <w:spacing w:after="0"/>
              <w:rPr>
                <w:sz w:val="17"/>
                <w:szCs w:val="17"/>
                <w:color w:val="auto"/>
              </w:rPr>
            </w:pPr>
          </w:p>
        </w:tc>
        <w:tc>
          <w:tcPr>
            <w:tcW w:w="1100" w:type="dxa"/>
            <w:vAlign w:val="bottom"/>
          </w:tcPr>
          <w:p>
            <w:pPr>
              <w:jc w:val="center"/>
              <w:spacing w:after="0"/>
              <w:rPr>
                <w:sz w:val="20"/>
                <w:szCs w:val="20"/>
                <w:color w:val="auto"/>
              </w:rPr>
            </w:pPr>
            <w:r>
              <w:rPr>
                <w:rFonts w:ascii="Arial" w:cs="Arial" w:eastAsia="Arial" w:hAnsi="Arial"/>
                <w:sz w:val="16"/>
                <w:szCs w:val="16"/>
                <w:b w:val="1"/>
                <w:bCs w:val="1"/>
                <w:color w:val="3A5575"/>
                <w:w w:val="99"/>
              </w:rPr>
              <w:t>BALANCE</w:t>
            </w:r>
          </w:p>
        </w:tc>
      </w:tr>
      <w:tr>
        <w:trPr>
          <w:trHeight w:val="184"/>
        </w:trPr>
        <w:tc>
          <w:tcPr>
            <w:tcW w:w="20" w:type="dxa"/>
            <w:vAlign w:val="bottom"/>
          </w:tcPr>
          <w:p>
            <w:pPr>
              <w:spacing w:after="0"/>
              <w:rPr>
                <w:sz w:val="16"/>
                <w:szCs w:val="16"/>
                <w:color w:val="auto"/>
              </w:rPr>
            </w:pPr>
          </w:p>
        </w:tc>
        <w:tc>
          <w:tcPr>
            <w:tcW w:w="1820" w:type="dxa"/>
            <w:vAlign w:val="bottom"/>
          </w:tcPr>
          <w:p>
            <w:pPr>
              <w:spacing w:after="0"/>
              <w:rPr>
                <w:sz w:val="16"/>
                <w:szCs w:val="16"/>
                <w:color w:val="auto"/>
              </w:rPr>
            </w:pPr>
          </w:p>
        </w:tc>
        <w:tc>
          <w:tcPr>
            <w:tcW w:w="2920" w:type="dxa"/>
            <w:vAlign w:val="bottom"/>
            <w:gridSpan w:val="2"/>
          </w:tcPr>
          <w:p>
            <w:pPr>
              <w:jc w:val="right"/>
              <w:spacing w:after="0" w:line="184" w:lineRule="exact"/>
              <w:rPr>
                <w:sz w:val="20"/>
                <w:szCs w:val="20"/>
                <w:color w:val="auto"/>
              </w:rPr>
            </w:pPr>
            <w:r>
              <w:rPr>
                <w:rFonts w:ascii="Arial" w:cs="Arial" w:eastAsia="Arial" w:hAnsi="Arial"/>
                <w:sz w:val="12"/>
                <w:szCs w:val="12"/>
                <w:b w:val="1"/>
                <w:bCs w:val="1"/>
                <w:color w:val="3A5575"/>
              </w:rPr>
              <w:t xml:space="preserve">CONTRIBUTIONS </w:t>
            </w:r>
            <w:r>
              <w:rPr>
                <w:rFonts w:ascii="Arial" w:cs="Arial" w:eastAsia="Arial" w:hAnsi="Arial"/>
                <w:sz w:val="21"/>
                <w:szCs w:val="21"/>
                <w:b w:val="1"/>
                <w:bCs w:val="1"/>
                <w:color w:val="3A5575"/>
                <w:vertAlign w:val="subscript"/>
              </w:rPr>
              <w:t>CONTRIBUTIONS</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w w:val="99"/>
              </w:rPr>
              <w:t>EARNINGS</w:t>
            </w:r>
          </w:p>
        </w:tc>
        <w:tc>
          <w:tcPr>
            <w:tcW w:w="1380" w:type="dxa"/>
            <w:vAlign w:val="bottom"/>
          </w:tcPr>
          <w:p>
            <w:pPr>
              <w:jc w:val="right"/>
              <w:ind w:right="102"/>
              <w:spacing w:after="0"/>
              <w:rPr>
                <w:sz w:val="20"/>
                <w:szCs w:val="20"/>
                <w:color w:val="auto"/>
              </w:rPr>
            </w:pPr>
            <w:r>
              <w:rPr>
                <w:rFonts w:ascii="Arial" w:cs="Arial" w:eastAsia="Arial" w:hAnsi="Arial"/>
                <w:sz w:val="16"/>
                <w:szCs w:val="16"/>
                <w:b w:val="1"/>
                <w:bCs w:val="1"/>
                <w:color w:val="3A5575"/>
              </w:rPr>
              <w:t>AGGREGATE</w:t>
            </w:r>
          </w:p>
        </w:tc>
        <w:tc>
          <w:tcPr>
            <w:tcW w:w="1100" w:type="dxa"/>
            <w:vAlign w:val="bottom"/>
          </w:tcPr>
          <w:p>
            <w:pPr>
              <w:jc w:val="center"/>
              <w:spacing w:after="0"/>
              <w:rPr>
                <w:sz w:val="20"/>
                <w:szCs w:val="20"/>
                <w:color w:val="auto"/>
              </w:rPr>
            </w:pPr>
            <w:r>
              <w:rPr>
                <w:rFonts w:ascii="Arial" w:cs="Arial" w:eastAsia="Arial" w:hAnsi="Arial"/>
                <w:sz w:val="16"/>
                <w:szCs w:val="16"/>
                <w:b w:val="1"/>
                <w:bCs w:val="1"/>
                <w:color w:val="3A5575"/>
                <w:w w:val="97"/>
              </w:rPr>
              <w:t>AT LAST</w:t>
            </w:r>
          </w:p>
        </w:tc>
      </w:tr>
      <w:tr>
        <w:trPr>
          <w:trHeight w:val="184"/>
        </w:trPr>
        <w:tc>
          <w:tcPr>
            <w:tcW w:w="20" w:type="dxa"/>
            <w:vAlign w:val="bottom"/>
          </w:tcPr>
          <w:p>
            <w:pPr>
              <w:spacing w:after="0"/>
              <w:rPr>
                <w:sz w:val="16"/>
                <w:szCs w:val="16"/>
                <w:color w:val="auto"/>
              </w:rPr>
            </w:pPr>
          </w:p>
        </w:tc>
        <w:tc>
          <w:tcPr>
            <w:tcW w:w="1820" w:type="dxa"/>
            <w:vAlign w:val="bottom"/>
          </w:tcPr>
          <w:p>
            <w:pPr>
              <w:spacing w:after="0"/>
              <w:rPr>
                <w:sz w:val="16"/>
                <w:szCs w:val="16"/>
                <w:color w:val="auto"/>
              </w:rPr>
            </w:pPr>
          </w:p>
        </w:tc>
        <w:tc>
          <w:tcPr>
            <w:tcW w:w="1480" w:type="dxa"/>
            <w:vAlign w:val="bottom"/>
          </w:tcPr>
          <w:p>
            <w:pPr>
              <w:jc w:val="center"/>
              <w:spacing w:after="0"/>
              <w:rPr>
                <w:sz w:val="20"/>
                <w:szCs w:val="20"/>
                <w:color w:val="auto"/>
              </w:rPr>
            </w:pPr>
            <w:r>
              <w:rPr>
                <w:rFonts w:ascii="Arial" w:cs="Arial" w:eastAsia="Arial" w:hAnsi="Arial"/>
                <w:sz w:val="16"/>
                <w:szCs w:val="16"/>
                <w:b w:val="1"/>
                <w:bCs w:val="1"/>
                <w:color w:val="3A5575"/>
                <w:w w:val="99"/>
              </w:rPr>
              <w:t>IN LAST</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9"/>
              </w:rPr>
              <w:t>IN LAST</w:t>
            </w:r>
          </w:p>
        </w:tc>
        <w:tc>
          <w:tcPr>
            <w:tcW w:w="1140" w:type="dxa"/>
            <w:vAlign w:val="bottom"/>
          </w:tcPr>
          <w:p>
            <w:pPr>
              <w:jc w:val="center"/>
              <w:spacing w:after="0"/>
              <w:rPr>
                <w:sz w:val="20"/>
                <w:szCs w:val="20"/>
                <w:color w:val="auto"/>
              </w:rPr>
            </w:pPr>
            <w:r>
              <w:rPr>
                <w:rFonts w:ascii="Arial" w:cs="Arial" w:eastAsia="Arial" w:hAnsi="Arial"/>
                <w:sz w:val="16"/>
                <w:szCs w:val="16"/>
                <w:b w:val="1"/>
                <w:bCs w:val="1"/>
                <w:color w:val="3A5575"/>
                <w:w w:val="99"/>
              </w:rPr>
              <w:t>IN LAST</w:t>
            </w:r>
          </w:p>
        </w:tc>
        <w:tc>
          <w:tcPr>
            <w:tcW w:w="2480" w:type="dxa"/>
            <w:vAlign w:val="bottom"/>
            <w:gridSpan w:val="2"/>
          </w:tcPr>
          <w:p>
            <w:pPr>
              <w:jc w:val="right"/>
              <w:spacing w:after="0" w:line="184" w:lineRule="exact"/>
              <w:rPr>
                <w:sz w:val="20"/>
                <w:szCs w:val="20"/>
                <w:color w:val="auto"/>
              </w:rPr>
            </w:pPr>
            <w:r>
              <w:rPr>
                <w:rFonts w:ascii="Arial" w:cs="Arial" w:eastAsia="Arial" w:hAnsi="Arial"/>
                <w:sz w:val="12"/>
                <w:szCs w:val="12"/>
                <w:b w:val="1"/>
                <w:bCs w:val="1"/>
                <w:color w:val="3A5575"/>
              </w:rPr>
              <w:t xml:space="preserve">WITHDRAWALS/ </w:t>
            </w:r>
            <w:r>
              <w:rPr>
                <w:rFonts w:ascii="Arial" w:cs="Arial" w:eastAsia="Arial" w:hAnsi="Arial"/>
                <w:sz w:val="21"/>
                <w:szCs w:val="21"/>
                <w:b w:val="1"/>
                <w:bCs w:val="1"/>
                <w:color w:val="3A5575"/>
                <w:vertAlign w:val="superscript"/>
              </w:rPr>
              <w:t>FISCAL YEAR</w:t>
            </w:r>
          </w:p>
        </w:tc>
      </w:tr>
      <w:tr>
        <w:trPr>
          <w:trHeight w:val="184"/>
        </w:trPr>
        <w:tc>
          <w:tcPr>
            <w:tcW w:w="20" w:type="dxa"/>
            <w:vAlign w:val="bottom"/>
          </w:tcPr>
          <w:p>
            <w:pPr>
              <w:spacing w:after="0"/>
              <w:rPr>
                <w:sz w:val="16"/>
                <w:szCs w:val="16"/>
                <w:color w:val="auto"/>
              </w:rPr>
            </w:pPr>
          </w:p>
        </w:tc>
        <w:tc>
          <w:tcPr>
            <w:tcW w:w="1820" w:type="dxa"/>
            <w:vAlign w:val="bottom"/>
          </w:tcPr>
          <w:p>
            <w:pPr>
              <w:spacing w:after="0"/>
              <w:rPr>
                <w:sz w:val="16"/>
                <w:szCs w:val="16"/>
                <w:color w:val="auto"/>
              </w:rPr>
            </w:pPr>
          </w:p>
        </w:tc>
        <w:tc>
          <w:tcPr>
            <w:tcW w:w="1480" w:type="dxa"/>
            <w:vAlign w:val="bottom"/>
          </w:tcPr>
          <w:p>
            <w:pPr>
              <w:jc w:val="center"/>
              <w:spacing w:after="0"/>
              <w:rPr>
                <w:sz w:val="20"/>
                <w:szCs w:val="20"/>
                <w:color w:val="auto"/>
              </w:rPr>
            </w:pPr>
            <w:r>
              <w:rPr>
                <w:rFonts w:ascii="Arial" w:cs="Arial" w:eastAsia="Arial" w:hAnsi="Arial"/>
                <w:sz w:val="16"/>
                <w:szCs w:val="16"/>
                <w:b w:val="1"/>
                <w:bCs w:val="1"/>
                <w:color w:val="3A5575"/>
                <w:w w:val="99"/>
              </w:rPr>
              <w:t>FISCAL YEAR</w:t>
            </w:r>
          </w:p>
        </w:tc>
        <w:tc>
          <w:tcPr>
            <w:tcW w:w="1440" w:type="dxa"/>
            <w:vAlign w:val="bottom"/>
          </w:tcPr>
          <w:p>
            <w:pPr>
              <w:jc w:val="center"/>
              <w:spacing w:after="0"/>
              <w:rPr>
                <w:sz w:val="20"/>
                <w:szCs w:val="20"/>
                <w:color w:val="auto"/>
              </w:rPr>
            </w:pPr>
            <w:r>
              <w:rPr>
                <w:rFonts w:ascii="Arial" w:cs="Arial" w:eastAsia="Arial" w:hAnsi="Arial"/>
                <w:sz w:val="16"/>
                <w:szCs w:val="16"/>
                <w:b w:val="1"/>
                <w:bCs w:val="1"/>
                <w:color w:val="3A5575"/>
                <w:w w:val="99"/>
              </w:rPr>
              <w:t>FISCAL YEAR</w:t>
            </w:r>
          </w:p>
        </w:tc>
        <w:tc>
          <w:tcPr>
            <w:tcW w:w="2520" w:type="dxa"/>
            <w:vAlign w:val="bottom"/>
            <w:gridSpan w:val="2"/>
          </w:tcPr>
          <w:p>
            <w:pPr>
              <w:jc w:val="right"/>
              <w:spacing w:after="0" w:line="184" w:lineRule="exact"/>
              <w:rPr>
                <w:sz w:val="20"/>
                <w:szCs w:val="20"/>
                <w:color w:val="auto"/>
              </w:rPr>
            </w:pPr>
            <w:r>
              <w:rPr>
                <w:rFonts w:ascii="Arial" w:cs="Arial" w:eastAsia="Arial" w:hAnsi="Arial"/>
                <w:sz w:val="21"/>
                <w:szCs w:val="21"/>
                <w:b w:val="1"/>
                <w:bCs w:val="1"/>
                <w:color w:val="3A5575"/>
                <w:vertAlign w:val="superscript"/>
              </w:rPr>
              <w:t>FISCAL YEAR</w:t>
            </w:r>
            <w:r>
              <w:rPr>
                <w:rFonts w:ascii="Arial" w:cs="Arial" w:eastAsia="Arial" w:hAnsi="Arial"/>
                <w:sz w:val="12"/>
                <w:szCs w:val="12"/>
                <w:b w:val="1"/>
                <w:bCs w:val="1"/>
                <w:color w:val="3A5575"/>
              </w:rPr>
              <w:t xml:space="preserve"> DISTRIBUTIONS</w:t>
            </w:r>
          </w:p>
        </w:tc>
        <w:tc>
          <w:tcPr>
            <w:tcW w:w="1100" w:type="dxa"/>
            <w:vAlign w:val="bottom"/>
          </w:tcPr>
          <w:p>
            <w:pPr>
              <w:jc w:val="center"/>
              <w:spacing w:after="0"/>
              <w:rPr>
                <w:sz w:val="20"/>
                <w:szCs w:val="20"/>
                <w:color w:val="auto"/>
              </w:rPr>
            </w:pPr>
            <w:r>
              <w:rPr>
                <w:rFonts w:ascii="Arial" w:cs="Arial" w:eastAsia="Arial" w:hAnsi="Arial"/>
                <w:sz w:val="16"/>
                <w:szCs w:val="16"/>
                <w:b w:val="1"/>
                <w:bCs w:val="1"/>
                <w:color w:val="3A5575"/>
              </w:rPr>
              <w:t>END</w:t>
            </w:r>
          </w:p>
        </w:tc>
      </w:tr>
      <w:tr>
        <w:trPr>
          <w:trHeight w:val="221"/>
        </w:trPr>
        <w:tc>
          <w:tcPr>
            <w:tcW w:w="1840" w:type="dxa"/>
            <w:vAlign w:val="bottom"/>
            <w:tcBorders>
              <w:bottom w:val="single" w:sz="8" w:color="395775"/>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1480" w:type="dxa"/>
            <w:vAlign w:val="bottom"/>
            <w:tcBorders>
              <w:bottom w:val="single" w:sz="8" w:color="395775"/>
            </w:tcBorders>
          </w:tcPr>
          <w:p>
            <w:pPr>
              <w:jc w:val="center"/>
              <w:spacing w:after="0" w:line="221" w:lineRule="exact"/>
              <w:rPr>
                <w:sz w:val="20"/>
                <w:szCs w:val="20"/>
                <w:color w:val="auto"/>
              </w:rPr>
            </w:pPr>
            <w:r>
              <w:rPr>
                <w:rFonts w:ascii="Arial" w:cs="Arial" w:eastAsia="Arial" w:hAnsi="Arial"/>
                <w:sz w:val="15"/>
                <w:szCs w:val="15"/>
                <w:b w:val="1"/>
                <w:bCs w:val="1"/>
                <w:color w:val="3A5575"/>
                <w:w w:val="92"/>
              </w:rPr>
              <w:t>($)</w:t>
            </w:r>
            <w:r>
              <w:rPr>
                <w:rFonts w:ascii="Arial" w:cs="Arial" w:eastAsia="Arial" w:hAnsi="Arial"/>
                <w:sz w:val="25"/>
                <w:szCs w:val="25"/>
                <w:b w:val="1"/>
                <w:bCs w:val="1"/>
                <w:color w:val="3A5575"/>
                <w:w w:val="92"/>
                <w:vertAlign w:val="superscript"/>
              </w:rPr>
              <w:t>(1)</w:t>
            </w:r>
          </w:p>
        </w:tc>
        <w:tc>
          <w:tcPr>
            <w:tcW w:w="1440" w:type="dxa"/>
            <w:vAlign w:val="bottom"/>
            <w:tcBorders>
              <w:bottom w:val="single" w:sz="8" w:color="395775"/>
            </w:tcBorders>
          </w:tcPr>
          <w:p>
            <w:pPr>
              <w:jc w:val="center"/>
              <w:spacing w:after="0"/>
              <w:rPr>
                <w:sz w:val="20"/>
                <w:szCs w:val="20"/>
                <w:color w:val="auto"/>
              </w:rPr>
            </w:pPr>
            <w:r>
              <w:rPr>
                <w:rFonts w:ascii="Arial" w:cs="Arial" w:eastAsia="Arial" w:hAnsi="Arial"/>
                <w:sz w:val="16"/>
                <w:szCs w:val="16"/>
                <w:b w:val="1"/>
                <w:bCs w:val="1"/>
                <w:color w:val="3A5575"/>
              </w:rPr>
              <w:t>($)</w:t>
            </w:r>
          </w:p>
        </w:tc>
        <w:tc>
          <w:tcPr>
            <w:tcW w:w="1140" w:type="dxa"/>
            <w:vAlign w:val="bottom"/>
            <w:tcBorders>
              <w:bottom w:val="single" w:sz="8" w:color="395775"/>
            </w:tcBorders>
          </w:tcPr>
          <w:p>
            <w:pPr>
              <w:jc w:val="center"/>
              <w:spacing w:after="0" w:line="221" w:lineRule="exact"/>
              <w:rPr>
                <w:sz w:val="20"/>
                <w:szCs w:val="20"/>
                <w:color w:val="auto"/>
              </w:rPr>
            </w:pPr>
            <w:r>
              <w:rPr>
                <w:rFonts w:ascii="Arial" w:cs="Arial" w:eastAsia="Arial" w:hAnsi="Arial"/>
                <w:sz w:val="15"/>
                <w:szCs w:val="15"/>
                <w:b w:val="1"/>
                <w:bCs w:val="1"/>
                <w:color w:val="3A5575"/>
                <w:w w:val="92"/>
              </w:rPr>
              <w:t>($)</w:t>
            </w:r>
            <w:r>
              <w:rPr>
                <w:rFonts w:ascii="Arial" w:cs="Arial" w:eastAsia="Arial" w:hAnsi="Arial"/>
                <w:sz w:val="25"/>
                <w:szCs w:val="25"/>
                <w:b w:val="1"/>
                <w:bCs w:val="1"/>
                <w:color w:val="3A5575"/>
                <w:w w:val="92"/>
                <w:vertAlign w:val="superscript"/>
              </w:rPr>
              <w:t>(2)</w:t>
            </w:r>
          </w:p>
        </w:tc>
        <w:tc>
          <w:tcPr>
            <w:tcW w:w="1380" w:type="dxa"/>
            <w:vAlign w:val="bottom"/>
            <w:tcBorders>
              <w:bottom w:val="single" w:sz="8" w:color="395775"/>
            </w:tcBorders>
          </w:tcPr>
          <w:p>
            <w:pPr>
              <w:jc w:val="right"/>
              <w:ind w:right="502"/>
              <w:spacing w:after="0"/>
              <w:rPr>
                <w:sz w:val="20"/>
                <w:szCs w:val="20"/>
                <w:color w:val="auto"/>
              </w:rPr>
            </w:pPr>
            <w:r>
              <w:rPr>
                <w:rFonts w:ascii="Arial" w:cs="Arial" w:eastAsia="Arial" w:hAnsi="Arial"/>
                <w:sz w:val="16"/>
                <w:szCs w:val="16"/>
                <w:b w:val="1"/>
                <w:bCs w:val="1"/>
                <w:color w:val="3A5575"/>
              </w:rPr>
              <w:t>($)</w:t>
            </w:r>
          </w:p>
        </w:tc>
        <w:tc>
          <w:tcPr>
            <w:tcW w:w="1100" w:type="dxa"/>
            <w:vAlign w:val="bottom"/>
            <w:tcBorders>
              <w:bottom w:val="single" w:sz="8" w:color="395775"/>
            </w:tcBorders>
          </w:tcPr>
          <w:p>
            <w:pPr>
              <w:jc w:val="center"/>
              <w:spacing w:after="0" w:line="221" w:lineRule="exact"/>
              <w:rPr>
                <w:sz w:val="20"/>
                <w:szCs w:val="20"/>
                <w:color w:val="auto"/>
              </w:rPr>
            </w:pPr>
            <w:r>
              <w:rPr>
                <w:rFonts w:ascii="Arial" w:cs="Arial" w:eastAsia="Arial" w:hAnsi="Arial"/>
                <w:sz w:val="15"/>
                <w:szCs w:val="15"/>
                <w:b w:val="1"/>
                <w:bCs w:val="1"/>
                <w:color w:val="3A5575"/>
                <w:w w:val="92"/>
              </w:rPr>
              <w:t>($)</w:t>
            </w:r>
            <w:r>
              <w:rPr>
                <w:rFonts w:ascii="Arial" w:cs="Arial" w:eastAsia="Arial" w:hAnsi="Arial"/>
                <w:sz w:val="25"/>
                <w:szCs w:val="25"/>
                <w:b w:val="1"/>
                <w:bCs w:val="1"/>
                <w:color w:val="3A5575"/>
                <w:w w:val="92"/>
                <w:vertAlign w:val="superscript"/>
              </w:rPr>
              <w:t>(3)</w:t>
            </w:r>
          </w:p>
        </w:tc>
      </w:tr>
      <w:tr>
        <w:trPr>
          <w:trHeight w:val="176"/>
        </w:trPr>
        <w:tc>
          <w:tcPr>
            <w:tcW w:w="20" w:type="dxa"/>
            <w:vAlign w:val="bottom"/>
          </w:tcPr>
          <w:p>
            <w:pPr>
              <w:spacing w:after="0"/>
              <w:rPr>
                <w:sz w:val="15"/>
                <w:szCs w:val="15"/>
                <w:color w:val="auto"/>
              </w:rPr>
            </w:pPr>
          </w:p>
        </w:tc>
        <w:tc>
          <w:tcPr>
            <w:tcW w:w="1820" w:type="dxa"/>
            <w:vAlign w:val="bottom"/>
            <w:shd w:val="clear" w:color="auto" w:fill="E3E5EB"/>
          </w:tcPr>
          <w:p>
            <w:pPr>
              <w:spacing w:after="0" w:line="176" w:lineRule="exact"/>
              <w:rPr>
                <w:sz w:val="20"/>
                <w:szCs w:val="20"/>
                <w:color w:val="auto"/>
              </w:rPr>
            </w:pPr>
            <w:r>
              <w:rPr>
                <w:rFonts w:ascii="Arial" w:cs="Arial" w:eastAsia="Arial" w:hAnsi="Arial"/>
                <w:sz w:val="16"/>
                <w:szCs w:val="16"/>
                <w:b w:val="1"/>
                <w:bCs w:val="1"/>
                <w:color w:val="auto"/>
              </w:rPr>
              <w:t>Donald E. Brandt:</w:t>
            </w:r>
          </w:p>
        </w:tc>
        <w:tc>
          <w:tcPr>
            <w:tcW w:w="1480" w:type="dxa"/>
            <w:vAlign w:val="bottom"/>
            <w:shd w:val="clear" w:color="auto" w:fill="E3E5EB"/>
          </w:tcPr>
          <w:p>
            <w:pPr>
              <w:spacing w:after="0"/>
              <w:rPr>
                <w:sz w:val="15"/>
                <w:szCs w:val="15"/>
                <w:color w:val="auto"/>
              </w:rPr>
            </w:pPr>
          </w:p>
        </w:tc>
        <w:tc>
          <w:tcPr>
            <w:tcW w:w="1440" w:type="dxa"/>
            <w:vAlign w:val="bottom"/>
            <w:shd w:val="clear" w:color="auto" w:fill="E3E5EB"/>
          </w:tcPr>
          <w:p>
            <w:pPr>
              <w:spacing w:after="0"/>
              <w:rPr>
                <w:sz w:val="15"/>
                <w:szCs w:val="15"/>
                <w:color w:val="auto"/>
              </w:rPr>
            </w:pPr>
          </w:p>
        </w:tc>
        <w:tc>
          <w:tcPr>
            <w:tcW w:w="1140" w:type="dxa"/>
            <w:vAlign w:val="bottom"/>
            <w:shd w:val="clear" w:color="auto" w:fill="E3E5EB"/>
          </w:tcPr>
          <w:p>
            <w:pPr>
              <w:spacing w:after="0"/>
              <w:rPr>
                <w:sz w:val="15"/>
                <w:szCs w:val="15"/>
                <w:color w:val="auto"/>
              </w:rPr>
            </w:pPr>
          </w:p>
        </w:tc>
        <w:tc>
          <w:tcPr>
            <w:tcW w:w="1380" w:type="dxa"/>
            <w:vAlign w:val="bottom"/>
            <w:shd w:val="clear" w:color="auto" w:fill="E3E5EB"/>
          </w:tcPr>
          <w:p>
            <w:pPr>
              <w:spacing w:after="0"/>
              <w:rPr>
                <w:sz w:val="15"/>
                <w:szCs w:val="15"/>
                <w:color w:val="auto"/>
              </w:rPr>
            </w:pPr>
          </w:p>
        </w:tc>
        <w:tc>
          <w:tcPr>
            <w:tcW w:w="1100" w:type="dxa"/>
            <w:vAlign w:val="bottom"/>
            <w:shd w:val="clear" w:color="auto" w:fill="E3E5EB"/>
          </w:tcPr>
          <w:p>
            <w:pPr>
              <w:spacing w:after="0"/>
              <w:rPr>
                <w:sz w:val="15"/>
                <w:szCs w:val="15"/>
                <w:color w:val="auto"/>
              </w:rPr>
            </w:pPr>
          </w:p>
        </w:tc>
      </w:tr>
      <w:tr>
        <w:trPr>
          <w:trHeight w:val="184"/>
        </w:trPr>
        <w:tc>
          <w:tcPr>
            <w:tcW w:w="20" w:type="dxa"/>
            <w:vAlign w:val="bottom"/>
          </w:tcPr>
          <w:p>
            <w:pPr>
              <w:spacing w:after="0"/>
              <w:rPr>
                <w:sz w:val="16"/>
                <w:szCs w:val="16"/>
                <w:color w:val="auto"/>
              </w:rPr>
            </w:pPr>
          </w:p>
        </w:tc>
        <w:tc>
          <w:tcPr>
            <w:tcW w:w="1820" w:type="dxa"/>
            <w:vAlign w:val="bottom"/>
            <w:shd w:val="clear" w:color="auto" w:fill="E3E5EB"/>
          </w:tcPr>
          <w:p>
            <w:pPr>
              <w:ind w:left="140"/>
              <w:spacing w:after="0"/>
              <w:rPr>
                <w:sz w:val="20"/>
                <w:szCs w:val="20"/>
                <w:color w:val="auto"/>
              </w:rPr>
            </w:pPr>
            <w:r>
              <w:rPr>
                <w:rFonts w:ascii="Arial" w:cs="Arial" w:eastAsia="Arial" w:hAnsi="Arial"/>
                <w:sz w:val="16"/>
                <w:szCs w:val="16"/>
                <w:color w:val="auto"/>
              </w:rPr>
              <w:t>DCP &amp; 2005 Plan</w:t>
            </w:r>
          </w:p>
        </w:tc>
        <w:tc>
          <w:tcPr>
            <w:tcW w:w="1480" w:type="dxa"/>
            <w:vAlign w:val="bottom"/>
            <w:shd w:val="clear" w:color="auto" w:fill="E3E5EB"/>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shd w:val="clear" w:color="auto" w:fill="E3E5EB"/>
          </w:tcPr>
          <w:p>
            <w:pPr>
              <w:jc w:val="right"/>
              <w:ind w:right="202"/>
              <w:spacing w:after="0"/>
              <w:rPr>
                <w:sz w:val="20"/>
                <w:szCs w:val="20"/>
                <w:color w:val="auto"/>
              </w:rPr>
            </w:pPr>
            <w:r>
              <w:rPr>
                <w:rFonts w:ascii="Arial" w:cs="Arial" w:eastAsia="Arial" w:hAnsi="Arial"/>
                <w:sz w:val="16"/>
                <w:szCs w:val="16"/>
                <w:color w:val="auto"/>
              </w:rPr>
              <w:t>109,052</w:t>
            </w:r>
          </w:p>
        </w:tc>
        <w:tc>
          <w:tcPr>
            <w:tcW w:w="1380" w:type="dxa"/>
            <w:vAlign w:val="bottom"/>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shd w:val="clear" w:color="auto" w:fill="E3E5EB"/>
          </w:tcPr>
          <w:p>
            <w:pPr>
              <w:jc w:val="right"/>
              <w:ind w:right="100"/>
              <w:spacing w:after="0"/>
              <w:rPr>
                <w:sz w:val="20"/>
                <w:szCs w:val="20"/>
                <w:color w:val="auto"/>
              </w:rPr>
            </w:pPr>
            <w:r>
              <w:rPr>
                <w:rFonts w:ascii="Arial" w:cs="Arial" w:eastAsia="Arial" w:hAnsi="Arial"/>
                <w:sz w:val="16"/>
                <w:szCs w:val="16"/>
                <w:color w:val="auto"/>
              </w:rPr>
              <w:t>1,562,703</w:t>
            </w:r>
          </w:p>
        </w:tc>
      </w:tr>
      <w:tr>
        <w:trPr>
          <w:trHeight w:val="221"/>
        </w:trPr>
        <w:tc>
          <w:tcPr>
            <w:tcW w:w="20" w:type="dxa"/>
            <w:vAlign w:val="bottom"/>
          </w:tcPr>
          <w:p>
            <w:pPr>
              <w:spacing w:after="0"/>
              <w:rPr>
                <w:sz w:val="19"/>
                <w:szCs w:val="19"/>
                <w:color w:val="auto"/>
              </w:rPr>
            </w:pPr>
          </w:p>
        </w:tc>
        <w:tc>
          <w:tcPr>
            <w:tcW w:w="1820" w:type="dxa"/>
            <w:vAlign w:val="bottom"/>
            <w:tcBorders>
              <w:bottom w:val="single" w:sz="8" w:color="auto"/>
            </w:tcBorders>
            <w:shd w:val="clear" w:color="auto" w:fill="E3E5EB"/>
          </w:tcPr>
          <w:p>
            <w:pPr>
              <w:ind w:left="140"/>
              <w:spacing w:after="0" w:line="221" w:lineRule="exact"/>
              <w:rPr>
                <w:sz w:val="20"/>
                <w:szCs w:val="20"/>
                <w:color w:val="auto"/>
              </w:rPr>
            </w:pPr>
            <w:r>
              <w:rPr>
                <w:rFonts w:ascii="Arial" w:cs="Arial" w:eastAsia="Arial" w:hAnsi="Arial"/>
                <w:sz w:val="15"/>
                <w:szCs w:val="15"/>
                <w:color w:val="auto"/>
              </w:rPr>
              <w:t>Supplemental RSUs</w:t>
            </w:r>
            <w:r>
              <w:rPr>
                <w:rFonts w:ascii="Arial" w:cs="Arial" w:eastAsia="Arial" w:hAnsi="Arial"/>
                <w:sz w:val="25"/>
                <w:szCs w:val="25"/>
                <w:color w:val="auto"/>
                <w:vertAlign w:val="superscript"/>
              </w:rPr>
              <w:t>(4)</w:t>
            </w:r>
          </w:p>
        </w:tc>
        <w:tc>
          <w:tcPr>
            <w:tcW w:w="1480" w:type="dxa"/>
            <w:vAlign w:val="bottom"/>
            <w:tcBorders>
              <w:bottom w:val="single" w:sz="8" w:color="auto"/>
            </w:tcBorders>
            <w:shd w:val="clear" w:color="auto" w:fill="E3E5EB"/>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Borders>
              <w:bottom w:val="single" w:sz="8" w:color="auto"/>
            </w:tcBorders>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Borders>
              <w:bottom w:val="single" w:sz="8" w:color="auto"/>
            </w:tcBorders>
            <w:shd w:val="clear" w:color="auto" w:fill="E3E5EB"/>
          </w:tcPr>
          <w:p>
            <w:pPr>
              <w:jc w:val="right"/>
              <w:ind w:right="202"/>
              <w:spacing w:after="0"/>
              <w:rPr>
                <w:sz w:val="20"/>
                <w:szCs w:val="20"/>
                <w:color w:val="auto"/>
              </w:rPr>
            </w:pPr>
            <w:r>
              <w:rPr>
                <w:rFonts w:ascii="Arial" w:cs="Arial" w:eastAsia="Arial" w:hAnsi="Arial"/>
                <w:sz w:val="16"/>
                <w:szCs w:val="16"/>
                <w:color w:val="auto"/>
              </w:rPr>
              <w:t>0</w:t>
            </w:r>
          </w:p>
        </w:tc>
        <w:tc>
          <w:tcPr>
            <w:tcW w:w="1380" w:type="dxa"/>
            <w:vAlign w:val="bottom"/>
            <w:tcBorders>
              <w:bottom w:val="single" w:sz="8" w:color="auto"/>
            </w:tcBorders>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Borders>
              <w:bottom w:val="single" w:sz="8" w:color="auto"/>
            </w:tcBorders>
            <w:shd w:val="clear" w:color="auto" w:fill="E3E5EB"/>
          </w:tcPr>
          <w:p>
            <w:pPr>
              <w:jc w:val="right"/>
              <w:ind w:right="100"/>
              <w:spacing w:after="0"/>
              <w:rPr>
                <w:sz w:val="20"/>
                <w:szCs w:val="20"/>
                <w:color w:val="auto"/>
              </w:rPr>
            </w:pPr>
            <w:r>
              <w:rPr>
                <w:rFonts w:ascii="Arial" w:cs="Arial" w:eastAsia="Arial" w:hAnsi="Arial"/>
                <w:sz w:val="16"/>
                <w:szCs w:val="16"/>
                <w:color w:val="auto"/>
              </w:rPr>
              <w:t>1,693,051</w:t>
            </w:r>
          </w:p>
        </w:tc>
      </w:tr>
      <w:tr>
        <w:trPr>
          <w:trHeight w:val="159"/>
        </w:trPr>
        <w:tc>
          <w:tcPr>
            <w:tcW w:w="20" w:type="dxa"/>
            <w:vAlign w:val="bottom"/>
          </w:tcPr>
          <w:p>
            <w:pPr>
              <w:spacing w:after="0"/>
              <w:rPr>
                <w:sz w:val="13"/>
                <w:szCs w:val="13"/>
                <w:color w:val="auto"/>
              </w:rPr>
            </w:pPr>
          </w:p>
        </w:tc>
        <w:tc>
          <w:tcPr>
            <w:tcW w:w="1820" w:type="dxa"/>
            <w:vAlign w:val="bottom"/>
          </w:tcPr>
          <w:p>
            <w:pPr>
              <w:spacing w:after="0" w:line="159" w:lineRule="exact"/>
              <w:rPr>
                <w:sz w:val="20"/>
                <w:szCs w:val="20"/>
                <w:color w:val="auto"/>
              </w:rPr>
            </w:pPr>
            <w:r>
              <w:rPr>
                <w:rFonts w:ascii="Arial" w:cs="Arial" w:eastAsia="Arial" w:hAnsi="Arial"/>
                <w:sz w:val="16"/>
                <w:szCs w:val="16"/>
                <w:b w:val="1"/>
                <w:bCs w:val="1"/>
                <w:color w:val="auto"/>
              </w:rPr>
              <w:t>James R. Hatfield:</w:t>
            </w:r>
          </w:p>
        </w:tc>
        <w:tc>
          <w:tcPr>
            <w:tcW w:w="148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1100" w:type="dxa"/>
            <w:vAlign w:val="bottom"/>
          </w:tcPr>
          <w:p>
            <w:pPr>
              <w:spacing w:after="0"/>
              <w:rPr>
                <w:sz w:val="13"/>
                <w:szCs w:val="13"/>
                <w:color w:val="auto"/>
              </w:rPr>
            </w:pPr>
          </w:p>
        </w:tc>
      </w:tr>
      <w:tr>
        <w:trPr>
          <w:trHeight w:val="188"/>
        </w:trPr>
        <w:tc>
          <w:tcPr>
            <w:tcW w:w="20" w:type="dxa"/>
            <w:vAlign w:val="bottom"/>
          </w:tcPr>
          <w:p>
            <w:pPr>
              <w:spacing w:after="0"/>
              <w:rPr>
                <w:sz w:val="16"/>
                <w:szCs w:val="16"/>
                <w:color w:val="auto"/>
              </w:rPr>
            </w:pPr>
          </w:p>
        </w:tc>
        <w:tc>
          <w:tcPr>
            <w:tcW w:w="1820" w:type="dxa"/>
            <w:vAlign w:val="bottom"/>
          </w:tcPr>
          <w:p>
            <w:pPr>
              <w:ind w:left="140"/>
              <w:spacing w:after="0"/>
              <w:rPr>
                <w:sz w:val="20"/>
                <w:szCs w:val="20"/>
                <w:color w:val="auto"/>
              </w:rPr>
            </w:pPr>
            <w:r>
              <w:rPr>
                <w:rFonts w:ascii="Arial" w:cs="Arial" w:eastAsia="Arial" w:hAnsi="Arial"/>
                <w:sz w:val="16"/>
                <w:szCs w:val="16"/>
                <w:color w:val="auto"/>
              </w:rPr>
              <w:t>2005 Plan</w:t>
            </w:r>
          </w:p>
        </w:tc>
        <w:tc>
          <w:tcPr>
            <w:tcW w:w="1480" w:type="dxa"/>
            <w:vAlign w:val="bottom"/>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Pr>
          <w:p>
            <w:pPr>
              <w:jc w:val="right"/>
              <w:ind w:right="202"/>
              <w:spacing w:after="0"/>
              <w:rPr>
                <w:sz w:val="20"/>
                <w:szCs w:val="20"/>
                <w:color w:val="auto"/>
              </w:rPr>
            </w:pPr>
            <w:r>
              <w:rPr>
                <w:rFonts w:ascii="Arial" w:cs="Arial" w:eastAsia="Arial" w:hAnsi="Arial"/>
                <w:sz w:val="16"/>
                <w:szCs w:val="16"/>
                <w:color w:val="auto"/>
              </w:rPr>
              <w:t>8,980</w:t>
            </w:r>
          </w:p>
        </w:tc>
        <w:tc>
          <w:tcPr>
            <w:tcW w:w="1380" w:type="dxa"/>
            <w:vAlign w:val="bottom"/>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Pr>
          <w:p>
            <w:pPr>
              <w:jc w:val="right"/>
              <w:ind w:right="100"/>
              <w:spacing w:after="0"/>
              <w:rPr>
                <w:sz w:val="20"/>
                <w:szCs w:val="20"/>
                <w:color w:val="auto"/>
              </w:rPr>
            </w:pPr>
            <w:r>
              <w:rPr>
                <w:rFonts w:ascii="Arial" w:cs="Arial" w:eastAsia="Arial" w:hAnsi="Arial"/>
                <w:sz w:val="16"/>
                <w:szCs w:val="16"/>
                <w:color w:val="auto"/>
              </w:rPr>
              <w:t>128,624</w:t>
            </w:r>
          </w:p>
        </w:tc>
      </w:tr>
      <w:tr>
        <w:trPr>
          <w:trHeight w:val="234"/>
        </w:trPr>
        <w:tc>
          <w:tcPr>
            <w:tcW w:w="20" w:type="dxa"/>
            <w:vAlign w:val="bottom"/>
          </w:tcPr>
          <w:p>
            <w:pPr>
              <w:spacing w:after="0"/>
              <w:rPr>
                <w:sz w:val="20"/>
                <w:szCs w:val="20"/>
                <w:color w:val="auto"/>
              </w:rPr>
            </w:pPr>
          </w:p>
        </w:tc>
        <w:tc>
          <w:tcPr>
            <w:tcW w:w="1820" w:type="dxa"/>
            <w:vAlign w:val="bottom"/>
            <w:tcBorders>
              <w:bottom w:val="single" w:sz="8" w:color="auto"/>
            </w:tcBorders>
          </w:tcPr>
          <w:p>
            <w:pPr>
              <w:ind w:left="140"/>
              <w:spacing w:after="0" w:line="235" w:lineRule="exact"/>
              <w:rPr>
                <w:sz w:val="20"/>
                <w:szCs w:val="20"/>
                <w:color w:val="auto"/>
              </w:rPr>
            </w:pPr>
            <w:r>
              <w:rPr>
                <w:rFonts w:ascii="Arial" w:cs="Arial" w:eastAsia="Arial" w:hAnsi="Arial"/>
                <w:sz w:val="16"/>
                <w:szCs w:val="16"/>
                <w:color w:val="auto"/>
              </w:rPr>
              <w:t>Supplemental RSUs</w:t>
            </w:r>
            <w:r>
              <w:rPr>
                <w:rFonts w:ascii="Arial" w:cs="Arial" w:eastAsia="Arial" w:hAnsi="Arial"/>
                <w:sz w:val="26"/>
                <w:szCs w:val="26"/>
                <w:color w:val="auto"/>
                <w:vertAlign w:val="superscript"/>
              </w:rPr>
              <w:t>(4)</w:t>
            </w:r>
          </w:p>
        </w:tc>
        <w:tc>
          <w:tcPr>
            <w:tcW w:w="1480" w:type="dxa"/>
            <w:vAlign w:val="bottom"/>
            <w:tcBorders>
              <w:bottom w:val="single" w:sz="8" w:color="auto"/>
            </w:tcBorders>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Borders>
              <w:bottom w:val="single" w:sz="8" w:color="auto"/>
            </w:tcBorders>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Borders>
              <w:bottom w:val="single" w:sz="8" w:color="auto"/>
            </w:tcBorders>
          </w:tcPr>
          <w:p>
            <w:pPr>
              <w:jc w:val="right"/>
              <w:ind w:right="202"/>
              <w:spacing w:after="0"/>
              <w:rPr>
                <w:sz w:val="20"/>
                <w:szCs w:val="20"/>
                <w:color w:val="auto"/>
              </w:rPr>
            </w:pPr>
            <w:r>
              <w:rPr>
                <w:rFonts w:ascii="Arial" w:cs="Arial" w:eastAsia="Arial" w:hAnsi="Arial"/>
                <w:sz w:val="16"/>
                <w:szCs w:val="16"/>
                <w:color w:val="auto"/>
              </w:rPr>
              <w:t>0</w:t>
            </w:r>
          </w:p>
        </w:tc>
        <w:tc>
          <w:tcPr>
            <w:tcW w:w="1380" w:type="dxa"/>
            <w:vAlign w:val="bottom"/>
            <w:tcBorders>
              <w:bottom w:val="single" w:sz="8" w:color="auto"/>
            </w:tcBorders>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470,511</w:t>
            </w:r>
          </w:p>
        </w:tc>
      </w:tr>
      <w:tr>
        <w:trPr>
          <w:trHeight w:val="176"/>
        </w:trPr>
        <w:tc>
          <w:tcPr>
            <w:tcW w:w="20" w:type="dxa"/>
            <w:vAlign w:val="bottom"/>
          </w:tcPr>
          <w:p>
            <w:pPr>
              <w:spacing w:after="0"/>
              <w:rPr>
                <w:sz w:val="15"/>
                <w:szCs w:val="15"/>
                <w:color w:val="auto"/>
              </w:rPr>
            </w:pPr>
          </w:p>
        </w:tc>
        <w:tc>
          <w:tcPr>
            <w:tcW w:w="1820" w:type="dxa"/>
            <w:vAlign w:val="bottom"/>
            <w:shd w:val="clear" w:color="auto" w:fill="E3E5EB"/>
          </w:tcPr>
          <w:p>
            <w:pPr>
              <w:spacing w:after="0" w:line="176" w:lineRule="exact"/>
              <w:rPr>
                <w:sz w:val="20"/>
                <w:szCs w:val="20"/>
                <w:color w:val="auto"/>
              </w:rPr>
            </w:pPr>
            <w:r>
              <w:rPr>
                <w:rFonts w:ascii="Arial" w:cs="Arial" w:eastAsia="Arial" w:hAnsi="Arial"/>
                <w:sz w:val="16"/>
                <w:szCs w:val="16"/>
                <w:b w:val="1"/>
                <w:bCs w:val="1"/>
                <w:color w:val="auto"/>
              </w:rPr>
              <w:t>Randall K. Edington:</w:t>
            </w:r>
          </w:p>
        </w:tc>
        <w:tc>
          <w:tcPr>
            <w:tcW w:w="1480" w:type="dxa"/>
            <w:vAlign w:val="bottom"/>
            <w:shd w:val="clear" w:color="auto" w:fill="E3E5EB"/>
          </w:tcPr>
          <w:p>
            <w:pPr>
              <w:spacing w:after="0"/>
              <w:rPr>
                <w:sz w:val="15"/>
                <w:szCs w:val="15"/>
                <w:color w:val="auto"/>
              </w:rPr>
            </w:pPr>
          </w:p>
        </w:tc>
        <w:tc>
          <w:tcPr>
            <w:tcW w:w="1440" w:type="dxa"/>
            <w:vAlign w:val="bottom"/>
            <w:shd w:val="clear" w:color="auto" w:fill="E3E5EB"/>
          </w:tcPr>
          <w:p>
            <w:pPr>
              <w:spacing w:after="0"/>
              <w:rPr>
                <w:sz w:val="15"/>
                <w:szCs w:val="15"/>
                <w:color w:val="auto"/>
              </w:rPr>
            </w:pPr>
          </w:p>
        </w:tc>
        <w:tc>
          <w:tcPr>
            <w:tcW w:w="1140" w:type="dxa"/>
            <w:vAlign w:val="bottom"/>
            <w:shd w:val="clear" w:color="auto" w:fill="E3E5EB"/>
          </w:tcPr>
          <w:p>
            <w:pPr>
              <w:spacing w:after="0"/>
              <w:rPr>
                <w:sz w:val="15"/>
                <w:szCs w:val="15"/>
                <w:color w:val="auto"/>
              </w:rPr>
            </w:pPr>
          </w:p>
        </w:tc>
        <w:tc>
          <w:tcPr>
            <w:tcW w:w="1380" w:type="dxa"/>
            <w:vAlign w:val="bottom"/>
            <w:shd w:val="clear" w:color="auto" w:fill="E3E5EB"/>
          </w:tcPr>
          <w:p>
            <w:pPr>
              <w:spacing w:after="0"/>
              <w:rPr>
                <w:sz w:val="15"/>
                <w:szCs w:val="15"/>
                <w:color w:val="auto"/>
              </w:rPr>
            </w:pPr>
          </w:p>
        </w:tc>
        <w:tc>
          <w:tcPr>
            <w:tcW w:w="1100" w:type="dxa"/>
            <w:vAlign w:val="bottom"/>
            <w:shd w:val="clear" w:color="auto" w:fill="E3E5EB"/>
          </w:tcPr>
          <w:p>
            <w:pPr>
              <w:spacing w:after="0"/>
              <w:rPr>
                <w:sz w:val="15"/>
                <w:szCs w:val="15"/>
                <w:color w:val="auto"/>
              </w:rPr>
            </w:pPr>
          </w:p>
        </w:tc>
      </w:tr>
      <w:tr>
        <w:trPr>
          <w:trHeight w:val="184"/>
        </w:trPr>
        <w:tc>
          <w:tcPr>
            <w:tcW w:w="20" w:type="dxa"/>
            <w:vAlign w:val="bottom"/>
          </w:tcPr>
          <w:p>
            <w:pPr>
              <w:spacing w:after="0"/>
              <w:rPr>
                <w:sz w:val="16"/>
                <w:szCs w:val="16"/>
                <w:color w:val="auto"/>
              </w:rPr>
            </w:pPr>
          </w:p>
        </w:tc>
        <w:tc>
          <w:tcPr>
            <w:tcW w:w="1820" w:type="dxa"/>
            <w:vAlign w:val="bottom"/>
            <w:shd w:val="clear" w:color="auto" w:fill="E3E5EB"/>
          </w:tcPr>
          <w:p>
            <w:pPr>
              <w:ind w:left="140"/>
              <w:spacing w:after="0"/>
              <w:rPr>
                <w:sz w:val="20"/>
                <w:szCs w:val="20"/>
                <w:color w:val="auto"/>
              </w:rPr>
            </w:pPr>
            <w:r>
              <w:rPr>
                <w:rFonts w:ascii="Arial" w:cs="Arial" w:eastAsia="Arial" w:hAnsi="Arial"/>
                <w:sz w:val="16"/>
                <w:szCs w:val="16"/>
                <w:color w:val="auto"/>
              </w:rPr>
              <w:t>2005 Plan</w:t>
            </w:r>
          </w:p>
        </w:tc>
        <w:tc>
          <w:tcPr>
            <w:tcW w:w="1480" w:type="dxa"/>
            <w:vAlign w:val="bottom"/>
            <w:shd w:val="clear" w:color="auto" w:fill="E3E5EB"/>
          </w:tcPr>
          <w:p>
            <w:pPr>
              <w:jc w:val="right"/>
              <w:ind w:right="362"/>
              <w:spacing w:after="0"/>
              <w:rPr>
                <w:sz w:val="20"/>
                <w:szCs w:val="20"/>
                <w:color w:val="auto"/>
              </w:rPr>
            </w:pPr>
            <w:r>
              <w:rPr>
                <w:rFonts w:ascii="Arial" w:cs="Arial" w:eastAsia="Arial" w:hAnsi="Arial"/>
                <w:sz w:val="16"/>
                <w:szCs w:val="16"/>
                <w:color w:val="auto"/>
              </w:rPr>
              <w:t>446,930</w:t>
            </w:r>
          </w:p>
        </w:tc>
        <w:tc>
          <w:tcPr>
            <w:tcW w:w="1440" w:type="dxa"/>
            <w:vAlign w:val="bottom"/>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shd w:val="clear" w:color="auto" w:fill="E3E5EB"/>
          </w:tcPr>
          <w:p>
            <w:pPr>
              <w:jc w:val="right"/>
              <w:ind w:right="202"/>
              <w:spacing w:after="0"/>
              <w:rPr>
                <w:sz w:val="20"/>
                <w:szCs w:val="20"/>
                <w:color w:val="auto"/>
              </w:rPr>
            </w:pPr>
            <w:r>
              <w:rPr>
                <w:rFonts w:ascii="Arial" w:cs="Arial" w:eastAsia="Arial" w:hAnsi="Arial"/>
                <w:sz w:val="16"/>
                <w:szCs w:val="16"/>
                <w:color w:val="auto"/>
              </w:rPr>
              <w:t>239,432</w:t>
            </w:r>
          </w:p>
        </w:tc>
        <w:tc>
          <w:tcPr>
            <w:tcW w:w="1380" w:type="dxa"/>
            <w:vAlign w:val="bottom"/>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shd w:val="clear" w:color="auto" w:fill="E3E5EB"/>
          </w:tcPr>
          <w:p>
            <w:pPr>
              <w:jc w:val="right"/>
              <w:ind w:right="100"/>
              <w:spacing w:after="0"/>
              <w:rPr>
                <w:sz w:val="20"/>
                <w:szCs w:val="20"/>
                <w:color w:val="auto"/>
              </w:rPr>
            </w:pPr>
            <w:r>
              <w:rPr>
                <w:rFonts w:ascii="Arial" w:cs="Arial" w:eastAsia="Arial" w:hAnsi="Arial"/>
                <w:sz w:val="16"/>
                <w:szCs w:val="16"/>
                <w:color w:val="auto"/>
              </w:rPr>
              <w:t>3,429,752</w:t>
            </w:r>
          </w:p>
        </w:tc>
      </w:tr>
      <w:tr>
        <w:trPr>
          <w:trHeight w:val="221"/>
        </w:trPr>
        <w:tc>
          <w:tcPr>
            <w:tcW w:w="20" w:type="dxa"/>
            <w:vAlign w:val="bottom"/>
          </w:tcPr>
          <w:p>
            <w:pPr>
              <w:spacing w:after="0"/>
              <w:rPr>
                <w:sz w:val="19"/>
                <w:szCs w:val="19"/>
                <w:color w:val="auto"/>
              </w:rPr>
            </w:pPr>
          </w:p>
        </w:tc>
        <w:tc>
          <w:tcPr>
            <w:tcW w:w="1820" w:type="dxa"/>
            <w:vAlign w:val="bottom"/>
            <w:shd w:val="clear" w:color="auto" w:fill="E3E5EB"/>
          </w:tcPr>
          <w:p>
            <w:pPr>
              <w:ind w:left="140"/>
              <w:spacing w:after="0" w:line="221" w:lineRule="exact"/>
              <w:rPr>
                <w:sz w:val="20"/>
                <w:szCs w:val="20"/>
                <w:color w:val="auto"/>
              </w:rPr>
            </w:pPr>
            <w:r>
              <w:rPr>
                <w:rFonts w:ascii="Arial" w:cs="Arial" w:eastAsia="Arial" w:hAnsi="Arial"/>
                <w:sz w:val="15"/>
                <w:szCs w:val="15"/>
                <w:color w:val="auto"/>
              </w:rPr>
              <w:t>Supplemental RSUs</w:t>
            </w:r>
            <w:r>
              <w:rPr>
                <w:rFonts w:ascii="Arial" w:cs="Arial" w:eastAsia="Arial" w:hAnsi="Arial"/>
                <w:sz w:val="25"/>
                <w:szCs w:val="25"/>
                <w:color w:val="auto"/>
                <w:vertAlign w:val="superscript"/>
              </w:rPr>
              <w:t>(4)</w:t>
            </w:r>
          </w:p>
        </w:tc>
        <w:tc>
          <w:tcPr>
            <w:tcW w:w="1480" w:type="dxa"/>
            <w:vAlign w:val="bottom"/>
            <w:shd w:val="clear" w:color="auto" w:fill="E3E5EB"/>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shd w:val="clear" w:color="auto" w:fill="E3E5EB"/>
          </w:tcPr>
          <w:p>
            <w:pPr>
              <w:jc w:val="right"/>
              <w:ind w:right="202"/>
              <w:spacing w:after="0"/>
              <w:rPr>
                <w:sz w:val="20"/>
                <w:szCs w:val="20"/>
                <w:color w:val="auto"/>
              </w:rPr>
            </w:pPr>
            <w:r>
              <w:rPr>
                <w:rFonts w:ascii="Arial" w:cs="Arial" w:eastAsia="Arial" w:hAnsi="Arial"/>
                <w:sz w:val="16"/>
                <w:szCs w:val="16"/>
                <w:color w:val="auto"/>
              </w:rPr>
              <w:t>0</w:t>
            </w:r>
          </w:p>
        </w:tc>
        <w:tc>
          <w:tcPr>
            <w:tcW w:w="1380" w:type="dxa"/>
            <w:vAlign w:val="bottom"/>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shd w:val="clear" w:color="auto" w:fill="E3E5EB"/>
          </w:tcPr>
          <w:p>
            <w:pPr>
              <w:jc w:val="right"/>
              <w:ind w:right="100"/>
              <w:spacing w:after="0"/>
              <w:rPr>
                <w:sz w:val="20"/>
                <w:szCs w:val="20"/>
                <w:color w:val="auto"/>
              </w:rPr>
            </w:pPr>
            <w:r>
              <w:rPr>
                <w:rFonts w:ascii="Arial" w:cs="Arial" w:eastAsia="Arial" w:hAnsi="Arial"/>
                <w:sz w:val="16"/>
                <w:szCs w:val="16"/>
                <w:color w:val="auto"/>
              </w:rPr>
              <w:t>940,376</w:t>
            </w:r>
          </w:p>
        </w:tc>
      </w:tr>
      <w:tr>
        <w:trPr>
          <w:trHeight w:val="167"/>
        </w:trPr>
        <w:tc>
          <w:tcPr>
            <w:tcW w:w="20" w:type="dxa"/>
            <w:vAlign w:val="bottom"/>
          </w:tcPr>
          <w:p>
            <w:pPr>
              <w:spacing w:after="0"/>
              <w:rPr>
                <w:sz w:val="14"/>
                <w:szCs w:val="14"/>
                <w:color w:val="auto"/>
              </w:rPr>
            </w:pPr>
          </w:p>
        </w:tc>
        <w:tc>
          <w:tcPr>
            <w:tcW w:w="1820" w:type="dxa"/>
            <w:vAlign w:val="bottom"/>
            <w:shd w:val="clear" w:color="auto" w:fill="E3E5EB"/>
          </w:tcPr>
          <w:p>
            <w:pPr>
              <w:ind w:left="140"/>
              <w:spacing w:after="0" w:line="167" w:lineRule="exact"/>
              <w:rPr>
                <w:sz w:val="20"/>
                <w:szCs w:val="20"/>
                <w:color w:val="auto"/>
              </w:rPr>
            </w:pPr>
            <w:r>
              <w:rPr>
                <w:rFonts w:ascii="Arial" w:cs="Arial" w:eastAsia="Arial" w:hAnsi="Arial"/>
                <w:sz w:val="16"/>
                <w:szCs w:val="16"/>
                <w:color w:val="auto"/>
              </w:rPr>
              <w:t>Edington DCP</w:t>
            </w:r>
          </w:p>
        </w:tc>
        <w:tc>
          <w:tcPr>
            <w:tcW w:w="1480" w:type="dxa"/>
            <w:vAlign w:val="bottom"/>
            <w:shd w:val="clear" w:color="auto" w:fill="E3E5EB"/>
          </w:tcPr>
          <w:p>
            <w:pPr>
              <w:spacing w:after="0"/>
              <w:rPr>
                <w:sz w:val="14"/>
                <w:szCs w:val="14"/>
                <w:color w:val="auto"/>
              </w:rPr>
            </w:pPr>
          </w:p>
        </w:tc>
        <w:tc>
          <w:tcPr>
            <w:tcW w:w="1440" w:type="dxa"/>
            <w:vAlign w:val="bottom"/>
            <w:shd w:val="clear" w:color="auto" w:fill="E3E5EB"/>
          </w:tcPr>
          <w:p>
            <w:pPr>
              <w:spacing w:after="0"/>
              <w:rPr>
                <w:sz w:val="14"/>
                <w:szCs w:val="14"/>
                <w:color w:val="auto"/>
              </w:rPr>
            </w:pPr>
          </w:p>
        </w:tc>
        <w:tc>
          <w:tcPr>
            <w:tcW w:w="1140" w:type="dxa"/>
            <w:vAlign w:val="bottom"/>
            <w:shd w:val="clear" w:color="auto" w:fill="E3E5EB"/>
          </w:tcPr>
          <w:p>
            <w:pPr>
              <w:spacing w:after="0"/>
              <w:rPr>
                <w:sz w:val="14"/>
                <w:szCs w:val="14"/>
                <w:color w:val="auto"/>
              </w:rPr>
            </w:pPr>
          </w:p>
        </w:tc>
        <w:tc>
          <w:tcPr>
            <w:tcW w:w="1380" w:type="dxa"/>
            <w:vAlign w:val="bottom"/>
            <w:shd w:val="clear" w:color="auto" w:fill="E3E5EB"/>
          </w:tcPr>
          <w:p>
            <w:pPr>
              <w:spacing w:after="0"/>
              <w:rPr>
                <w:sz w:val="14"/>
                <w:szCs w:val="14"/>
                <w:color w:val="auto"/>
              </w:rPr>
            </w:pPr>
          </w:p>
        </w:tc>
        <w:tc>
          <w:tcPr>
            <w:tcW w:w="1100" w:type="dxa"/>
            <w:vAlign w:val="bottom"/>
            <w:shd w:val="clear" w:color="auto" w:fill="E3E5EB"/>
          </w:tcPr>
          <w:p>
            <w:pPr>
              <w:spacing w:after="0"/>
              <w:rPr>
                <w:sz w:val="14"/>
                <w:szCs w:val="14"/>
                <w:color w:val="auto"/>
              </w:rPr>
            </w:pPr>
          </w:p>
        </w:tc>
      </w:tr>
      <w:tr>
        <w:trPr>
          <w:trHeight w:val="188"/>
        </w:trPr>
        <w:tc>
          <w:tcPr>
            <w:tcW w:w="20" w:type="dxa"/>
            <w:vAlign w:val="bottom"/>
          </w:tcPr>
          <w:p>
            <w:pPr>
              <w:spacing w:after="0"/>
              <w:rPr>
                <w:sz w:val="16"/>
                <w:szCs w:val="16"/>
                <w:color w:val="auto"/>
              </w:rPr>
            </w:pPr>
          </w:p>
        </w:tc>
        <w:tc>
          <w:tcPr>
            <w:tcW w:w="1820" w:type="dxa"/>
            <w:vAlign w:val="bottom"/>
            <w:shd w:val="clear" w:color="auto" w:fill="E3E5EB"/>
          </w:tcPr>
          <w:p>
            <w:pPr>
              <w:ind w:left="280"/>
              <w:spacing w:after="0"/>
              <w:rPr>
                <w:sz w:val="20"/>
                <w:szCs w:val="20"/>
                <w:color w:val="auto"/>
              </w:rPr>
            </w:pPr>
            <w:r>
              <w:rPr>
                <w:rFonts w:ascii="Arial" w:cs="Arial" w:eastAsia="Arial" w:hAnsi="Arial"/>
                <w:sz w:val="16"/>
                <w:szCs w:val="16"/>
                <w:color w:val="auto"/>
              </w:rPr>
              <w:t>Discretionary</w:t>
            </w:r>
          </w:p>
        </w:tc>
        <w:tc>
          <w:tcPr>
            <w:tcW w:w="1480" w:type="dxa"/>
            <w:vAlign w:val="bottom"/>
            <w:shd w:val="clear" w:color="auto" w:fill="E3E5EB"/>
          </w:tcPr>
          <w:p>
            <w:pPr>
              <w:spacing w:after="0"/>
              <w:rPr>
                <w:sz w:val="16"/>
                <w:szCs w:val="16"/>
                <w:color w:val="auto"/>
              </w:rPr>
            </w:pPr>
          </w:p>
        </w:tc>
        <w:tc>
          <w:tcPr>
            <w:tcW w:w="1440" w:type="dxa"/>
            <w:vAlign w:val="bottom"/>
            <w:shd w:val="clear" w:color="auto" w:fill="E3E5EB"/>
          </w:tcPr>
          <w:p>
            <w:pPr>
              <w:spacing w:after="0"/>
              <w:rPr>
                <w:sz w:val="16"/>
                <w:szCs w:val="16"/>
                <w:color w:val="auto"/>
              </w:rPr>
            </w:pPr>
          </w:p>
        </w:tc>
        <w:tc>
          <w:tcPr>
            <w:tcW w:w="1140" w:type="dxa"/>
            <w:vAlign w:val="bottom"/>
            <w:shd w:val="clear" w:color="auto" w:fill="E3E5EB"/>
          </w:tcPr>
          <w:p>
            <w:pPr>
              <w:spacing w:after="0"/>
              <w:rPr>
                <w:sz w:val="16"/>
                <w:szCs w:val="16"/>
                <w:color w:val="auto"/>
              </w:rPr>
            </w:pPr>
          </w:p>
        </w:tc>
        <w:tc>
          <w:tcPr>
            <w:tcW w:w="1380" w:type="dxa"/>
            <w:vAlign w:val="bottom"/>
            <w:shd w:val="clear" w:color="auto" w:fill="E3E5EB"/>
          </w:tcPr>
          <w:p>
            <w:pPr>
              <w:spacing w:after="0"/>
              <w:rPr>
                <w:sz w:val="16"/>
                <w:szCs w:val="16"/>
                <w:color w:val="auto"/>
              </w:rPr>
            </w:pPr>
          </w:p>
        </w:tc>
        <w:tc>
          <w:tcPr>
            <w:tcW w:w="1100" w:type="dxa"/>
            <w:vAlign w:val="bottom"/>
            <w:shd w:val="clear" w:color="auto" w:fill="E3E5EB"/>
          </w:tcPr>
          <w:p>
            <w:pPr>
              <w:spacing w:after="0"/>
              <w:rPr>
                <w:sz w:val="16"/>
                <w:szCs w:val="16"/>
                <w:color w:val="auto"/>
              </w:rPr>
            </w:pPr>
          </w:p>
        </w:tc>
      </w:tr>
      <w:tr>
        <w:trPr>
          <w:trHeight w:val="234"/>
        </w:trPr>
        <w:tc>
          <w:tcPr>
            <w:tcW w:w="20" w:type="dxa"/>
            <w:vAlign w:val="bottom"/>
          </w:tcPr>
          <w:p>
            <w:pPr>
              <w:spacing w:after="0"/>
              <w:rPr>
                <w:sz w:val="20"/>
                <w:szCs w:val="20"/>
                <w:color w:val="auto"/>
              </w:rPr>
            </w:pPr>
          </w:p>
        </w:tc>
        <w:tc>
          <w:tcPr>
            <w:tcW w:w="1820" w:type="dxa"/>
            <w:vAlign w:val="bottom"/>
            <w:tcBorders>
              <w:bottom w:val="single" w:sz="8" w:color="auto"/>
            </w:tcBorders>
            <w:shd w:val="clear" w:color="auto" w:fill="E3E5EB"/>
          </w:tcPr>
          <w:p>
            <w:pPr>
              <w:ind w:left="280"/>
              <w:spacing w:after="0" w:line="235" w:lineRule="exact"/>
              <w:rPr>
                <w:sz w:val="20"/>
                <w:szCs w:val="20"/>
                <w:color w:val="auto"/>
              </w:rPr>
            </w:pPr>
            <w:r>
              <w:rPr>
                <w:rFonts w:ascii="Arial" w:cs="Arial" w:eastAsia="Arial" w:hAnsi="Arial"/>
                <w:sz w:val="16"/>
                <w:szCs w:val="16"/>
                <w:color w:val="auto"/>
              </w:rPr>
              <w:t>Credits</w:t>
            </w:r>
            <w:r>
              <w:rPr>
                <w:rFonts w:ascii="Arial" w:cs="Arial" w:eastAsia="Arial" w:hAnsi="Arial"/>
                <w:sz w:val="26"/>
                <w:szCs w:val="26"/>
                <w:color w:val="auto"/>
                <w:vertAlign w:val="superscript"/>
              </w:rPr>
              <w:t>(5)</w:t>
            </w:r>
          </w:p>
        </w:tc>
        <w:tc>
          <w:tcPr>
            <w:tcW w:w="1480" w:type="dxa"/>
            <w:vAlign w:val="bottom"/>
            <w:tcBorders>
              <w:bottom w:val="single" w:sz="8" w:color="auto"/>
            </w:tcBorders>
            <w:shd w:val="clear" w:color="auto" w:fill="E3E5EB"/>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Borders>
              <w:bottom w:val="single" w:sz="8" w:color="auto"/>
            </w:tcBorders>
            <w:shd w:val="clear" w:color="auto" w:fill="E3E5EB"/>
          </w:tcPr>
          <w:p>
            <w:pPr>
              <w:jc w:val="right"/>
              <w:ind w:right="300"/>
              <w:spacing w:after="0"/>
              <w:rPr>
                <w:sz w:val="20"/>
                <w:szCs w:val="20"/>
                <w:color w:val="auto"/>
              </w:rPr>
            </w:pPr>
            <w:r>
              <w:rPr>
                <w:rFonts w:ascii="Arial" w:cs="Arial" w:eastAsia="Arial" w:hAnsi="Arial"/>
                <w:sz w:val="16"/>
                <w:szCs w:val="16"/>
                <w:color w:val="auto"/>
              </w:rPr>
              <w:t>300,0000</w:t>
            </w:r>
          </w:p>
        </w:tc>
        <w:tc>
          <w:tcPr>
            <w:tcW w:w="1140" w:type="dxa"/>
            <w:vAlign w:val="bottom"/>
            <w:tcBorders>
              <w:bottom w:val="single" w:sz="8" w:color="auto"/>
            </w:tcBorders>
            <w:shd w:val="clear" w:color="auto" w:fill="E3E5EB"/>
          </w:tcPr>
          <w:p>
            <w:pPr>
              <w:jc w:val="right"/>
              <w:ind w:right="202"/>
              <w:spacing w:after="0"/>
              <w:rPr>
                <w:sz w:val="20"/>
                <w:szCs w:val="20"/>
                <w:color w:val="auto"/>
              </w:rPr>
            </w:pPr>
            <w:r>
              <w:rPr>
                <w:rFonts w:ascii="Arial" w:cs="Arial" w:eastAsia="Arial" w:hAnsi="Arial"/>
                <w:sz w:val="16"/>
                <w:szCs w:val="16"/>
                <w:color w:val="auto"/>
              </w:rPr>
              <w:t>167,817</w:t>
            </w:r>
          </w:p>
        </w:tc>
        <w:tc>
          <w:tcPr>
            <w:tcW w:w="1380" w:type="dxa"/>
            <w:vAlign w:val="bottom"/>
            <w:tcBorders>
              <w:bottom w:val="single" w:sz="8" w:color="auto"/>
            </w:tcBorders>
            <w:shd w:val="clear" w:color="auto" w:fill="E3E5EB"/>
          </w:tcPr>
          <w:p>
            <w:pPr>
              <w:spacing w:after="0"/>
              <w:rPr>
                <w:sz w:val="20"/>
                <w:szCs w:val="20"/>
                <w:color w:val="auto"/>
              </w:rPr>
            </w:pPr>
          </w:p>
        </w:tc>
        <w:tc>
          <w:tcPr>
            <w:tcW w:w="1100" w:type="dxa"/>
            <w:vAlign w:val="bottom"/>
            <w:tcBorders>
              <w:bottom w:val="single" w:sz="8" w:color="auto"/>
            </w:tcBorders>
            <w:shd w:val="clear" w:color="auto" w:fill="E3E5EB"/>
          </w:tcPr>
          <w:p>
            <w:pPr>
              <w:jc w:val="right"/>
              <w:ind w:right="100"/>
              <w:spacing w:after="0"/>
              <w:rPr>
                <w:sz w:val="20"/>
                <w:szCs w:val="20"/>
                <w:color w:val="auto"/>
              </w:rPr>
            </w:pPr>
            <w:r>
              <w:rPr>
                <w:rFonts w:ascii="Arial" w:cs="Arial" w:eastAsia="Arial" w:hAnsi="Arial"/>
                <w:sz w:val="16"/>
                <w:szCs w:val="16"/>
                <w:color w:val="auto"/>
              </w:rPr>
              <w:t>2,399,827</w:t>
            </w:r>
          </w:p>
        </w:tc>
      </w:tr>
      <w:tr>
        <w:trPr>
          <w:trHeight w:val="163"/>
        </w:trPr>
        <w:tc>
          <w:tcPr>
            <w:tcW w:w="20" w:type="dxa"/>
            <w:vAlign w:val="bottom"/>
          </w:tcPr>
          <w:p>
            <w:pPr>
              <w:spacing w:after="0"/>
              <w:rPr>
                <w:sz w:val="14"/>
                <w:szCs w:val="14"/>
                <w:color w:val="auto"/>
              </w:rPr>
            </w:pPr>
          </w:p>
        </w:tc>
        <w:tc>
          <w:tcPr>
            <w:tcW w:w="1820" w:type="dxa"/>
            <w:vAlign w:val="bottom"/>
          </w:tcPr>
          <w:p>
            <w:pPr>
              <w:spacing w:after="0" w:line="163" w:lineRule="exact"/>
              <w:rPr>
                <w:sz w:val="20"/>
                <w:szCs w:val="20"/>
                <w:color w:val="auto"/>
              </w:rPr>
            </w:pPr>
            <w:r>
              <w:rPr>
                <w:rFonts w:ascii="Arial" w:cs="Arial" w:eastAsia="Arial" w:hAnsi="Arial"/>
                <w:sz w:val="16"/>
                <w:szCs w:val="16"/>
                <w:b w:val="1"/>
                <w:bCs w:val="1"/>
                <w:color w:val="auto"/>
              </w:rPr>
              <w:t>David P. Falck:</w:t>
            </w:r>
          </w:p>
        </w:tc>
        <w:tc>
          <w:tcPr>
            <w:tcW w:w="148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100" w:type="dxa"/>
            <w:vAlign w:val="bottom"/>
          </w:tcPr>
          <w:p>
            <w:pPr>
              <w:spacing w:after="0"/>
              <w:rPr>
                <w:sz w:val="14"/>
                <w:szCs w:val="14"/>
                <w:color w:val="auto"/>
              </w:rPr>
            </w:pPr>
          </w:p>
        </w:tc>
      </w:tr>
      <w:tr>
        <w:trPr>
          <w:trHeight w:val="217"/>
        </w:trPr>
        <w:tc>
          <w:tcPr>
            <w:tcW w:w="20" w:type="dxa"/>
            <w:vAlign w:val="bottom"/>
          </w:tcPr>
          <w:p>
            <w:pPr>
              <w:spacing w:after="0"/>
              <w:rPr>
                <w:sz w:val="18"/>
                <w:szCs w:val="18"/>
                <w:color w:val="auto"/>
              </w:rPr>
            </w:pPr>
          </w:p>
        </w:tc>
        <w:tc>
          <w:tcPr>
            <w:tcW w:w="1820" w:type="dxa"/>
            <w:vAlign w:val="bottom"/>
          </w:tcPr>
          <w:p>
            <w:pPr>
              <w:ind w:left="140"/>
              <w:spacing w:after="0" w:line="217" w:lineRule="exact"/>
              <w:rPr>
                <w:sz w:val="20"/>
                <w:szCs w:val="20"/>
                <w:color w:val="auto"/>
              </w:rPr>
            </w:pPr>
            <w:r>
              <w:rPr>
                <w:rFonts w:ascii="Arial" w:cs="Arial" w:eastAsia="Arial" w:hAnsi="Arial"/>
                <w:sz w:val="15"/>
                <w:szCs w:val="15"/>
                <w:color w:val="auto"/>
              </w:rPr>
              <w:t>Supplemental RSUs</w:t>
            </w:r>
            <w:r>
              <w:rPr>
                <w:rFonts w:ascii="Arial" w:cs="Arial" w:eastAsia="Arial" w:hAnsi="Arial"/>
                <w:sz w:val="25"/>
                <w:szCs w:val="25"/>
                <w:color w:val="auto"/>
                <w:vertAlign w:val="superscript"/>
              </w:rPr>
              <w:t>(4)</w:t>
            </w:r>
          </w:p>
        </w:tc>
        <w:tc>
          <w:tcPr>
            <w:tcW w:w="1480" w:type="dxa"/>
            <w:vAlign w:val="bottom"/>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Pr>
          <w:p>
            <w:pPr>
              <w:jc w:val="right"/>
              <w:ind w:right="202"/>
              <w:spacing w:after="0"/>
              <w:rPr>
                <w:sz w:val="20"/>
                <w:szCs w:val="20"/>
                <w:color w:val="auto"/>
              </w:rPr>
            </w:pPr>
            <w:r>
              <w:rPr>
                <w:rFonts w:ascii="Arial" w:cs="Arial" w:eastAsia="Arial" w:hAnsi="Arial"/>
                <w:sz w:val="16"/>
                <w:szCs w:val="16"/>
                <w:color w:val="auto"/>
              </w:rPr>
              <w:t>0</w:t>
            </w:r>
          </w:p>
        </w:tc>
        <w:tc>
          <w:tcPr>
            <w:tcW w:w="1380" w:type="dxa"/>
            <w:vAlign w:val="bottom"/>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Pr>
          <w:p>
            <w:pPr>
              <w:jc w:val="right"/>
              <w:ind w:right="100"/>
              <w:spacing w:after="0"/>
              <w:rPr>
                <w:sz w:val="20"/>
                <w:szCs w:val="20"/>
                <w:color w:val="auto"/>
              </w:rPr>
            </w:pPr>
            <w:r>
              <w:rPr>
                <w:rFonts w:ascii="Arial" w:cs="Arial" w:eastAsia="Arial" w:hAnsi="Arial"/>
                <w:sz w:val="16"/>
                <w:szCs w:val="16"/>
                <w:color w:val="auto"/>
              </w:rPr>
              <w:t>470,511</w:t>
            </w:r>
          </w:p>
        </w:tc>
      </w:tr>
      <w:tr>
        <w:trPr>
          <w:trHeight w:val="184"/>
        </w:trPr>
        <w:tc>
          <w:tcPr>
            <w:tcW w:w="20" w:type="dxa"/>
            <w:vAlign w:val="bottom"/>
          </w:tcPr>
          <w:p>
            <w:pPr>
              <w:spacing w:after="0"/>
              <w:rPr>
                <w:sz w:val="16"/>
                <w:szCs w:val="16"/>
                <w:color w:val="auto"/>
              </w:rPr>
            </w:pPr>
          </w:p>
        </w:tc>
        <w:tc>
          <w:tcPr>
            <w:tcW w:w="1820" w:type="dxa"/>
            <w:vAlign w:val="bottom"/>
          </w:tcPr>
          <w:p>
            <w:pPr>
              <w:ind w:left="140"/>
              <w:spacing w:after="0"/>
              <w:rPr>
                <w:sz w:val="20"/>
                <w:szCs w:val="20"/>
                <w:color w:val="auto"/>
              </w:rPr>
            </w:pPr>
            <w:r>
              <w:rPr>
                <w:rFonts w:ascii="Arial" w:cs="Arial" w:eastAsia="Arial" w:hAnsi="Arial"/>
                <w:sz w:val="16"/>
                <w:szCs w:val="16"/>
                <w:color w:val="auto"/>
              </w:rPr>
              <w:t>Falck DCP</w:t>
            </w:r>
          </w:p>
        </w:tc>
        <w:tc>
          <w:tcPr>
            <w:tcW w:w="148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100" w:type="dxa"/>
            <w:vAlign w:val="bottom"/>
          </w:tcPr>
          <w:p>
            <w:pPr>
              <w:spacing w:after="0"/>
              <w:rPr>
                <w:sz w:val="16"/>
                <w:szCs w:val="16"/>
                <w:color w:val="auto"/>
              </w:rPr>
            </w:pPr>
          </w:p>
        </w:tc>
      </w:tr>
      <w:tr>
        <w:trPr>
          <w:trHeight w:val="188"/>
        </w:trPr>
        <w:tc>
          <w:tcPr>
            <w:tcW w:w="20" w:type="dxa"/>
            <w:vAlign w:val="bottom"/>
          </w:tcPr>
          <w:p>
            <w:pPr>
              <w:spacing w:after="0"/>
              <w:rPr>
                <w:sz w:val="16"/>
                <w:szCs w:val="16"/>
                <w:color w:val="auto"/>
              </w:rPr>
            </w:pPr>
          </w:p>
        </w:tc>
        <w:tc>
          <w:tcPr>
            <w:tcW w:w="1820" w:type="dxa"/>
            <w:vAlign w:val="bottom"/>
          </w:tcPr>
          <w:p>
            <w:pPr>
              <w:ind w:left="280"/>
              <w:spacing w:after="0"/>
              <w:rPr>
                <w:sz w:val="20"/>
                <w:szCs w:val="20"/>
                <w:color w:val="auto"/>
              </w:rPr>
            </w:pPr>
            <w:r>
              <w:rPr>
                <w:rFonts w:ascii="Arial" w:cs="Arial" w:eastAsia="Arial" w:hAnsi="Arial"/>
                <w:sz w:val="16"/>
                <w:szCs w:val="16"/>
                <w:color w:val="auto"/>
              </w:rPr>
              <w:t>Discretionary</w:t>
            </w:r>
          </w:p>
        </w:tc>
        <w:tc>
          <w:tcPr>
            <w:tcW w:w="148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1100" w:type="dxa"/>
            <w:vAlign w:val="bottom"/>
          </w:tcPr>
          <w:p>
            <w:pPr>
              <w:spacing w:after="0"/>
              <w:rPr>
                <w:sz w:val="16"/>
                <w:szCs w:val="16"/>
                <w:color w:val="auto"/>
              </w:rPr>
            </w:pPr>
          </w:p>
        </w:tc>
      </w:tr>
      <w:tr>
        <w:trPr>
          <w:trHeight w:val="234"/>
        </w:trPr>
        <w:tc>
          <w:tcPr>
            <w:tcW w:w="20" w:type="dxa"/>
            <w:vAlign w:val="bottom"/>
          </w:tcPr>
          <w:p>
            <w:pPr>
              <w:spacing w:after="0"/>
              <w:rPr>
                <w:sz w:val="20"/>
                <w:szCs w:val="20"/>
                <w:color w:val="auto"/>
              </w:rPr>
            </w:pPr>
          </w:p>
        </w:tc>
        <w:tc>
          <w:tcPr>
            <w:tcW w:w="1820" w:type="dxa"/>
            <w:vAlign w:val="bottom"/>
            <w:tcBorders>
              <w:bottom w:val="single" w:sz="8" w:color="auto"/>
            </w:tcBorders>
          </w:tcPr>
          <w:p>
            <w:pPr>
              <w:ind w:left="280"/>
              <w:spacing w:after="0" w:line="235" w:lineRule="exact"/>
              <w:rPr>
                <w:sz w:val="20"/>
                <w:szCs w:val="20"/>
                <w:color w:val="auto"/>
              </w:rPr>
            </w:pPr>
            <w:r>
              <w:rPr>
                <w:rFonts w:ascii="Arial" w:cs="Arial" w:eastAsia="Arial" w:hAnsi="Arial"/>
                <w:sz w:val="16"/>
                <w:szCs w:val="16"/>
                <w:color w:val="auto"/>
              </w:rPr>
              <w:t>Credits</w:t>
            </w:r>
            <w:r>
              <w:rPr>
                <w:rFonts w:ascii="Arial" w:cs="Arial" w:eastAsia="Arial" w:hAnsi="Arial"/>
                <w:sz w:val="26"/>
                <w:szCs w:val="26"/>
                <w:color w:val="auto"/>
                <w:vertAlign w:val="superscript"/>
              </w:rPr>
              <w:t>(6)</w:t>
            </w:r>
          </w:p>
        </w:tc>
        <w:tc>
          <w:tcPr>
            <w:tcW w:w="1480" w:type="dxa"/>
            <w:vAlign w:val="bottom"/>
            <w:tcBorders>
              <w:bottom w:val="single" w:sz="8" w:color="auto"/>
            </w:tcBorders>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Borders>
              <w:bottom w:val="single" w:sz="8" w:color="auto"/>
            </w:tcBorders>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Borders>
              <w:bottom w:val="single" w:sz="8" w:color="auto"/>
            </w:tcBorders>
          </w:tcPr>
          <w:p>
            <w:pPr>
              <w:jc w:val="right"/>
              <w:ind w:right="202"/>
              <w:spacing w:after="0"/>
              <w:rPr>
                <w:sz w:val="20"/>
                <w:szCs w:val="20"/>
                <w:color w:val="auto"/>
              </w:rPr>
            </w:pPr>
            <w:r>
              <w:rPr>
                <w:rFonts w:ascii="Arial" w:cs="Arial" w:eastAsia="Arial" w:hAnsi="Arial"/>
                <w:sz w:val="16"/>
                <w:szCs w:val="16"/>
                <w:color w:val="auto"/>
              </w:rPr>
              <w:t>42,238</w:t>
            </w:r>
          </w:p>
        </w:tc>
        <w:tc>
          <w:tcPr>
            <w:tcW w:w="1380" w:type="dxa"/>
            <w:vAlign w:val="bottom"/>
            <w:tcBorders>
              <w:bottom w:val="single" w:sz="8" w:color="auto"/>
            </w:tcBorders>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Borders>
              <w:bottom w:val="single" w:sz="8" w:color="auto"/>
            </w:tcBorders>
          </w:tcPr>
          <w:p>
            <w:pPr>
              <w:jc w:val="right"/>
              <w:ind w:right="100"/>
              <w:spacing w:after="0"/>
              <w:rPr>
                <w:sz w:val="20"/>
                <w:szCs w:val="20"/>
                <w:color w:val="auto"/>
              </w:rPr>
            </w:pPr>
            <w:r>
              <w:rPr>
                <w:rFonts w:ascii="Arial" w:cs="Arial" w:eastAsia="Arial" w:hAnsi="Arial"/>
                <w:sz w:val="16"/>
                <w:szCs w:val="16"/>
                <w:color w:val="auto"/>
              </w:rPr>
              <w:t>560,411</w:t>
            </w:r>
          </w:p>
        </w:tc>
      </w:tr>
      <w:tr>
        <w:trPr>
          <w:trHeight w:val="176"/>
        </w:trPr>
        <w:tc>
          <w:tcPr>
            <w:tcW w:w="20" w:type="dxa"/>
            <w:vAlign w:val="bottom"/>
          </w:tcPr>
          <w:p>
            <w:pPr>
              <w:spacing w:after="0"/>
              <w:rPr>
                <w:sz w:val="15"/>
                <w:szCs w:val="15"/>
                <w:color w:val="auto"/>
              </w:rPr>
            </w:pPr>
          </w:p>
        </w:tc>
        <w:tc>
          <w:tcPr>
            <w:tcW w:w="1820" w:type="dxa"/>
            <w:vAlign w:val="bottom"/>
            <w:shd w:val="clear" w:color="auto" w:fill="E3E5EB"/>
          </w:tcPr>
          <w:p>
            <w:pPr>
              <w:spacing w:after="0" w:line="176" w:lineRule="exact"/>
              <w:rPr>
                <w:sz w:val="20"/>
                <w:szCs w:val="20"/>
                <w:color w:val="auto"/>
              </w:rPr>
            </w:pPr>
            <w:r>
              <w:rPr>
                <w:rFonts w:ascii="Arial" w:cs="Arial" w:eastAsia="Arial" w:hAnsi="Arial"/>
                <w:sz w:val="16"/>
                <w:szCs w:val="16"/>
                <w:b w:val="1"/>
                <w:bCs w:val="1"/>
                <w:color w:val="auto"/>
              </w:rPr>
              <w:t>Mark A. Schiavoni:</w:t>
            </w:r>
          </w:p>
        </w:tc>
        <w:tc>
          <w:tcPr>
            <w:tcW w:w="1480" w:type="dxa"/>
            <w:vAlign w:val="bottom"/>
            <w:shd w:val="clear" w:color="auto" w:fill="E3E5EB"/>
          </w:tcPr>
          <w:p>
            <w:pPr>
              <w:spacing w:after="0"/>
              <w:rPr>
                <w:sz w:val="15"/>
                <w:szCs w:val="15"/>
                <w:color w:val="auto"/>
              </w:rPr>
            </w:pPr>
          </w:p>
        </w:tc>
        <w:tc>
          <w:tcPr>
            <w:tcW w:w="1440" w:type="dxa"/>
            <w:vAlign w:val="bottom"/>
            <w:shd w:val="clear" w:color="auto" w:fill="E3E5EB"/>
          </w:tcPr>
          <w:p>
            <w:pPr>
              <w:spacing w:after="0"/>
              <w:rPr>
                <w:sz w:val="15"/>
                <w:szCs w:val="15"/>
                <w:color w:val="auto"/>
              </w:rPr>
            </w:pPr>
          </w:p>
        </w:tc>
        <w:tc>
          <w:tcPr>
            <w:tcW w:w="1140" w:type="dxa"/>
            <w:vAlign w:val="bottom"/>
            <w:shd w:val="clear" w:color="auto" w:fill="E3E5EB"/>
          </w:tcPr>
          <w:p>
            <w:pPr>
              <w:spacing w:after="0"/>
              <w:rPr>
                <w:sz w:val="15"/>
                <w:szCs w:val="15"/>
                <w:color w:val="auto"/>
              </w:rPr>
            </w:pPr>
          </w:p>
        </w:tc>
        <w:tc>
          <w:tcPr>
            <w:tcW w:w="1380" w:type="dxa"/>
            <w:vAlign w:val="bottom"/>
            <w:shd w:val="clear" w:color="auto" w:fill="E3E5EB"/>
          </w:tcPr>
          <w:p>
            <w:pPr>
              <w:spacing w:after="0"/>
              <w:rPr>
                <w:sz w:val="15"/>
                <w:szCs w:val="15"/>
                <w:color w:val="auto"/>
              </w:rPr>
            </w:pPr>
          </w:p>
        </w:tc>
        <w:tc>
          <w:tcPr>
            <w:tcW w:w="1100" w:type="dxa"/>
            <w:vAlign w:val="bottom"/>
            <w:shd w:val="clear" w:color="auto" w:fill="E3E5EB"/>
          </w:tcPr>
          <w:p>
            <w:pPr>
              <w:spacing w:after="0"/>
              <w:rPr>
                <w:sz w:val="15"/>
                <w:szCs w:val="15"/>
                <w:color w:val="auto"/>
              </w:rPr>
            </w:pPr>
          </w:p>
        </w:tc>
      </w:tr>
      <w:tr>
        <w:trPr>
          <w:trHeight w:val="184"/>
        </w:trPr>
        <w:tc>
          <w:tcPr>
            <w:tcW w:w="20" w:type="dxa"/>
            <w:vAlign w:val="bottom"/>
          </w:tcPr>
          <w:p>
            <w:pPr>
              <w:spacing w:after="0"/>
              <w:rPr>
                <w:sz w:val="16"/>
                <w:szCs w:val="16"/>
                <w:color w:val="auto"/>
              </w:rPr>
            </w:pPr>
          </w:p>
        </w:tc>
        <w:tc>
          <w:tcPr>
            <w:tcW w:w="1820" w:type="dxa"/>
            <w:vAlign w:val="bottom"/>
            <w:shd w:val="clear" w:color="auto" w:fill="E3E5EB"/>
          </w:tcPr>
          <w:p>
            <w:pPr>
              <w:ind w:left="140"/>
              <w:spacing w:after="0"/>
              <w:rPr>
                <w:sz w:val="20"/>
                <w:szCs w:val="20"/>
                <w:color w:val="auto"/>
              </w:rPr>
            </w:pPr>
            <w:r>
              <w:rPr>
                <w:rFonts w:ascii="Arial" w:cs="Arial" w:eastAsia="Arial" w:hAnsi="Arial"/>
                <w:sz w:val="16"/>
                <w:szCs w:val="16"/>
                <w:color w:val="auto"/>
              </w:rPr>
              <w:t>2005 Plan</w:t>
            </w:r>
          </w:p>
        </w:tc>
        <w:tc>
          <w:tcPr>
            <w:tcW w:w="1480" w:type="dxa"/>
            <w:vAlign w:val="bottom"/>
            <w:shd w:val="clear" w:color="auto" w:fill="E3E5EB"/>
          </w:tcPr>
          <w:p>
            <w:pPr>
              <w:jc w:val="right"/>
              <w:ind w:right="362"/>
              <w:spacing w:after="0"/>
              <w:rPr>
                <w:sz w:val="20"/>
                <w:szCs w:val="20"/>
                <w:color w:val="auto"/>
              </w:rPr>
            </w:pPr>
            <w:r>
              <w:rPr>
                <w:rFonts w:ascii="Arial" w:cs="Arial" w:eastAsia="Arial" w:hAnsi="Arial"/>
                <w:sz w:val="16"/>
                <w:szCs w:val="16"/>
                <w:color w:val="auto"/>
              </w:rPr>
              <w:t>55,803</w:t>
            </w:r>
          </w:p>
        </w:tc>
        <w:tc>
          <w:tcPr>
            <w:tcW w:w="1440" w:type="dxa"/>
            <w:vAlign w:val="bottom"/>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shd w:val="clear" w:color="auto" w:fill="E3E5EB"/>
          </w:tcPr>
          <w:p>
            <w:pPr>
              <w:jc w:val="right"/>
              <w:ind w:right="202"/>
              <w:spacing w:after="0"/>
              <w:rPr>
                <w:sz w:val="20"/>
                <w:szCs w:val="20"/>
                <w:color w:val="auto"/>
              </w:rPr>
            </w:pPr>
            <w:r>
              <w:rPr>
                <w:rFonts w:ascii="Arial" w:cs="Arial" w:eastAsia="Arial" w:hAnsi="Arial"/>
                <w:sz w:val="16"/>
                <w:szCs w:val="16"/>
                <w:color w:val="auto"/>
              </w:rPr>
              <w:t>28,917</w:t>
            </w:r>
          </w:p>
        </w:tc>
        <w:tc>
          <w:tcPr>
            <w:tcW w:w="1380" w:type="dxa"/>
            <w:vAlign w:val="bottom"/>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shd w:val="clear" w:color="auto" w:fill="E3E5EB"/>
          </w:tcPr>
          <w:p>
            <w:pPr>
              <w:jc w:val="right"/>
              <w:ind w:right="100"/>
              <w:spacing w:after="0"/>
              <w:rPr>
                <w:sz w:val="20"/>
                <w:szCs w:val="20"/>
                <w:color w:val="auto"/>
              </w:rPr>
            </w:pPr>
            <w:r>
              <w:rPr>
                <w:rFonts w:ascii="Arial" w:cs="Arial" w:eastAsia="Arial" w:hAnsi="Arial"/>
                <w:sz w:val="16"/>
                <w:szCs w:val="16"/>
                <w:color w:val="auto"/>
              </w:rPr>
              <w:t>413,967</w:t>
            </w:r>
          </w:p>
        </w:tc>
      </w:tr>
      <w:tr>
        <w:trPr>
          <w:trHeight w:val="221"/>
        </w:trPr>
        <w:tc>
          <w:tcPr>
            <w:tcW w:w="20" w:type="dxa"/>
            <w:vAlign w:val="bottom"/>
          </w:tcPr>
          <w:p>
            <w:pPr>
              <w:spacing w:after="0"/>
              <w:rPr>
                <w:sz w:val="19"/>
                <w:szCs w:val="19"/>
                <w:color w:val="auto"/>
              </w:rPr>
            </w:pPr>
          </w:p>
        </w:tc>
        <w:tc>
          <w:tcPr>
            <w:tcW w:w="1820" w:type="dxa"/>
            <w:vAlign w:val="bottom"/>
            <w:tcBorders>
              <w:bottom w:val="single" w:sz="8" w:color="395775"/>
            </w:tcBorders>
            <w:shd w:val="clear" w:color="auto" w:fill="E3E5EB"/>
          </w:tcPr>
          <w:p>
            <w:pPr>
              <w:ind w:left="140"/>
              <w:spacing w:after="0" w:line="221" w:lineRule="exact"/>
              <w:rPr>
                <w:sz w:val="20"/>
                <w:szCs w:val="20"/>
                <w:color w:val="auto"/>
              </w:rPr>
            </w:pPr>
            <w:r>
              <w:rPr>
                <w:rFonts w:ascii="Arial" w:cs="Arial" w:eastAsia="Arial" w:hAnsi="Arial"/>
                <w:sz w:val="15"/>
                <w:szCs w:val="15"/>
                <w:color w:val="auto"/>
              </w:rPr>
              <w:t>Supplemental RSUs</w:t>
            </w:r>
            <w:r>
              <w:rPr>
                <w:rFonts w:ascii="Arial" w:cs="Arial" w:eastAsia="Arial" w:hAnsi="Arial"/>
                <w:sz w:val="25"/>
                <w:szCs w:val="25"/>
                <w:color w:val="auto"/>
                <w:vertAlign w:val="superscript"/>
              </w:rPr>
              <w:t>(4)</w:t>
            </w:r>
          </w:p>
        </w:tc>
        <w:tc>
          <w:tcPr>
            <w:tcW w:w="1480" w:type="dxa"/>
            <w:vAlign w:val="bottom"/>
            <w:tcBorders>
              <w:bottom w:val="single" w:sz="8" w:color="395775"/>
            </w:tcBorders>
            <w:shd w:val="clear" w:color="auto" w:fill="E3E5EB"/>
          </w:tcPr>
          <w:p>
            <w:pPr>
              <w:jc w:val="right"/>
              <w:ind w:right="362"/>
              <w:spacing w:after="0"/>
              <w:rPr>
                <w:sz w:val="20"/>
                <w:szCs w:val="20"/>
                <w:color w:val="auto"/>
              </w:rPr>
            </w:pPr>
            <w:r>
              <w:rPr>
                <w:rFonts w:ascii="Arial" w:cs="Arial" w:eastAsia="Arial" w:hAnsi="Arial"/>
                <w:sz w:val="16"/>
                <w:szCs w:val="16"/>
                <w:color w:val="auto"/>
              </w:rPr>
              <w:t>0</w:t>
            </w:r>
          </w:p>
        </w:tc>
        <w:tc>
          <w:tcPr>
            <w:tcW w:w="1440" w:type="dxa"/>
            <w:vAlign w:val="bottom"/>
            <w:tcBorders>
              <w:bottom w:val="single" w:sz="8" w:color="395775"/>
            </w:tcBorders>
            <w:shd w:val="clear" w:color="auto" w:fill="E3E5EB"/>
          </w:tcPr>
          <w:p>
            <w:pPr>
              <w:jc w:val="right"/>
              <w:ind w:right="300"/>
              <w:spacing w:after="0"/>
              <w:rPr>
                <w:sz w:val="20"/>
                <w:szCs w:val="20"/>
                <w:color w:val="auto"/>
              </w:rPr>
            </w:pPr>
            <w:r>
              <w:rPr>
                <w:rFonts w:ascii="Arial" w:cs="Arial" w:eastAsia="Arial" w:hAnsi="Arial"/>
                <w:sz w:val="16"/>
                <w:szCs w:val="16"/>
                <w:color w:val="auto"/>
              </w:rPr>
              <w:t>0</w:t>
            </w:r>
          </w:p>
        </w:tc>
        <w:tc>
          <w:tcPr>
            <w:tcW w:w="1140" w:type="dxa"/>
            <w:vAlign w:val="bottom"/>
            <w:tcBorders>
              <w:bottom w:val="single" w:sz="8" w:color="395775"/>
            </w:tcBorders>
            <w:shd w:val="clear" w:color="auto" w:fill="E3E5EB"/>
          </w:tcPr>
          <w:p>
            <w:pPr>
              <w:jc w:val="right"/>
              <w:ind w:right="202"/>
              <w:spacing w:after="0"/>
              <w:rPr>
                <w:sz w:val="20"/>
                <w:szCs w:val="20"/>
                <w:color w:val="auto"/>
              </w:rPr>
            </w:pPr>
            <w:r>
              <w:rPr>
                <w:rFonts w:ascii="Arial" w:cs="Arial" w:eastAsia="Arial" w:hAnsi="Arial"/>
                <w:sz w:val="16"/>
                <w:szCs w:val="16"/>
                <w:color w:val="auto"/>
              </w:rPr>
              <w:t>0</w:t>
            </w:r>
          </w:p>
        </w:tc>
        <w:tc>
          <w:tcPr>
            <w:tcW w:w="1380" w:type="dxa"/>
            <w:vAlign w:val="bottom"/>
            <w:tcBorders>
              <w:bottom w:val="single" w:sz="8" w:color="395775"/>
            </w:tcBorders>
            <w:shd w:val="clear" w:color="auto" w:fill="E3E5EB"/>
          </w:tcPr>
          <w:p>
            <w:pPr>
              <w:jc w:val="right"/>
              <w:ind w:right="522"/>
              <w:spacing w:after="0"/>
              <w:rPr>
                <w:sz w:val="20"/>
                <w:szCs w:val="20"/>
                <w:color w:val="auto"/>
              </w:rPr>
            </w:pPr>
            <w:r>
              <w:rPr>
                <w:rFonts w:ascii="Arial" w:cs="Arial" w:eastAsia="Arial" w:hAnsi="Arial"/>
                <w:sz w:val="16"/>
                <w:szCs w:val="16"/>
                <w:color w:val="auto"/>
              </w:rPr>
              <w:t>0</w:t>
            </w:r>
          </w:p>
        </w:tc>
        <w:tc>
          <w:tcPr>
            <w:tcW w:w="1100" w:type="dxa"/>
            <w:vAlign w:val="bottom"/>
            <w:tcBorders>
              <w:bottom w:val="single" w:sz="8" w:color="395775"/>
            </w:tcBorders>
            <w:shd w:val="clear" w:color="auto" w:fill="E3E5EB"/>
          </w:tcPr>
          <w:p>
            <w:pPr>
              <w:jc w:val="right"/>
              <w:ind w:right="100"/>
              <w:spacing w:after="0"/>
              <w:rPr>
                <w:sz w:val="20"/>
                <w:szCs w:val="20"/>
                <w:color w:val="auto"/>
              </w:rPr>
            </w:pPr>
            <w:r>
              <w:rPr>
                <w:rFonts w:ascii="Arial" w:cs="Arial" w:eastAsia="Arial" w:hAnsi="Arial"/>
                <w:sz w:val="16"/>
                <w:szCs w:val="16"/>
                <w:color w:val="auto"/>
              </w:rPr>
              <w:t>470,511</w:t>
            </w:r>
          </w:p>
        </w:tc>
      </w:tr>
    </w:tbl>
    <w:p>
      <w:pPr>
        <w:spacing w:after="0" w:line="302" w:lineRule="exact"/>
        <w:rPr>
          <w:rFonts w:ascii="Arial" w:cs="Arial" w:eastAsia="Arial" w:hAnsi="Arial"/>
          <w:sz w:val="13"/>
          <w:szCs w:val="13"/>
          <w:b w:val="1"/>
          <w:bCs w:val="1"/>
          <w:color w:val="FFFFFE"/>
        </w:rPr>
      </w:pPr>
    </w:p>
    <w:p>
      <w:pPr>
        <w:ind w:left="1860" w:right="420" w:hanging="490"/>
        <w:spacing w:after="0" w:line="259" w:lineRule="auto"/>
        <w:tabs>
          <w:tab w:leader="none" w:pos="1860" w:val="left"/>
        </w:tabs>
        <w:numPr>
          <w:ilvl w:val="0"/>
          <w:numId w:val="94"/>
        </w:numPr>
        <w:rPr>
          <w:rFonts w:ascii="Arial" w:cs="Arial" w:eastAsia="Arial" w:hAnsi="Arial"/>
          <w:sz w:val="16"/>
          <w:szCs w:val="16"/>
          <w:color w:val="auto"/>
        </w:rPr>
      </w:pPr>
      <w:r>
        <w:rPr>
          <w:rFonts w:ascii="Arial" w:cs="Arial" w:eastAsia="Arial" w:hAnsi="Arial"/>
          <w:sz w:val="16"/>
          <w:szCs w:val="16"/>
          <w:color w:val="auto"/>
        </w:rPr>
        <w:t>The amount of the executive contribution is solely from the voluntary deferral by the executive of the executive's designated compensation and does not include any separate Company contribution. These deferred amounts are included in the "Salary" and "Non-Equity Incentive Plan Compensation" columns in the Summary Compensation Table.</w:t>
      </w:r>
    </w:p>
    <w:p>
      <w:pPr>
        <w:spacing w:after="0" w:line="140" w:lineRule="exact"/>
        <w:rPr>
          <w:rFonts w:ascii="Arial" w:cs="Arial" w:eastAsia="Arial" w:hAnsi="Arial"/>
          <w:sz w:val="16"/>
          <w:szCs w:val="16"/>
          <w:color w:val="auto"/>
        </w:rPr>
      </w:pPr>
    </w:p>
    <w:p>
      <w:pPr>
        <w:ind w:left="1860" w:right="120" w:hanging="490"/>
        <w:spacing w:after="0" w:line="253" w:lineRule="auto"/>
        <w:tabs>
          <w:tab w:leader="none" w:pos="1860" w:val="left"/>
        </w:tabs>
        <w:numPr>
          <w:ilvl w:val="0"/>
          <w:numId w:val="94"/>
        </w:numPr>
        <w:rPr>
          <w:rFonts w:ascii="Arial" w:cs="Arial" w:eastAsia="Arial" w:hAnsi="Arial"/>
          <w:sz w:val="16"/>
          <w:szCs w:val="16"/>
          <w:color w:val="auto"/>
        </w:rPr>
      </w:pPr>
      <w:r>
        <w:rPr>
          <w:rFonts w:ascii="Arial" w:cs="Arial" w:eastAsia="Arial" w:hAnsi="Arial"/>
          <w:sz w:val="16"/>
          <w:szCs w:val="16"/>
          <w:color w:val="auto"/>
        </w:rPr>
        <w:t>A portion of the amounts reported in this column is the above-market portion of interest accrued under the deferred compensation plan (also reported as compensation in the Summary Compensation Table), including: Mr. Brandt — $63,553; Mr. Hatfield — $5,235;</w:t>
      </w:r>
    </w:p>
    <w:p>
      <w:pPr>
        <w:ind w:left="1860"/>
        <w:spacing w:after="0"/>
        <w:rPr>
          <w:rFonts w:ascii="Arial" w:cs="Arial" w:eastAsia="Arial" w:hAnsi="Arial"/>
          <w:sz w:val="16"/>
          <w:szCs w:val="16"/>
          <w:color w:val="auto"/>
        </w:rPr>
      </w:pPr>
      <w:r>
        <w:rPr>
          <w:rFonts w:ascii="Arial" w:cs="Arial" w:eastAsia="Arial" w:hAnsi="Arial"/>
          <w:sz w:val="16"/>
          <w:szCs w:val="16"/>
          <w:color w:val="auto"/>
        </w:rPr>
        <w:t>Mr. Edington — $237,530; Mr. Falck — $26,019; and Mr. Schiavoni — $16,865.</w:t>
      </w:r>
    </w:p>
    <w:p>
      <w:pPr>
        <w:spacing w:after="0" w:line="163" w:lineRule="exact"/>
        <w:rPr>
          <w:rFonts w:ascii="Arial" w:cs="Arial" w:eastAsia="Arial" w:hAnsi="Arial"/>
          <w:sz w:val="16"/>
          <w:szCs w:val="16"/>
          <w:color w:val="auto"/>
        </w:rPr>
      </w:pPr>
    </w:p>
    <w:p>
      <w:pPr>
        <w:jc w:val="both"/>
        <w:ind w:left="1860" w:right="220" w:hanging="490"/>
        <w:spacing w:after="0" w:line="262" w:lineRule="auto"/>
        <w:tabs>
          <w:tab w:leader="none" w:pos="1860" w:val="left"/>
        </w:tabs>
        <w:numPr>
          <w:ilvl w:val="0"/>
          <w:numId w:val="94"/>
        </w:numPr>
        <w:rPr>
          <w:rFonts w:ascii="Arial" w:cs="Arial" w:eastAsia="Arial" w:hAnsi="Arial"/>
          <w:sz w:val="15"/>
          <w:szCs w:val="15"/>
          <w:color w:val="auto"/>
        </w:rPr>
      </w:pPr>
      <w:r>
        <w:rPr>
          <w:rFonts w:ascii="Arial" w:cs="Arial" w:eastAsia="Arial" w:hAnsi="Arial"/>
          <w:sz w:val="15"/>
          <w:szCs w:val="15"/>
          <w:color w:val="auto"/>
        </w:rPr>
        <w:t>The historical contributions of each Named Executive Officer to his aggregate balance at December 31, 2015, including "market rate" interest (as defined by the SEC) from the date of each contribution, is as follows: Mr. Brandt — $1,166,306; Mr. Hatfield — $106,545; Mr. Edington — $2,905,682; Mr. Falck — $0; and Mr. Schiavoni — $365,859. Of the totals in this column, the following amounts have been reported in the Summary Compensation Table in this Proxy Statement or in the Company's prior Proxy Statements:</w:t>
      </w:r>
    </w:p>
    <w:p>
      <w:pPr>
        <w:spacing w:after="0" w:line="2" w:lineRule="exact"/>
        <w:rPr>
          <w:rFonts w:ascii="Arial" w:cs="Arial" w:eastAsia="Arial" w:hAnsi="Arial"/>
          <w:sz w:val="15"/>
          <w:szCs w:val="15"/>
          <w:color w:val="auto"/>
        </w:rPr>
      </w:pPr>
    </w:p>
    <w:p>
      <w:pPr>
        <w:ind w:left="1860"/>
        <w:spacing w:after="0"/>
        <w:rPr>
          <w:rFonts w:ascii="Arial" w:cs="Arial" w:eastAsia="Arial" w:hAnsi="Arial"/>
          <w:sz w:val="15"/>
          <w:szCs w:val="15"/>
          <w:color w:val="auto"/>
        </w:rPr>
      </w:pPr>
      <w:r>
        <w:rPr>
          <w:rFonts w:ascii="Arial" w:cs="Arial" w:eastAsia="Arial" w:hAnsi="Arial"/>
          <w:sz w:val="15"/>
          <w:szCs w:val="15"/>
          <w:color w:val="auto"/>
        </w:rPr>
        <w:t>Mr. Brandt — $1,158,655; Mr. Hatfield — $110,585; Mr. Edington — $3,172,609; Mr. Falck — $112,690; and Mr. Schiavoni — $248,445.</w:t>
      </w:r>
    </w:p>
    <w:p>
      <w:pPr>
        <w:spacing w:after="0" w:line="107"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79</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88" w:name="page89"/>
    <w:bookmarkEnd w:id="88"/>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0" w:lineRule="exact"/>
        <w:rPr>
          <w:rFonts w:ascii="Arial" w:cs="Arial" w:eastAsia="Arial" w:hAnsi="Arial"/>
          <w:sz w:val="13"/>
          <w:szCs w:val="13"/>
          <w:b w:val="1"/>
          <w:bCs w:val="1"/>
          <w:color w:val="FFFFFE"/>
        </w:rPr>
      </w:pPr>
    </w:p>
    <w:p>
      <w:pPr>
        <w:ind w:left="2340" w:right="120"/>
        <w:spacing w:after="0" w:line="269" w:lineRule="auto"/>
        <w:rPr>
          <w:sz w:val="20"/>
          <w:szCs w:val="20"/>
          <w:color w:val="auto"/>
        </w:rPr>
      </w:pPr>
      <w:r>
        <w:rPr>
          <w:rFonts w:ascii="Arial" w:cs="Arial" w:eastAsia="Arial" w:hAnsi="Arial"/>
          <w:sz w:val="15"/>
          <w:szCs w:val="15"/>
          <w:color w:val="auto"/>
        </w:rPr>
        <w:t>(4)Supplemental RSUs were granted to each of the Named Executive Officers in 2011 and vested over a four-year period and earned additional Supplemental RSU's resulting from notional dividends on the vested Supplemental RSU's. The amount in the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-234315</wp:posOffset>
            </wp:positionV>
            <wp:extent cx="1487805" cy="15557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1860" w:right="220"/>
        <w:spacing w:after="0" w:line="246" w:lineRule="auto"/>
        <w:rPr>
          <w:sz w:val="20"/>
          <w:szCs w:val="20"/>
          <w:color w:val="auto"/>
        </w:rPr>
      </w:pPr>
      <w:r>
        <w:rPr>
          <w:rFonts w:ascii="Arial" w:cs="Arial" w:eastAsia="Arial" w:hAnsi="Arial"/>
          <w:sz w:val="16"/>
          <w:szCs w:val="16"/>
          <w:color w:val="auto"/>
        </w:rPr>
        <w:t>"Aggregate Balance at Last Fiscal Year End" column is calculated by multiplying the closing market price of our common stock at the end of 2015 ($64.48 per share as of December 31, 2015) by the number of vested Supplemental RSUs. The following table shows historical vesting by year:</w:t>
      </w:r>
    </w:p>
    <w:p>
      <w:pPr>
        <w:spacing w:after="0" w:line="160" w:lineRule="exact"/>
        <w:rPr>
          <w:rFonts w:ascii="Arial" w:cs="Arial" w:eastAsia="Arial" w:hAnsi="Arial"/>
          <w:sz w:val="13"/>
          <w:szCs w:val="13"/>
          <w:b w:val="1"/>
          <w:bCs w:val="1"/>
          <w:color w:val="FFFFFE"/>
        </w:rPr>
      </w:pPr>
    </w:p>
    <w:tbl>
      <w:tblPr>
        <w:tblLayout w:type="fixed"/>
        <w:tblInd w:w="1360" w:type="dxa"/>
        <w:tblCellMar>
          <w:top w:w="0" w:type="dxa"/>
          <w:left w:w="0" w:type="dxa"/>
          <w:bottom w:w="0" w:type="dxa"/>
          <w:right w:w="0" w:type="dxa"/>
        </w:tblCellMar>
      </w:tblPr>
      <w:tr>
        <w:trPr>
          <w:trHeight w:val="184"/>
        </w:trPr>
        <w:tc>
          <w:tcPr>
            <w:tcW w:w="2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320" w:type="dxa"/>
            <w:vAlign w:val="bottom"/>
          </w:tcPr>
          <w:p>
            <w:pPr>
              <w:jc w:val="center"/>
              <w:spacing w:after="0"/>
              <w:rPr>
                <w:sz w:val="20"/>
                <w:szCs w:val="20"/>
                <w:color w:val="auto"/>
              </w:rPr>
            </w:pPr>
            <w:r>
              <w:rPr>
                <w:rFonts w:ascii="Arial" w:cs="Arial" w:eastAsia="Arial" w:hAnsi="Arial"/>
                <w:sz w:val="16"/>
                <w:szCs w:val="16"/>
                <w:b w:val="1"/>
                <w:bCs w:val="1"/>
                <w:color w:val="3A5575"/>
              </w:rPr>
              <w:t>NOTIONAL</w:t>
            </w:r>
          </w:p>
        </w:tc>
        <w:tc>
          <w:tcPr>
            <w:tcW w:w="42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2840" w:type="dxa"/>
            <w:vAlign w:val="bottom"/>
            <w:gridSpan w:val="2"/>
          </w:tcPr>
          <w:p>
            <w:pPr>
              <w:jc w:val="center"/>
              <w:ind w:left="1380"/>
              <w:spacing w:after="0"/>
              <w:rPr>
                <w:sz w:val="20"/>
                <w:szCs w:val="20"/>
                <w:color w:val="auto"/>
              </w:rPr>
            </w:pPr>
            <w:r>
              <w:rPr>
                <w:rFonts w:ascii="Arial" w:cs="Arial" w:eastAsia="Arial" w:hAnsi="Arial"/>
                <w:sz w:val="16"/>
                <w:szCs w:val="16"/>
                <w:b w:val="1"/>
                <w:bCs w:val="1"/>
                <w:color w:val="3A5575"/>
                <w:w w:val="99"/>
              </w:rPr>
              <w:t>SUPPLEMENTAL</w:t>
            </w:r>
          </w:p>
        </w:tc>
        <w:tc>
          <w:tcPr>
            <w:tcW w:w="6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320" w:type="dxa"/>
            <w:vAlign w:val="bottom"/>
          </w:tcPr>
          <w:p>
            <w:pPr>
              <w:jc w:val="center"/>
              <w:spacing w:after="0"/>
              <w:rPr>
                <w:sz w:val="20"/>
                <w:szCs w:val="20"/>
                <w:color w:val="auto"/>
              </w:rPr>
            </w:pPr>
            <w:r>
              <w:rPr>
                <w:rFonts w:ascii="Arial" w:cs="Arial" w:eastAsia="Arial" w:hAnsi="Arial"/>
                <w:sz w:val="16"/>
                <w:szCs w:val="16"/>
                <w:b w:val="1"/>
                <w:bCs w:val="1"/>
                <w:color w:val="3A5575"/>
                <w:w w:val="97"/>
              </w:rPr>
              <w:t>SUPPLEMENTAL</w:t>
            </w:r>
          </w:p>
        </w:tc>
        <w:tc>
          <w:tcPr>
            <w:tcW w:w="42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120" w:type="dxa"/>
            <w:vAlign w:val="bottom"/>
          </w:tcPr>
          <w:p>
            <w:pPr>
              <w:jc w:val="center"/>
              <w:ind w:right="180"/>
              <w:spacing w:after="0"/>
              <w:rPr>
                <w:sz w:val="20"/>
                <w:szCs w:val="20"/>
                <w:color w:val="auto"/>
              </w:rPr>
            </w:pPr>
            <w:r>
              <w:rPr>
                <w:rFonts w:ascii="Arial" w:cs="Arial" w:eastAsia="Arial" w:hAnsi="Arial"/>
                <w:sz w:val="16"/>
                <w:szCs w:val="16"/>
                <w:b w:val="1"/>
                <w:bCs w:val="1"/>
                <w:color w:val="3A5575"/>
                <w:w w:val="98"/>
              </w:rPr>
              <w:t>RSUs</w:t>
            </w:r>
          </w:p>
        </w:tc>
        <w:tc>
          <w:tcPr>
            <w:tcW w:w="6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320" w:type="dxa"/>
            <w:vAlign w:val="bottom"/>
          </w:tcPr>
          <w:p>
            <w:pPr>
              <w:jc w:val="center"/>
              <w:spacing w:after="0"/>
              <w:rPr>
                <w:sz w:val="20"/>
                <w:szCs w:val="20"/>
                <w:color w:val="auto"/>
              </w:rPr>
            </w:pPr>
            <w:r>
              <w:rPr>
                <w:rFonts w:ascii="Arial" w:cs="Arial" w:eastAsia="Arial" w:hAnsi="Arial"/>
                <w:sz w:val="16"/>
                <w:szCs w:val="16"/>
                <w:b w:val="1"/>
                <w:bCs w:val="1"/>
                <w:color w:val="3A5575"/>
              </w:rPr>
              <w:t>RSUs</w:t>
            </w:r>
          </w:p>
        </w:tc>
        <w:tc>
          <w:tcPr>
            <w:tcW w:w="420" w:type="dxa"/>
            <w:vAlign w:val="bottom"/>
          </w:tcPr>
          <w:p>
            <w:pPr>
              <w:spacing w:after="0"/>
              <w:rPr>
                <w:sz w:val="16"/>
                <w:szCs w:val="16"/>
                <w:color w:val="auto"/>
              </w:rPr>
            </w:pPr>
          </w:p>
        </w:tc>
      </w:tr>
      <w:tr>
        <w:trPr>
          <w:trHeight w:val="203"/>
        </w:trPr>
        <w:tc>
          <w:tcPr>
            <w:tcW w:w="20" w:type="dxa"/>
            <w:vAlign w:val="bottom"/>
          </w:tcPr>
          <w:p>
            <w:pPr>
              <w:spacing w:after="0"/>
              <w:rPr>
                <w:sz w:val="17"/>
                <w:szCs w:val="17"/>
                <w:color w:val="auto"/>
              </w:rPr>
            </w:pPr>
          </w:p>
        </w:tc>
        <w:tc>
          <w:tcPr>
            <w:tcW w:w="2440" w:type="dxa"/>
            <w:vAlign w:val="bottom"/>
            <w:tcBorders>
              <w:bottom w:val="single" w:sz="8" w:color="395775"/>
            </w:tcBorders>
          </w:tcPr>
          <w:p>
            <w:pPr>
              <w:spacing w:after="0"/>
              <w:rPr>
                <w:sz w:val="17"/>
                <w:szCs w:val="17"/>
                <w:color w:val="auto"/>
              </w:rPr>
            </w:pPr>
          </w:p>
        </w:tc>
        <w:tc>
          <w:tcPr>
            <w:tcW w:w="1720" w:type="dxa"/>
            <w:vAlign w:val="bottom"/>
            <w:tcBorders>
              <w:bottom w:val="single" w:sz="8" w:color="395775"/>
            </w:tcBorders>
          </w:tcPr>
          <w:p>
            <w:pPr>
              <w:jc w:val="right"/>
              <w:ind w:right="200"/>
              <w:spacing w:after="0"/>
              <w:rPr>
                <w:sz w:val="20"/>
                <w:szCs w:val="20"/>
                <w:color w:val="auto"/>
              </w:rPr>
            </w:pPr>
            <w:r>
              <w:rPr>
                <w:rFonts w:ascii="Arial" w:cs="Arial" w:eastAsia="Arial" w:hAnsi="Arial"/>
                <w:sz w:val="16"/>
                <w:szCs w:val="16"/>
                <w:b w:val="1"/>
                <w:bCs w:val="1"/>
                <w:color w:val="3A5575"/>
              </w:rPr>
              <w:t>2013</w:t>
            </w:r>
          </w:p>
        </w:tc>
        <w:tc>
          <w:tcPr>
            <w:tcW w:w="1120" w:type="dxa"/>
            <w:vAlign w:val="bottom"/>
            <w:tcBorders>
              <w:bottom w:val="single" w:sz="8" w:color="395775"/>
            </w:tcBorders>
          </w:tcPr>
          <w:p>
            <w:pPr>
              <w:jc w:val="center"/>
              <w:ind w:right="100"/>
              <w:spacing w:after="0"/>
              <w:rPr>
                <w:sz w:val="20"/>
                <w:szCs w:val="20"/>
                <w:color w:val="auto"/>
              </w:rPr>
            </w:pPr>
            <w:r>
              <w:rPr>
                <w:rFonts w:ascii="Arial" w:cs="Arial" w:eastAsia="Arial" w:hAnsi="Arial"/>
                <w:sz w:val="16"/>
                <w:szCs w:val="16"/>
                <w:b w:val="1"/>
                <w:bCs w:val="1"/>
                <w:color w:val="3A5575"/>
                <w:w w:val="95"/>
              </w:rPr>
              <w:t>2014</w:t>
            </w:r>
          </w:p>
        </w:tc>
        <w:tc>
          <w:tcPr>
            <w:tcW w:w="680" w:type="dxa"/>
            <w:vAlign w:val="bottom"/>
            <w:tcBorders>
              <w:bottom w:val="single" w:sz="8" w:color="395775"/>
            </w:tcBorders>
          </w:tcPr>
          <w:p>
            <w:pPr>
              <w:jc w:val="right"/>
              <w:ind w:right="180"/>
              <w:spacing w:after="0"/>
              <w:rPr>
                <w:sz w:val="20"/>
                <w:szCs w:val="20"/>
                <w:color w:val="auto"/>
              </w:rPr>
            </w:pPr>
            <w:r>
              <w:rPr>
                <w:rFonts w:ascii="Arial" w:cs="Arial" w:eastAsia="Arial" w:hAnsi="Arial"/>
                <w:sz w:val="16"/>
                <w:szCs w:val="16"/>
                <w:b w:val="1"/>
                <w:bCs w:val="1"/>
                <w:color w:val="3A5575"/>
              </w:rPr>
              <w:t>2015</w:t>
            </w:r>
          </w:p>
        </w:tc>
        <w:tc>
          <w:tcPr>
            <w:tcW w:w="660" w:type="dxa"/>
            <w:vAlign w:val="bottom"/>
            <w:tcBorders>
              <w:bottom w:val="single" w:sz="8" w:color="395775"/>
            </w:tcBorders>
          </w:tcPr>
          <w:p>
            <w:pPr>
              <w:jc w:val="right"/>
              <w:spacing w:after="0"/>
              <w:rPr>
                <w:sz w:val="20"/>
                <w:szCs w:val="20"/>
                <w:color w:val="auto"/>
              </w:rPr>
            </w:pPr>
            <w:r>
              <w:rPr>
                <w:rFonts w:ascii="Arial" w:cs="Arial" w:eastAsia="Arial" w:hAnsi="Arial"/>
                <w:sz w:val="16"/>
                <w:szCs w:val="16"/>
                <w:b w:val="1"/>
                <w:bCs w:val="1"/>
                <w:color w:val="3A5575"/>
              </w:rPr>
              <w:t>2013</w:t>
            </w:r>
          </w:p>
        </w:tc>
        <w:tc>
          <w:tcPr>
            <w:tcW w:w="1320" w:type="dxa"/>
            <w:vAlign w:val="bottom"/>
            <w:tcBorders>
              <w:bottom w:val="single" w:sz="8" w:color="395775"/>
            </w:tcBorders>
          </w:tcPr>
          <w:p>
            <w:pPr>
              <w:jc w:val="center"/>
              <w:spacing w:after="0"/>
              <w:rPr>
                <w:sz w:val="20"/>
                <w:szCs w:val="20"/>
                <w:color w:val="auto"/>
              </w:rPr>
            </w:pPr>
            <w:r>
              <w:rPr>
                <w:rFonts w:ascii="Arial" w:cs="Arial" w:eastAsia="Arial" w:hAnsi="Arial"/>
                <w:sz w:val="16"/>
                <w:szCs w:val="16"/>
                <w:b w:val="1"/>
                <w:bCs w:val="1"/>
                <w:color w:val="3A5575"/>
              </w:rPr>
              <w:t>2014</w:t>
            </w:r>
          </w:p>
        </w:tc>
        <w:tc>
          <w:tcPr>
            <w:tcW w:w="420" w:type="dxa"/>
            <w:vAlign w:val="bottom"/>
            <w:tcBorders>
              <w:bottom w:val="single" w:sz="8" w:color="395775"/>
            </w:tcBorders>
          </w:tcPr>
          <w:p>
            <w:pPr>
              <w:jc w:val="right"/>
              <w:spacing w:after="0"/>
              <w:rPr>
                <w:sz w:val="20"/>
                <w:szCs w:val="20"/>
                <w:color w:val="auto"/>
              </w:rPr>
            </w:pPr>
            <w:r>
              <w:rPr>
                <w:rFonts w:ascii="Arial" w:cs="Arial" w:eastAsia="Arial" w:hAnsi="Arial"/>
                <w:sz w:val="16"/>
                <w:szCs w:val="16"/>
                <w:b w:val="1"/>
                <w:bCs w:val="1"/>
                <w:color w:val="3A5575"/>
              </w:rPr>
              <w:t>2015</w:t>
            </w:r>
          </w:p>
        </w:tc>
      </w:tr>
      <w:tr>
        <w:trPr>
          <w:trHeight w:val="176"/>
        </w:trPr>
        <w:tc>
          <w:tcPr>
            <w:tcW w:w="20" w:type="dxa"/>
            <w:vAlign w:val="bottom"/>
          </w:tcPr>
          <w:p>
            <w:pPr>
              <w:spacing w:after="0"/>
              <w:rPr>
                <w:sz w:val="15"/>
                <w:szCs w:val="15"/>
                <w:color w:val="auto"/>
              </w:rPr>
            </w:pPr>
          </w:p>
        </w:tc>
        <w:tc>
          <w:tcPr>
            <w:tcW w:w="2440" w:type="dxa"/>
            <w:vAlign w:val="bottom"/>
            <w:shd w:val="clear" w:color="auto" w:fill="E3E5EB"/>
          </w:tcPr>
          <w:p>
            <w:pPr>
              <w:spacing w:after="0" w:line="176" w:lineRule="exact"/>
              <w:rPr>
                <w:sz w:val="20"/>
                <w:szCs w:val="20"/>
                <w:color w:val="auto"/>
              </w:rPr>
            </w:pPr>
            <w:r>
              <w:rPr>
                <w:rFonts w:ascii="Arial" w:cs="Arial" w:eastAsia="Arial" w:hAnsi="Arial"/>
                <w:sz w:val="16"/>
                <w:szCs w:val="16"/>
                <w:color w:val="auto"/>
              </w:rPr>
              <w:t>Donald E. Brandt</w:t>
            </w:r>
          </w:p>
        </w:tc>
        <w:tc>
          <w:tcPr>
            <w:tcW w:w="1720" w:type="dxa"/>
            <w:vAlign w:val="bottom"/>
            <w:shd w:val="clear" w:color="auto" w:fill="E3E5EB"/>
          </w:tcPr>
          <w:p>
            <w:pPr>
              <w:jc w:val="right"/>
              <w:ind w:right="120"/>
              <w:spacing w:after="0" w:line="176" w:lineRule="exact"/>
              <w:rPr>
                <w:sz w:val="20"/>
                <w:szCs w:val="20"/>
                <w:color w:val="auto"/>
              </w:rPr>
            </w:pPr>
            <w:r>
              <w:rPr>
                <w:rFonts w:ascii="Arial" w:cs="Arial" w:eastAsia="Arial" w:hAnsi="Arial"/>
                <w:sz w:val="16"/>
                <w:szCs w:val="16"/>
                <w:color w:val="auto"/>
              </w:rPr>
              <w:t>10,790</w:t>
            </w:r>
          </w:p>
        </w:tc>
        <w:tc>
          <w:tcPr>
            <w:tcW w:w="1120" w:type="dxa"/>
            <w:vAlign w:val="bottom"/>
            <w:shd w:val="clear" w:color="auto" w:fill="E3E5EB"/>
          </w:tcPr>
          <w:p>
            <w:pPr>
              <w:jc w:val="center"/>
              <w:ind w:right="80"/>
              <w:spacing w:after="0" w:line="176" w:lineRule="exact"/>
              <w:rPr>
                <w:sz w:val="20"/>
                <w:szCs w:val="20"/>
                <w:color w:val="auto"/>
              </w:rPr>
            </w:pPr>
            <w:r>
              <w:rPr>
                <w:rFonts w:ascii="Arial" w:cs="Arial" w:eastAsia="Arial" w:hAnsi="Arial"/>
                <w:sz w:val="16"/>
                <w:szCs w:val="16"/>
                <w:color w:val="auto"/>
                <w:w w:val="99"/>
              </w:rPr>
              <w:t>5,395</w:t>
            </w:r>
          </w:p>
        </w:tc>
        <w:tc>
          <w:tcPr>
            <w:tcW w:w="680" w:type="dxa"/>
            <w:vAlign w:val="bottom"/>
            <w:shd w:val="clear" w:color="auto" w:fill="E3E5EB"/>
          </w:tcPr>
          <w:p>
            <w:pPr>
              <w:jc w:val="right"/>
              <w:ind w:right="160"/>
              <w:spacing w:after="0" w:line="176" w:lineRule="exact"/>
              <w:rPr>
                <w:sz w:val="20"/>
                <w:szCs w:val="20"/>
                <w:color w:val="auto"/>
              </w:rPr>
            </w:pPr>
            <w:r>
              <w:rPr>
                <w:rFonts w:ascii="Arial" w:cs="Arial" w:eastAsia="Arial" w:hAnsi="Arial"/>
                <w:sz w:val="16"/>
                <w:szCs w:val="16"/>
                <w:color w:val="auto"/>
              </w:rPr>
              <w:t>5,395</w:t>
            </w:r>
          </w:p>
        </w:tc>
        <w:tc>
          <w:tcPr>
            <w:tcW w:w="660" w:type="dxa"/>
            <w:vAlign w:val="bottom"/>
            <w:shd w:val="clear" w:color="auto" w:fill="E3E5EB"/>
          </w:tcPr>
          <w:p>
            <w:pPr>
              <w:jc w:val="right"/>
              <w:spacing w:after="0" w:line="176" w:lineRule="exact"/>
              <w:rPr>
                <w:sz w:val="20"/>
                <w:szCs w:val="20"/>
                <w:color w:val="auto"/>
              </w:rPr>
            </w:pPr>
            <w:r>
              <w:rPr>
                <w:rFonts w:ascii="Arial" w:cs="Arial" w:eastAsia="Arial" w:hAnsi="Arial"/>
                <w:sz w:val="16"/>
                <w:szCs w:val="16"/>
                <w:color w:val="auto"/>
              </w:rPr>
              <w:t>1,339</w:t>
            </w:r>
          </w:p>
        </w:tc>
        <w:tc>
          <w:tcPr>
            <w:tcW w:w="1320" w:type="dxa"/>
            <w:vAlign w:val="bottom"/>
            <w:shd w:val="clear" w:color="auto" w:fill="E3E5EB"/>
          </w:tcPr>
          <w:p>
            <w:pPr>
              <w:jc w:val="right"/>
              <w:ind w:right="380"/>
              <w:spacing w:after="0" w:line="176" w:lineRule="exact"/>
              <w:rPr>
                <w:sz w:val="20"/>
                <w:szCs w:val="20"/>
                <w:color w:val="auto"/>
              </w:rPr>
            </w:pPr>
            <w:r>
              <w:rPr>
                <w:rFonts w:ascii="Arial" w:cs="Arial" w:eastAsia="Arial" w:hAnsi="Arial"/>
                <w:sz w:val="16"/>
                <w:szCs w:val="16"/>
                <w:color w:val="auto"/>
              </w:rPr>
              <w:t>1,412</w:t>
            </w:r>
          </w:p>
        </w:tc>
        <w:tc>
          <w:tcPr>
            <w:tcW w:w="420" w:type="dxa"/>
            <w:vAlign w:val="bottom"/>
            <w:shd w:val="clear" w:color="auto" w:fill="E3E5EB"/>
          </w:tcPr>
          <w:p>
            <w:pPr>
              <w:jc w:val="right"/>
              <w:spacing w:after="0" w:line="176" w:lineRule="exact"/>
              <w:rPr>
                <w:sz w:val="20"/>
                <w:szCs w:val="20"/>
                <w:color w:val="auto"/>
              </w:rPr>
            </w:pPr>
            <w:r>
              <w:rPr>
                <w:rFonts w:ascii="Arial" w:cs="Arial" w:eastAsia="Arial" w:hAnsi="Arial"/>
                <w:sz w:val="16"/>
                <w:szCs w:val="16"/>
                <w:color w:val="auto"/>
                <w:w w:val="99"/>
              </w:rPr>
              <w:t>1,926</w:t>
            </w:r>
          </w:p>
        </w:tc>
      </w:tr>
      <w:tr>
        <w:trPr>
          <w:trHeight w:val="184"/>
        </w:trPr>
        <w:tc>
          <w:tcPr>
            <w:tcW w:w="20" w:type="dxa"/>
            <w:vAlign w:val="bottom"/>
          </w:tcPr>
          <w:p>
            <w:pPr>
              <w:spacing w:after="0"/>
              <w:rPr>
                <w:sz w:val="16"/>
                <w:szCs w:val="16"/>
                <w:color w:val="auto"/>
              </w:rPr>
            </w:pPr>
          </w:p>
        </w:tc>
        <w:tc>
          <w:tcPr>
            <w:tcW w:w="2440" w:type="dxa"/>
            <w:vAlign w:val="bottom"/>
          </w:tcPr>
          <w:p>
            <w:pPr>
              <w:spacing w:after="0"/>
              <w:rPr>
                <w:sz w:val="20"/>
                <w:szCs w:val="20"/>
                <w:color w:val="auto"/>
              </w:rPr>
            </w:pPr>
            <w:r>
              <w:rPr>
                <w:rFonts w:ascii="Arial" w:cs="Arial" w:eastAsia="Arial" w:hAnsi="Arial"/>
                <w:sz w:val="16"/>
                <w:szCs w:val="16"/>
                <w:color w:val="auto"/>
              </w:rPr>
              <w:t>James R. Hatfield</w:t>
            </w:r>
          </w:p>
        </w:tc>
        <w:tc>
          <w:tcPr>
            <w:tcW w:w="1720" w:type="dxa"/>
            <w:vAlign w:val="bottom"/>
          </w:tcPr>
          <w:p>
            <w:pPr>
              <w:jc w:val="right"/>
              <w:ind w:right="120"/>
              <w:spacing w:after="0"/>
              <w:rPr>
                <w:sz w:val="20"/>
                <w:szCs w:val="20"/>
                <w:color w:val="auto"/>
              </w:rPr>
            </w:pPr>
            <w:r>
              <w:rPr>
                <w:rFonts w:ascii="Arial" w:cs="Arial" w:eastAsia="Arial" w:hAnsi="Arial"/>
                <w:sz w:val="16"/>
                <w:szCs w:val="16"/>
                <w:color w:val="auto"/>
              </w:rPr>
              <w:t>2,998</w:t>
            </w:r>
          </w:p>
        </w:tc>
        <w:tc>
          <w:tcPr>
            <w:tcW w:w="1120" w:type="dxa"/>
            <w:vAlign w:val="bottom"/>
          </w:tcPr>
          <w:p>
            <w:pPr>
              <w:jc w:val="center"/>
              <w:ind w:right="80"/>
              <w:spacing w:after="0"/>
              <w:rPr>
                <w:sz w:val="20"/>
                <w:szCs w:val="20"/>
                <w:color w:val="auto"/>
              </w:rPr>
            </w:pPr>
            <w:r>
              <w:rPr>
                <w:rFonts w:ascii="Arial" w:cs="Arial" w:eastAsia="Arial" w:hAnsi="Arial"/>
                <w:sz w:val="16"/>
                <w:szCs w:val="16"/>
                <w:color w:val="auto"/>
                <w:w w:val="99"/>
              </w:rPr>
              <w:t>1,499</w:t>
            </w:r>
          </w:p>
        </w:tc>
        <w:tc>
          <w:tcPr>
            <w:tcW w:w="680" w:type="dxa"/>
            <w:vAlign w:val="bottom"/>
          </w:tcPr>
          <w:p>
            <w:pPr>
              <w:jc w:val="right"/>
              <w:ind w:right="160"/>
              <w:spacing w:after="0"/>
              <w:rPr>
                <w:sz w:val="20"/>
                <w:szCs w:val="20"/>
                <w:color w:val="auto"/>
              </w:rPr>
            </w:pPr>
            <w:r>
              <w:rPr>
                <w:rFonts w:ascii="Arial" w:cs="Arial" w:eastAsia="Arial" w:hAnsi="Arial"/>
                <w:sz w:val="16"/>
                <w:szCs w:val="16"/>
                <w:color w:val="auto"/>
              </w:rPr>
              <w:t>1,499</w:t>
            </w:r>
          </w:p>
        </w:tc>
        <w:tc>
          <w:tcPr>
            <w:tcW w:w="660" w:type="dxa"/>
            <w:vAlign w:val="bottom"/>
          </w:tcPr>
          <w:p>
            <w:pPr>
              <w:jc w:val="right"/>
              <w:spacing w:after="0"/>
              <w:rPr>
                <w:sz w:val="20"/>
                <w:szCs w:val="20"/>
                <w:color w:val="auto"/>
              </w:rPr>
            </w:pPr>
            <w:r>
              <w:rPr>
                <w:rFonts w:ascii="Arial" w:cs="Arial" w:eastAsia="Arial" w:hAnsi="Arial"/>
                <w:sz w:val="16"/>
                <w:szCs w:val="16"/>
                <w:color w:val="auto"/>
              </w:rPr>
              <w:t>372</w:t>
            </w:r>
          </w:p>
        </w:tc>
        <w:tc>
          <w:tcPr>
            <w:tcW w:w="1320" w:type="dxa"/>
            <w:vAlign w:val="bottom"/>
          </w:tcPr>
          <w:p>
            <w:pPr>
              <w:jc w:val="right"/>
              <w:ind w:right="380"/>
              <w:spacing w:after="0"/>
              <w:rPr>
                <w:sz w:val="20"/>
                <w:szCs w:val="20"/>
                <w:color w:val="auto"/>
              </w:rPr>
            </w:pPr>
            <w:r>
              <w:rPr>
                <w:rFonts w:ascii="Arial" w:cs="Arial" w:eastAsia="Arial" w:hAnsi="Arial"/>
                <w:sz w:val="16"/>
                <w:szCs w:val="16"/>
                <w:color w:val="auto"/>
              </w:rPr>
              <w:t>393</w:t>
            </w:r>
          </w:p>
        </w:tc>
        <w:tc>
          <w:tcPr>
            <w:tcW w:w="420" w:type="dxa"/>
            <w:vAlign w:val="bottom"/>
          </w:tcPr>
          <w:p>
            <w:pPr>
              <w:jc w:val="right"/>
              <w:spacing w:after="0"/>
              <w:rPr>
                <w:sz w:val="20"/>
                <w:szCs w:val="20"/>
                <w:color w:val="auto"/>
              </w:rPr>
            </w:pPr>
            <w:r>
              <w:rPr>
                <w:rFonts w:ascii="Arial" w:cs="Arial" w:eastAsia="Arial" w:hAnsi="Arial"/>
                <w:sz w:val="16"/>
                <w:szCs w:val="16"/>
                <w:color w:val="auto"/>
              </w:rPr>
              <w:t>536</w:t>
            </w:r>
          </w:p>
        </w:tc>
      </w:tr>
      <w:tr>
        <w:trPr>
          <w:trHeight w:val="184"/>
        </w:trPr>
        <w:tc>
          <w:tcPr>
            <w:tcW w:w="20" w:type="dxa"/>
            <w:vAlign w:val="bottom"/>
          </w:tcPr>
          <w:p>
            <w:pPr>
              <w:spacing w:after="0"/>
              <w:rPr>
                <w:sz w:val="16"/>
                <w:szCs w:val="16"/>
                <w:color w:val="auto"/>
              </w:rPr>
            </w:pPr>
          </w:p>
        </w:tc>
        <w:tc>
          <w:tcPr>
            <w:tcW w:w="2440" w:type="dxa"/>
            <w:vAlign w:val="bottom"/>
            <w:shd w:val="clear" w:color="auto" w:fill="E3E5EB"/>
          </w:tcPr>
          <w:p>
            <w:pPr>
              <w:spacing w:after="0"/>
              <w:rPr>
                <w:sz w:val="20"/>
                <w:szCs w:val="20"/>
                <w:color w:val="auto"/>
              </w:rPr>
            </w:pPr>
            <w:r>
              <w:rPr>
                <w:rFonts w:ascii="Arial" w:cs="Arial" w:eastAsia="Arial" w:hAnsi="Arial"/>
                <w:sz w:val="16"/>
                <w:szCs w:val="16"/>
                <w:color w:val="auto"/>
              </w:rPr>
              <w:t>Randall K. Edington</w:t>
            </w:r>
          </w:p>
        </w:tc>
        <w:tc>
          <w:tcPr>
            <w:tcW w:w="1720" w:type="dxa"/>
            <w:vAlign w:val="bottom"/>
            <w:shd w:val="clear" w:color="auto" w:fill="E3E5EB"/>
          </w:tcPr>
          <w:p>
            <w:pPr>
              <w:jc w:val="right"/>
              <w:ind w:right="120"/>
              <w:spacing w:after="0"/>
              <w:rPr>
                <w:sz w:val="20"/>
                <w:szCs w:val="20"/>
                <w:color w:val="auto"/>
              </w:rPr>
            </w:pPr>
            <w:r>
              <w:rPr>
                <w:rFonts w:ascii="Arial" w:cs="Arial" w:eastAsia="Arial" w:hAnsi="Arial"/>
                <w:sz w:val="16"/>
                <w:szCs w:val="16"/>
                <w:color w:val="auto"/>
              </w:rPr>
              <w:t>5,994</w:t>
            </w:r>
          </w:p>
        </w:tc>
        <w:tc>
          <w:tcPr>
            <w:tcW w:w="1120" w:type="dxa"/>
            <w:vAlign w:val="bottom"/>
            <w:shd w:val="clear" w:color="auto" w:fill="E3E5EB"/>
          </w:tcPr>
          <w:p>
            <w:pPr>
              <w:jc w:val="center"/>
              <w:ind w:right="80"/>
              <w:spacing w:after="0"/>
              <w:rPr>
                <w:sz w:val="20"/>
                <w:szCs w:val="20"/>
                <w:color w:val="auto"/>
              </w:rPr>
            </w:pPr>
            <w:r>
              <w:rPr>
                <w:rFonts w:ascii="Arial" w:cs="Arial" w:eastAsia="Arial" w:hAnsi="Arial"/>
                <w:sz w:val="16"/>
                <w:szCs w:val="16"/>
                <w:color w:val="auto"/>
                <w:w w:val="99"/>
              </w:rPr>
              <w:t>5,994</w:t>
            </w:r>
          </w:p>
        </w:tc>
        <w:tc>
          <w:tcPr>
            <w:tcW w:w="680" w:type="dxa"/>
            <w:vAlign w:val="bottom"/>
            <w:shd w:val="clear" w:color="auto" w:fill="E3E5EB"/>
          </w:tcPr>
          <w:p>
            <w:pPr>
              <w:jc w:val="right"/>
              <w:ind w:right="160"/>
              <w:spacing w:after="0"/>
              <w:rPr>
                <w:sz w:val="20"/>
                <w:szCs w:val="20"/>
                <w:color w:val="auto"/>
              </w:rPr>
            </w:pPr>
            <w:r>
              <w:rPr>
                <w:rFonts w:ascii="Arial" w:cs="Arial" w:eastAsia="Arial" w:hAnsi="Arial"/>
                <w:sz w:val="16"/>
                <w:szCs w:val="16"/>
                <w:color w:val="auto"/>
              </w:rPr>
              <w:t>0</w:t>
            </w:r>
          </w:p>
        </w:tc>
        <w:tc>
          <w:tcPr>
            <w:tcW w:w="660" w:type="dxa"/>
            <w:vAlign w:val="bottom"/>
            <w:shd w:val="clear" w:color="auto" w:fill="E3E5EB"/>
          </w:tcPr>
          <w:p>
            <w:pPr>
              <w:jc w:val="right"/>
              <w:spacing w:after="0"/>
              <w:rPr>
                <w:sz w:val="20"/>
                <w:szCs w:val="20"/>
                <w:color w:val="auto"/>
              </w:rPr>
            </w:pPr>
            <w:r>
              <w:rPr>
                <w:rFonts w:ascii="Arial" w:cs="Arial" w:eastAsia="Arial" w:hAnsi="Arial"/>
                <w:sz w:val="16"/>
                <w:szCs w:val="16"/>
                <w:color w:val="auto"/>
              </w:rPr>
              <w:t>745</w:t>
            </w:r>
          </w:p>
        </w:tc>
        <w:tc>
          <w:tcPr>
            <w:tcW w:w="1320" w:type="dxa"/>
            <w:vAlign w:val="bottom"/>
            <w:shd w:val="clear" w:color="auto" w:fill="E3E5EB"/>
          </w:tcPr>
          <w:p>
            <w:pPr>
              <w:jc w:val="right"/>
              <w:ind w:right="380"/>
              <w:spacing w:after="0"/>
              <w:rPr>
                <w:sz w:val="20"/>
                <w:szCs w:val="20"/>
                <w:color w:val="auto"/>
              </w:rPr>
            </w:pPr>
            <w:r>
              <w:rPr>
                <w:rFonts w:ascii="Arial" w:cs="Arial" w:eastAsia="Arial" w:hAnsi="Arial"/>
                <w:sz w:val="16"/>
                <w:szCs w:val="16"/>
                <w:color w:val="auto"/>
              </w:rPr>
              <w:t>1,290</w:t>
            </w:r>
          </w:p>
        </w:tc>
        <w:tc>
          <w:tcPr>
            <w:tcW w:w="420" w:type="dxa"/>
            <w:vAlign w:val="bottom"/>
            <w:shd w:val="clear" w:color="auto" w:fill="E3E5EB"/>
          </w:tcPr>
          <w:p>
            <w:pPr>
              <w:jc w:val="right"/>
              <w:spacing w:after="0"/>
              <w:rPr>
                <w:sz w:val="20"/>
                <w:szCs w:val="20"/>
                <w:color w:val="auto"/>
              </w:rPr>
            </w:pPr>
            <w:r>
              <w:rPr>
                <w:rFonts w:ascii="Arial" w:cs="Arial" w:eastAsia="Arial" w:hAnsi="Arial"/>
                <w:sz w:val="16"/>
                <w:szCs w:val="16"/>
                <w:color w:val="auto"/>
              </w:rPr>
              <w:t>561</w:t>
            </w:r>
          </w:p>
        </w:tc>
      </w:tr>
      <w:tr>
        <w:trPr>
          <w:trHeight w:val="184"/>
        </w:trPr>
        <w:tc>
          <w:tcPr>
            <w:tcW w:w="20" w:type="dxa"/>
            <w:vAlign w:val="bottom"/>
          </w:tcPr>
          <w:p>
            <w:pPr>
              <w:spacing w:after="0"/>
              <w:rPr>
                <w:sz w:val="16"/>
                <w:szCs w:val="16"/>
                <w:color w:val="auto"/>
              </w:rPr>
            </w:pPr>
          </w:p>
        </w:tc>
        <w:tc>
          <w:tcPr>
            <w:tcW w:w="2440" w:type="dxa"/>
            <w:vAlign w:val="bottom"/>
          </w:tcPr>
          <w:p>
            <w:pPr>
              <w:spacing w:after="0"/>
              <w:rPr>
                <w:sz w:val="20"/>
                <w:szCs w:val="20"/>
                <w:color w:val="auto"/>
              </w:rPr>
            </w:pPr>
            <w:r>
              <w:rPr>
                <w:rFonts w:ascii="Arial" w:cs="Arial" w:eastAsia="Arial" w:hAnsi="Arial"/>
                <w:sz w:val="16"/>
                <w:szCs w:val="16"/>
                <w:color w:val="auto"/>
              </w:rPr>
              <w:t>David P. Falck</w:t>
            </w:r>
          </w:p>
        </w:tc>
        <w:tc>
          <w:tcPr>
            <w:tcW w:w="1720" w:type="dxa"/>
            <w:vAlign w:val="bottom"/>
          </w:tcPr>
          <w:p>
            <w:pPr>
              <w:jc w:val="right"/>
              <w:ind w:right="120"/>
              <w:spacing w:after="0"/>
              <w:rPr>
                <w:sz w:val="20"/>
                <w:szCs w:val="20"/>
                <w:color w:val="auto"/>
              </w:rPr>
            </w:pPr>
            <w:r>
              <w:rPr>
                <w:rFonts w:ascii="Arial" w:cs="Arial" w:eastAsia="Arial" w:hAnsi="Arial"/>
                <w:sz w:val="16"/>
                <w:szCs w:val="16"/>
                <w:color w:val="auto"/>
              </w:rPr>
              <w:t>2,998</w:t>
            </w:r>
          </w:p>
        </w:tc>
        <w:tc>
          <w:tcPr>
            <w:tcW w:w="1120" w:type="dxa"/>
            <w:vAlign w:val="bottom"/>
          </w:tcPr>
          <w:p>
            <w:pPr>
              <w:jc w:val="center"/>
              <w:ind w:right="80"/>
              <w:spacing w:after="0"/>
              <w:rPr>
                <w:sz w:val="20"/>
                <w:szCs w:val="20"/>
                <w:color w:val="auto"/>
              </w:rPr>
            </w:pPr>
            <w:r>
              <w:rPr>
                <w:rFonts w:ascii="Arial" w:cs="Arial" w:eastAsia="Arial" w:hAnsi="Arial"/>
                <w:sz w:val="16"/>
                <w:szCs w:val="16"/>
                <w:color w:val="auto"/>
                <w:w w:val="99"/>
              </w:rPr>
              <w:t>1,499</w:t>
            </w:r>
          </w:p>
        </w:tc>
        <w:tc>
          <w:tcPr>
            <w:tcW w:w="680" w:type="dxa"/>
            <w:vAlign w:val="bottom"/>
          </w:tcPr>
          <w:p>
            <w:pPr>
              <w:jc w:val="right"/>
              <w:ind w:right="160"/>
              <w:spacing w:after="0"/>
              <w:rPr>
                <w:sz w:val="20"/>
                <w:szCs w:val="20"/>
                <w:color w:val="auto"/>
              </w:rPr>
            </w:pPr>
            <w:r>
              <w:rPr>
                <w:rFonts w:ascii="Arial" w:cs="Arial" w:eastAsia="Arial" w:hAnsi="Arial"/>
                <w:sz w:val="16"/>
                <w:szCs w:val="16"/>
                <w:color w:val="auto"/>
              </w:rPr>
              <w:t>1,499</w:t>
            </w:r>
          </w:p>
        </w:tc>
        <w:tc>
          <w:tcPr>
            <w:tcW w:w="660" w:type="dxa"/>
            <w:vAlign w:val="bottom"/>
          </w:tcPr>
          <w:p>
            <w:pPr>
              <w:jc w:val="right"/>
              <w:spacing w:after="0"/>
              <w:rPr>
                <w:sz w:val="20"/>
                <w:szCs w:val="20"/>
                <w:color w:val="auto"/>
              </w:rPr>
            </w:pPr>
            <w:r>
              <w:rPr>
                <w:rFonts w:ascii="Arial" w:cs="Arial" w:eastAsia="Arial" w:hAnsi="Arial"/>
                <w:sz w:val="16"/>
                <w:szCs w:val="16"/>
                <w:color w:val="auto"/>
              </w:rPr>
              <w:t>372</w:t>
            </w:r>
          </w:p>
        </w:tc>
        <w:tc>
          <w:tcPr>
            <w:tcW w:w="1320" w:type="dxa"/>
            <w:vAlign w:val="bottom"/>
          </w:tcPr>
          <w:p>
            <w:pPr>
              <w:jc w:val="right"/>
              <w:ind w:right="380"/>
              <w:spacing w:after="0"/>
              <w:rPr>
                <w:sz w:val="20"/>
                <w:szCs w:val="20"/>
                <w:color w:val="auto"/>
              </w:rPr>
            </w:pPr>
            <w:r>
              <w:rPr>
                <w:rFonts w:ascii="Arial" w:cs="Arial" w:eastAsia="Arial" w:hAnsi="Arial"/>
                <w:sz w:val="16"/>
                <w:szCs w:val="16"/>
                <w:color w:val="auto"/>
              </w:rPr>
              <w:t>393</w:t>
            </w:r>
          </w:p>
        </w:tc>
        <w:tc>
          <w:tcPr>
            <w:tcW w:w="420" w:type="dxa"/>
            <w:vAlign w:val="bottom"/>
          </w:tcPr>
          <w:p>
            <w:pPr>
              <w:jc w:val="right"/>
              <w:spacing w:after="0"/>
              <w:rPr>
                <w:sz w:val="20"/>
                <w:szCs w:val="20"/>
                <w:color w:val="auto"/>
              </w:rPr>
            </w:pPr>
            <w:r>
              <w:rPr>
                <w:rFonts w:ascii="Arial" w:cs="Arial" w:eastAsia="Arial" w:hAnsi="Arial"/>
                <w:sz w:val="16"/>
                <w:szCs w:val="16"/>
                <w:color w:val="auto"/>
              </w:rPr>
              <w:t>536</w:t>
            </w:r>
          </w:p>
        </w:tc>
      </w:tr>
      <w:tr>
        <w:trPr>
          <w:trHeight w:val="184"/>
        </w:trPr>
        <w:tc>
          <w:tcPr>
            <w:tcW w:w="20" w:type="dxa"/>
            <w:vAlign w:val="bottom"/>
          </w:tcPr>
          <w:p>
            <w:pPr>
              <w:spacing w:after="0"/>
              <w:rPr>
                <w:sz w:val="16"/>
                <w:szCs w:val="16"/>
                <w:color w:val="auto"/>
              </w:rPr>
            </w:pPr>
          </w:p>
        </w:tc>
        <w:tc>
          <w:tcPr>
            <w:tcW w:w="2440" w:type="dxa"/>
            <w:vAlign w:val="bottom"/>
            <w:tcBorders>
              <w:bottom w:val="single" w:sz="8" w:color="395775"/>
            </w:tcBorders>
            <w:shd w:val="clear" w:color="auto" w:fill="E3E5EB"/>
          </w:tcPr>
          <w:p>
            <w:pPr>
              <w:spacing w:after="0"/>
              <w:rPr>
                <w:sz w:val="20"/>
                <w:szCs w:val="20"/>
                <w:color w:val="auto"/>
              </w:rPr>
            </w:pPr>
            <w:r>
              <w:rPr>
                <w:rFonts w:ascii="Arial" w:cs="Arial" w:eastAsia="Arial" w:hAnsi="Arial"/>
                <w:sz w:val="16"/>
                <w:szCs w:val="16"/>
                <w:color w:val="auto"/>
              </w:rPr>
              <w:t>Mark A. Schiavoni</w:t>
            </w:r>
          </w:p>
        </w:tc>
        <w:tc>
          <w:tcPr>
            <w:tcW w:w="1720" w:type="dxa"/>
            <w:vAlign w:val="bottom"/>
            <w:tcBorders>
              <w:bottom w:val="single" w:sz="8" w:color="395775"/>
            </w:tcBorders>
            <w:shd w:val="clear" w:color="auto" w:fill="E3E5EB"/>
          </w:tcPr>
          <w:p>
            <w:pPr>
              <w:jc w:val="right"/>
              <w:ind w:right="120"/>
              <w:spacing w:after="0"/>
              <w:rPr>
                <w:sz w:val="20"/>
                <w:szCs w:val="20"/>
                <w:color w:val="auto"/>
              </w:rPr>
            </w:pPr>
            <w:r>
              <w:rPr>
                <w:rFonts w:ascii="Arial" w:cs="Arial" w:eastAsia="Arial" w:hAnsi="Arial"/>
                <w:sz w:val="16"/>
                <w:szCs w:val="16"/>
                <w:color w:val="auto"/>
              </w:rPr>
              <w:t>2,998</w:t>
            </w:r>
          </w:p>
        </w:tc>
        <w:tc>
          <w:tcPr>
            <w:tcW w:w="1120" w:type="dxa"/>
            <w:vAlign w:val="bottom"/>
            <w:tcBorders>
              <w:bottom w:val="single" w:sz="8" w:color="395775"/>
            </w:tcBorders>
            <w:shd w:val="clear" w:color="auto" w:fill="E3E5EB"/>
          </w:tcPr>
          <w:p>
            <w:pPr>
              <w:jc w:val="center"/>
              <w:ind w:right="80"/>
              <w:spacing w:after="0"/>
              <w:rPr>
                <w:sz w:val="20"/>
                <w:szCs w:val="20"/>
                <w:color w:val="auto"/>
              </w:rPr>
            </w:pPr>
            <w:r>
              <w:rPr>
                <w:rFonts w:ascii="Arial" w:cs="Arial" w:eastAsia="Arial" w:hAnsi="Arial"/>
                <w:sz w:val="16"/>
                <w:szCs w:val="16"/>
                <w:color w:val="auto"/>
                <w:w w:val="99"/>
              </w:rPr>
              <w:t>1,499</w:t>
            </w:r>
          </w:p>
        </w:tc>
        <w:tc>
          <w:tcPr>
            <w:tcW w:w="680" w:type="dxa"/>
            <w:vAlign w:val="bottom"/>
            <w:tcBorders>
              <w:bottom w:val="single" w:sz="8" w:color="395775"/>
            </w:tcBorders>
            <w:shd w:val="clear" w:color="auto" w:fill="E3E5EB"/>
          </w:tcPr>
          <w:p>
            <w:pPr>
              <w:jc w:val="right"/>
              <w:ind w:right="160"/>
              <w:spacing w:after="0"/>
              <w:rPr>
                <w:sz w:val="20"/>
                <w:szCs w:val="20"/>
                <w:color w:val="auto"/>
              </w:rPr>
            </w:pPr>
            <w:r>
              <w:rPr>
                <w:rFonts w:ascii="Arial" w:cs="Arial" w:eastAsia="Arial" w:hAnsi="Arial"/>
                <w:sz w:val="16"/>
                <w:szCs w:val="16"/>
                <w:color w:val="auto"/>
              </w:rPr>
              <w:t>1,499</w:t>
            </w:r>
          </w:p>
        </w:tc>
        <w:tc>
          <w:tcPr>
            <w:tcW w:w="660" w:type="dxa"/>
            <w:vAlign w:val="bottom"/>
            <w:tcBorders>
              <w:bottom w:val="single" w:sz="8" w:color="395775"/>
            </w:tcBorders>
            <w:shd w:val="clear" w:color="auto" w:fill="E3E5EB"/>
          </w:tcPr>
          <w:p>
            <w:pPr>
              <w:jc w:val="right"/>
              <w:spacing w:after="0"/>
              <w:rPr>
                <w:sz w:val="20"/>
                <w:szCs w:val="20"/>
                <w:color w:val="auto"/>
              </w:rPr>
            </w:pPr>
            <w:r>
              <w:rPr>
                <w:rFonts w:ascii="Arial" w:cs="Arial" w:eastAsia="Arial" w:hAnsi="Arial"/>
                <w:sz w:val="16"/>
                <w:szCs w:val="16"/>
                <w:color w:val="auto"/>
              </w:rPr>
              <w:t>372</w:t>
            </w:r>
          </w:p>
        </w:tc>
        <w:tc>
          <w:tcPr>
            <w:tcW w:w="1320" w:type="dxa"/>
            <w:vAlign w:val="bottom"/>
            <w:tcBorders>
              <w:bottom w:val="single" w:sz="8" w:color="395775"/>
            </w:tcBorders>
            <w:shd w:val="clear" w:color="auto" w:fill="E3E5EB"/>
          </w:tcPr>
          <w:p>
            <w:pPr>
              <w:jc w:val="right"/>
              <w:ind w:right="380"/>
              <w:spacing w:after="0"/>
              <w:rPr>
                <w:sz w:val="20"/>
                <w:szCs w:val="20"/>
                <w:color w:val="auto"/>
              </w:rPr>
            </w:pPr>
            <w:r>
              <w:rPr>
                <w:rFonts w:ascii="Arial" w:cs="Arial" w:eastAsia="Arial" w:hAnsi="Arial"/>
                <w:sz w:val="16"/>
                <w:szCs w:val="16"/>
                <w:color w:val="auto"/>
              </w:rPr>
              <w:t>393</w:t>
            </w:r>
          </w:p>
        </w:tc>
        <w:tc>
          <w:tcPr>
            <w:tcW w:w="420" w:type="dxa"/>
            <w:vAlign w:val="bottom"/>
            <w:tcBorders>
              <w:bottom w:val="single" w:sz="8" w:color="395775"/>
            </w:tcBorders>
            <w:shd w:val="clear" w:color="auto" w:fill="E3E5EB"/>
          </w:tcPr>
          <w:p>
            <w:pPr>
              <w:jc w:val="right"/>
              <w:spacing w:after="0"/>
              <w:rPr>
                <w:sz w:val="20"/>
                <w:szCs w:val="20"/>
                <w:color w:val="auto"/>
              </w:rPr>
            </w:pPr>
            <w:r>
              <w:rPr>
                <w:rFonts w:ascii="Arial" w:cs="Arial" w:eastAsia="Arial" w:hAnsi="Arial"/>
                <w:sz w:val="16"/>
                <w:szCs w:val="16"/>
                <w:color w:val="auto"/>
              </w:rPr>
              <w:t>536</w:t>
            </w:r>
          </w:p>
        </w:tc>
      </w:tr>
    </w:tbl>
    <w:p>
      <w:pPr>
        <w:spacing w:after="0" w:line="191" w:lineRule="exact"/>
        <w:rPr>
          <w:rFonts w:ascii="Arial" w:cs="Arial" w:eastAsia="Arial" w:hAnsi="Arial"/>
          <w:sz w:val="13"/>
          <w:szCs w:val="13"/>
          <w:b w:val="1"/>
          <w:bCs w:val="1"/>
          <w:color w:val="FFFFFE"/>
        </w:rPr>
      </w:pPr>
    </w:p>
    <w:p>
      <w:pPr>
        <w:ind w:left="1860" w:right="580" w:hanging="490"/>
        <w:spacing w:after="0" w:line="279" w:lineRule="auto"/>
        <w:tabs>
          <w:tab w:leader="none" w:pos="1860" w:val="left"/>
        </w:tabs>
        <w:numPr>
          <w:ilvl w:val="0"/>
          <w:numId w:val="95"/>
        </w:numPr>
        <w:rPr>
          <w:rFonts w:ascii="Arial" w:cs="Arial" w:eastAsia="Arial" w:hAnsi="Arial"/>
          <w:sz w:val="16"/>
          <w:szCs w:val="16"/>
          <w:color w:val="auto"/>
        </w:rPr>
      </w:pPr>
      <w:r>
        <w:rPr>
          <w:rFonts w:ascii="Arial" w:cs="Arial" w:eastAsia="Arial" w:hAnsi="Arial"/>
          <w:sz w:val="16"/>
          <w:szCs w:val="16"/>
          <w:color w:val="auto"/>
        </w:rPr>
        <w:t>The terms of the 2012 Edington DCP Discretionary Credits are also discussed under the narrative disclosure accompanying the Summary Compensation Table and Grants of Plan-Based Awards table.</w:t>
      </w:r>
    </w:p>
    <w:p>
      <w:pPr>
        <w:spacing w:after="0" w:line="136" w:lineRule="exact"/>
        <w:rPr>
          <w:rFonts w:ascii="Arial" w:cs="Arial" w:eastAsia="Arial" w:hAnsi="Arial"/>
          <w:sz w:val="16"/>
          <w:szCs w:val="16"/>
          <w:color w:val="auto"/>
        </w:rPr>
      </w:pPr>
    </w:p>
    <w:p>
      <w:pPr>
        <w:ind w:left="1860" w:right="200"/>
        <w:spacing w:after="0" w:line="253" w:lineRule="auto"/>
        <w:rPr>
          <w:rFonts w:ascii="Arial" w:cs="Arial" w:eastAsia="Arial" w:hAnsi="Arial"/>
          <w:sz w:val="16"/>
          <w:szCs w:val="16"/>
          <w:color w:val="auto"/>
        </w:rPr>
      </w:pPr>
      <w:r>
        <w:rPr>
          <w:rFonts w:ascii="Arial" w:cs="Arial" w:eastAsia="Arial" w:hAnsi="Arial"/>
          <w:sz w:val="16"/>
          <w:szCs w:val="16"/>
          <w:color w:val="auto"/>
        </w:rPr>
        <w:t>Pursuant to the 2014 Supplemental Agreement, the Company granted the 2014 Edington DCP Discretionary Credits to Mr. Edington. Amounts paid to Mr. Edington under the 2014 Edington DCP Discretionary Credits will be included in the Summary Compensation Table when the performance condition is met. The terms of the 2014 Edington DCP Discretionary Credits are also discussed in the narrative disclosure accompanying the Summary Compensation Table and Grants of Plan-Based Awards table.</w:t>
      </w:r>
    </w:p>
    <w:p>
      <w:pPr>
        <w:spacing w:after="0" w:line="156" w:lineRule="exact"/>
        <w:rPr>
          <w:rFonts w:ascii="Arial" w:cs="Arial" w:eastAsia="Arial" w:hAnsi="Arial"/>
          <w:sz w:val="16"/>
          <w:szCs w:val="16"/>
          <w:color w:val="auto"/>
        </w:rPr>
      </w:pPr>
    </w:p>
    <w:p>
      <w:pPr>
        <w:ind w:left="1860" w:right="120"/>
        <w:spacing w:after="0" w:line="279" w:lineRule="auto"/>
        <w:rPr>
          <w:rFonts w:ascii="Arial" w:cs="Arial" w:eastAsia="Arial" w:hAnsi="Arial"/>
          <w:sz w:val="16"/>
          <w:szCs w:val="16"/>
          <w:color w:val="auto"/>
        </w:rPr>
      </w:pPr>
      <w:r>
        <w:rPr>
          <w:rFonts w:ascii="Arial" w:cs="Arial" w:eastAsia="Arial" w:hAnsi="Arial"/>
          <w:sz w:val="16"/>
          <w:szCs w:val="16"/>
          <w:color w:val="auto"/>
        </w:rPr>
        <w:t>The amount in the "Registrant Contributions in Last Fiscal Year" column of this table for Mr. Edington represents $300,000 of the 2014 Edington DCP Discretionary Credits that were provided to Mr. Edington as of January 1, 2015.</w:t>
      </w:r>
    </w:p>
    <w:p>
      <w:pPr>
        <w:spacing w:after="0" w:line="136" w:lineRule="exact"/>
        <w:rPr>
          <w:rFonts w:ascii="Arial" w:cs="Arial" w:eastAsia="Arial" w:hAnsi="Arial"/>
          <w:sz w:val="16"/>
          <w:szCs w:val="16"/>
          <w:color w:val="auto"/>
        </w:rPr>
      </w:pPr>
    </w:p>
    <w:p>
      <w:pPr>
        <w:ind w:left="1860" w:right="40" w:hanging="490"/>
        <w:spacing w:after="0" w:line="259" w:lineRule="auto"/>
        <w:tabs>
          <w:tab w:leader="none" w:pos="1860" w:val="left"/>
        </w:tabs>
        <w:numPr>
          <w:ilvl w:val="0"/>
          <w:numId w:val="95"/>
        </w:numPr>
        <w:rPr>
          <w:rFonts w:ascii="Arial" w:cs="Arial" w:eastAsia="Arial" w:hAnsi="Arial"/>
          <w:sz w:val="16"/>
          <w:szCs w:val="16"/>
          <w:color w:val="auto"/>
        </w:rPr>
      </w:pPr>
      <w:r>
        <w:rPr>
          <w:rFonts w:ascii="Arial" w:cs="Arial" w:eastAsia="Arial" w:hAnsi="Arial"/>
          <w:sz w:val="16"/>
          <w:szCs w:val="16"/>
          <w:color w:val="auto"/>
        </w:rPr>
        <w:t>Pursuant to Mr. Falck's offer letter, the terms of which are described under "Discussion of Nonqualified Deferred Compensation — DCP and 2005 Plan" below, the Company granted the Falck DCP Discretionary Credits to Mr. Falck. Amounts paid to Mr. Falck under the DCP Discretionary Credits will be included in the Summary Compensation Table when the performance conditions are met.</w:t>
      </w:r>
    </w:p>
    <w:p>
      <w:pPr>
        <w:spacing w:after="0" w:line="136" w:lineRule="exact"/>
        <w:rPr>
          <w:rFonts w:ascii="Arial" w:cs="Arial" w:eastAsia="Arial" w:hAnsi="Arial"/>
          <w:sz w:val="13"/>
          <w:szCs w:val="13"/>
          <w:b w:val="1"/>
          <w:bCs w:val="1"/>
          <w:color w:val="FFFFFE"/>
        </w:rPr>
      </w:pPr>
    </w:p>
    <w:p>
      <w:pPr>
        <w:spacing w:after="0"/>
        <w:rPr>
          <w:sz w:val="20"/>
          <w:szCs w:val="20"/>
          <w:color w:val="auto"/>
        </w:rPr>
      </w:pPr>
      <w:r>
        <w:rPr>
          <w:rFonts w:ascii="Arial" w:cs="Arial" w:eastAsia="Arial" w:hAnsi="Arial"/>
          <w:sz w:val="22"/>
          <w:szCs w:val="22"/>
          <w:b w:val="1"/>
          <w:bCs w:val="1"/>
          <w:color w:val="3A5575"/>
        </w:rPr>
        <w:t>Discussion of Nonqualified Deferred Compensation</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rFonts w:ascii="Arial" w:cs="Arial" w:eastAsia="Arial" w:hAnsi="Arial"/>
          <w:sz w:val="13"/>
          <w:szCs w:val="13"/>
          <w:b w:val="1"/>
          <w:bCs w:val="1"/>
          <w:color w:val="FFFFFE"/>
        </w:rPr>
      </w:pPr>
    </w:p>
    <w:p>
      <w:pPr>
        <w:ind w:right="20"/>
        <w:spacing w:after="0" w:line="234" w:lineRule="auto"/>
        <w:rPr>
          <w:sz w:val="20"/>
          <w:szCs w:val="20"/>
          <w:color w:val="auto"/>
        </w:rPr>
      </w:pPr>
      <w:r>
        <w:rPr>
          <w:rFonts w:ascii="Arial" w:cs="Arial" w:eastAsia="Arial" w:hAnsi="Arial"/>
          <w:sz w:val="20"/>
          <w:szCs w:val="20"/>
          <w:b w:val="1"/>
          <w:bCs w:val="1"/>
          <w:i w:val="1"/>
          <w:iCs w:val="1"/>
          <w:color w:val="auto"/>
        </w:rPr>
        <w:t xml:space="preserve">DCP and 2005 Plan. </w:t>
      </w:r>
      <w:r>
        <w:rPr>
          <w:rFonts w:ascii="Arial" w:cs="Arial" w:eastAsia="Arial" w:hAnsi="Arial"/>
          <w:sz w:val="20"/>
          <w:szCs w:val="20"/>
          <w:color w:val="auto"/>
        </w:rPr>
        <w:t>Effective January 1, 1992, the Company established The Pinnacle West Capital Corporation, Arizona Public</w:t>
      </w:r>
      <w:r>
        <w:rPr>
          <w:rFonts w:ascii="Arial" w:cs="Arial" w:eastAsia="Arial" w:hAnsi="Arial"/>
          <w:sz w:val="20"/>
          <w:szCs w:val="20"/>
          <w:b w:val="1"/>
          <w:bCs w:val="1"/>
          <w:i w:val="1"/>
          <w:iCs w:val="1"/>
          <w:color w:val="auto"/>
        </w:rPr>
        <w:t xml:space="preserve"> </w:t>
      </w:r>
      <w:r>
        <w:rPr>
          <w:rFonts w:ascii="Arial" w:cs="Arial" w:eastAsia="Arial" w:hAnsi="Arial"/>
          <w:sz w:val="20"/>
          <w:szCs w:val="20"/>
          <w:color w:val="auto"/>
        </w:rPr>
        <w:t>Service Company, SunCor Development Company, and El Dorado Investment Company Deferred Compensation Plan (the "DCP"). Under the DCP, a participant who is an employee is allowed to defer up to 50% of annual base salary and up to 100% of year-end bonus, which would include awards under regular annual incentive plans, but not special incentive payments. A participant who is a member of the Board is allowed to defer up to 100% of the annual cash fees payable to the participant. Amounts deferred by participants are credited with interest at various rates in substantially the same manner as interest is credited pursuant to the 2005 Plan, as described below. Distributions may be made (1) within 60 days after the fifth year an amount was deferred, (2) on account of an unforeseen emergency, (3) on account of retirement after attaining age 65 with five years of service or after attaining age 55 with 10 years of service ("Retirement Benefit"), (4) on account of termination prior to retirement ("Termination Benefit"), (5) on account of disability, or (6) on account of death before termination of employment.</w:t>
      </w:r>
    </w:p>
    <w:p>
      <w:pPr>
        <w:spacing w:after="0" w:line="162" w:lineRule="exact"/>
        <w:rPr>
          <w:rFonts w:ascii="Arial" w:cs="Arial" w:eastAsia="Arial" w:hAnsi="Arial"/>
          <w:sz w:val="13"/>
          <w:szCs w:val="13"/>
          <w:b w:val="1"/>
          <w:bCs w:val="1"/>
          <w:color w:val="FFFFFE"/>
        </w:rPr>
      </w:pPr>
    </w:p>
    <w:p>
      <w:pPr>
        <w:jc w:val="both"/>
        <w:ind w:right="180"/>
        <w:spacing w:after="0" w:line="247" w:lineRule="auto"/>
        <w:rPr>
          <w:sz w:val="20"/>
          <w:szCs w:val="20"/>
          <w:color w:val="auto"/>
        </w:rPr>
      </w:pPr>
      <w:r>
        <w:rPr>
          <w:rFonts w:ascii="Arial" w:cs="Arial" w:eastAsia="Arial" w:hAnsi="Arial"/>
          <w:sz w:val="20"/>
          <w:szCs w:val="20"/>
          <w:color w:val="auto"/>
        </w:rPr>
        <w:t>The Retirement Benefit and Termination Benefit are payable in a lump sum or in 5, 10, or 15 equal annual installments, as elected by the participant. Other benefits are generally paid in a lump sum. The method of crediting interest on lump sum and installment payments under the DCP is substantially the same as the method used in the 2005 Plan, as described below.</w:t>
      </w:r>
    </w:p>
    <w:p>
      <w:pPr>
        <w:spacing w:after="0" w:line="149" w:lineRule="exact"/>
        <w:rPr>
          <w:rFonts w:ascii="Arial" w:cs="Arial" w:eastAsia="Arial" w:hAnsi="Arial"/>
          <w:sz w:val="13"/>
          <w:szCs w:val="13"/>
          <w:b w:val="1"/>
          <w:bCs w:val="1"/>
          <w:color w:val="FFFFFE"/>
        </w:rPr>
      </w:pPr>
    </w:p>
    <w:p>
      <w:pPr>
        <w:ind w:right="160"/>
        <w:spacing w:after="0" w:line="242" w:lineRule="auto"/>
        <w:rPr>
          <w:sz w:val="20"/>
          <w:szCs w:val="20"/>
          <w:color w:val="auto"/>
        </w:rPr>
      </w:pPr>
      <w:r>
        <w:rPr>
          <w:rFonts w:ascii="Arial" w:cs="Arial" w:eastAsia="Arial" w:hAnsi="Arial"/>
          <w:sz w:val="20"/>
          <w:szCs w:val="20"/>
          <w:color w:val="auto"/>
        </w:rPr>
        <w:t>On December 15, 2004, the Board authorized the adoption of a new nonqualified deferred compensation plan for post-2004 deferrals (the "2005 Plan"). No future deferrals will be permitted under the DCP. The 2005 Plan, effective as of January 1, 2005, is based in large part on the DCP as described above. The 2005 Plan was adopted to comply with the requirements of Section 409A of the Code.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318135</wp:posOffset>
            </wp:positionH>
            <wp:positionV relativeFrom="paragraph">
              <wp:posOffset>170180</wp:posOffset>
            </wp:positionV>
            <wp:extent cx="841375" cy="16383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3" w:lineRule="exact"/>
        <w:rPr>
          <w:rFonts w:ascii="Arial" w:cs="Arial" w:eastAsia="Arial" w:hAnsi="Arial"/>
          <w:sz w:val="13"/>
          <w:szCs w:val="13"/>
          <w:b w:val="1"/>
          <w:bCs w:val="1"/>
          <w:color w:val="FFFFFE"/>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80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89" w:name="page90"/>
    <w:bookmarkEnd w:id="89"/>
    <w:p>
      <w:pPr>
        <w:spacing w:after="0" w:line="189" w:lineRule="auto"/>
        <w:framePr w:w="1920" w:h="118" w:wrap="auto" w:vAnchor="page" w:hAnchor="page" w:x="934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right="2460"/>
        <w:spacing w:after="0" w:line="255" w:lineRule="auto"/>
        <w:rPr>
          <w:sz w:val="20"/>
          <w:szCs w:val="20"/>
          <w:color w:val="auto"/>
        </w:rPr>
      </w:pPr>
      <w:r>
        <w:rPr>
          <w:rFonts w:ascii="Arial" w:cs="Arial" w:eastAsia="Arial" w:hAnsi="Arial"/>
          <w:sz w:val="19"/>
          <w:szCs w:val="19"/>
          <w:color w:val="auto"/>
        </w:rPr>
        <w:t>Under the 2005 Plan, a participant who is an employee is allowed to defer up to 50% of the participant's base salary and up to 100% of the participant's bonus, including regular awards under annual incentive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5770245</wp:posOffset>
            </wp:positionH>
            <wp:positionV relativeFrom="paragraph">
              <wp:posOffset>-274955</wp:posOffset>
            </wp:positionV>
            <wp:extent cx="1487805" cy="15557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right="80"/>
        <w:spacing w:after="0" w:line="232" w:lineRule="auto"/>
        <w:rPr>
          <w:sz w:val="20"/>
          <w:szCs w:val="20"/>
          <w:color w:val="auto"/>
        </w:rPr>
      </w:pPr>
      <w:r>
        <w:rPr>
          <w:rFonts w:ascii="Arial" w:cs="Arial" w:eastAsia="Arial" w:hAnsi="Arial"/>
          <w:sz w:val="20"/>
          <w:szCs w:val="20"/>
          <w:color w:val="auto"/>
        </w:rPr>
        <w:t>plans, but not special awards. A participant who is a member of the Board is allowed to defer up to 100% of the annual cash fees payable to the participant. Amounts deferred by participants are credited with interest at various rates, as described below. Deferral elections of base salary and director's fees must be made prior to the calendar year in which such base salary or director's fees will be paid. A deferral election with respect to a bonus must be made before the first day of the calendar year in which the bonus is earned. When making a deferral election, a participant also makes an election regarding the time and form of the participant's distributions from the 2005 Plan. Distributions from the 2005 Plan must be made in accordance with Section 409A of the Code. Distributions may be made (1) in January of the fifth year following the year in which an amount was deferred, (2) on account of an unforeseeable financial emergency, (3) either (i) termination of employment or (ii) the later of termination of employment or attainment of age 55, or (4) on account of death before termination of employment.</w:t>
      </w:r>
    </w:p>
    <w:p>
      <w:pPr>
        <w:spacing w:after="0" w:line="159" w:lineRule="exact"/>
        <w:rPr>
          <w:rFonts w:ascii="Arial" w:cs="Arial" w:eastAsia="Arial" w:hAnsi="Arial"/>
          <w:sz w:val="13"/>
          <w:szCs w:val="13"/>
          <w:b w:val="1"/>
          <w:bCs w:val="1"/>
          <w:color w:val="FFFFFE"/>
        </w:rPr>
      </w:pPr>
    </w:p>
    <w:p>
      <w:pPr>
        <w:ind w:right="480"/>
        <w:spacing w:after="0" w:line="292" w:lineRule="auto"/>
        <w:rPr>
          <w:sz w:val="20"/>
          <w:szCs w:val="20"/>
          <w:color w:val="auto"/>
        </w:rPr>
      </w:pPr>
      <w:r>
        <w:rPr>
          <w:rFonts w:ascii="Arial" w:cs="Arial" w:eastAsia="Arial" w:hAnsi="Arial"/>
          <w:sz w:val="19"/>
          <w:szCs w:val="19"/>
          <w:color w:val="auto"/>
        </w:rPr>
        <w:t>In the event of termination of employment, attainment of age 55 or death, the benefit is payable in a lump sum or in 5, 10 or 15 equal annual installments, as elected by the participant. Benefits in the other circumstances are generally paid in a lump sum.</w:t>
      </w:r>
    </w:p>
    <w:p>
      <w:pPr>
        <w:spacing w:after="0" w:line="106" w:lineRule="exact"/>
        <w:rPr>
          <w:rFonts w:ascii="Arial" w:cs="Arial" w:eastAsia="Arial" w:hAnsi="Arial"/>
          <w:sz w:val="13"/>
          <w:szCs w:val="13"/>
          <w:b w:val="1"/>
          <w:bCs w:val="1"/>
          <w:color w:val="FFFFFE"/>
        </w:rPr>
      </w:pPr>
    </w:p>
    <w:p>
      <w:pPr>
        <w:ind w:right="80"/>
        <w:spacing w:after="0" w:line="247" w:lineRule="auto"/>
        <w:rPr>
          <w:sz w:val="20"/>
          <w:szCs w:val="20"/>
          <w:color w:val="auto"/>
        </w:rPr>
      </w:pPr>
      <w:r>
        <w:rPr>
          <w:rFonts w:ascii="Arial" w:cs="Arial" w:eastAsia="Arial" w:hAnsi="Arial"/>
          <w:sz w:val="20"/>
          <w:szCs w:val="20"/>
          <w:color w:val="auto"/>
        </w:rPr>
        <w:t>The 2005 Plan provides for a single rate of interest that will be determined by the plan committee, but which rate shall in no event be less than the rate of interest equal to the 10-year U.S. Treasury Note rate as published on the last business day of the first week of October preceding a plan year. The plan committee set the rate at 7.5% for 2015.</w:t>
      </w:r>
    </w:p>
    <w:p>
      <w:pPr>
        <w:spacing w:after="0" w:line="149" w:lineRule="exact"/>
        <w:rPr>
          <w:rFonts w:ascii="Arial" w:cs="Arial" w:eastAsia="Arial" w:hAnsi="Arial"/>
          <w:sz w:val="13"/>
          <w:szCs w:val="13"/>
          <w:b w:val="1"/>
          <w:bCs w:val="1"/>
          <w:color w:val="FFFFFE"/>
        </w:rPr>
      </w:pPr>
    </w:p>
    <w:p>
      <w:pPr>
        <w:ind w:right="360"/>
        <w:spacing w:after="0" w:line="247" w:lineRule="auto"/>
        <w:rPr>
          <w:sz w:val="20"/>
          <w:szCs w:val="20"/>
          <w:color w:val="auto"/>
        </w:rPr>
      </w:pPr>
      <w:r>
        <w:rPr>
          <w:rFonts w:ascii="Arial" w:cs="Arial" w:eastAsia="Arial" w:hAnsi="Arial"/>
          <w:sz w:val="20"/>
          <w:szCs w:val="20"/>
          <w:color w:val="auto"/>
        </w:rPr>
        <w:t>Effective January 1, 2009, the Company amended the 2005 Plan to permit the Company, in its discretion, to award discretionary credits to participants. Discretionary credits generally will be paid at the time and in the form provided in the written award agreement.</w:t>
      </w:r>
    </w:p>
    <w:p>
      <w:pPr>
        <w:spacing w:after="0" w:line="149" w:lineRule="exact"/>
        <w:rPr>
          <w:rFonts w:ascii="Arial" w:cs="Arial" w:eastAsia="Arial" w:hAnsi="Arial"/>
          <w:sz w:val="13"/>
          <w:szCs w:val="13"/>
          <w:b w:val="1"/>
          <w:bCs w:val="1"/>
          <w:color w:val="FFFFFE"/>
        </w:rPr>
      </w:pPr>
    </w:p>
    <w:p>
      <w:pPr>
        <w:ind w:right="40"/>
        <w:spacing w:after="0" w:line="237" w:lineRule="auto"/>
        <w:rPr>
          <w:sz w:val="20"/>
          <w:szCs w:val="20"/>
          <w:color w:val="auto"/>
        </w:rPr>
      </w:pPr>
      <w:r>
        <w:rPr>
          <w:rFonts w:ascii="Arial" w:cs="Arial" w:eastAsia="Arial" w:hAnsi="Arial"/>
          <w:sz w:val="20"/>
          <w:szCs w:val="20"/>
          <w:color w:val="auto"/>
        </w:rPr>
        <w:t>The Company agreed in Mr. Falck's offer letter to make a $350,000 discretionary credit award to Mr. Falck in 2009, pursuant to the 2005 Plan (the "Falck DCP Discretionary Credits"). The first $250,000 vested on July 29, 2014 and the remaining $100,000 will vest on July 29, 2016. The discretionary credit award earns interest in accordance with the 2005 Plan. The full amount of the discretionary credit award vests and becomes payable if the Company terminates Mr. Falck's employment without cause within two years following a change of control, or in the event of his death. If Mr. Falck terminates employment, for any reason other than those discussed above, prior to July 29, 2016, he forfeits the $100,000 discretionary credit award.</w:t>
      </w:r>
    </w:p>
    <w:p>
      <w:pPr>
        <w:spacing w:after="0" w:line="158" w:lineRule="exact"/>
        <w:rPr>
          <w:rFonts w:ascii="Arial" w:cs="Arial" w:eastAsia="Arial" w:hAnsi="Arial"/>
          <w:sz w:val="13"/>
          <w:szCs w:val="13"/>
          <w:b w:val="1"/>
          <w:bCs w:val="1"/>
          <w:color w:val="FFFFFE"/>
        </w:rPr>
      </w:pPr>
    </w:p>
    <w:p>
      <w:pPr>
        <w:ind w:right="20"/>
        <w:spacing w:after="0" w:line="236" w:lineRule="auto"/>
        <w:rPr>
          <w:sz w:val="20"/>
          <w:szCs w:val="20"/>
          <w:color w:val="auto"/>
        </w:rPr>
      </w:pPr>
      <w:r>
        <w:rPr>
          <w:rFonts w:ascii="Arial" w:cs="Arial" w:eastAsia="Arial" w:hAnsi="Arial"/>
          <w:sz w:val="20"/>
          <w:szCs w:val="20"/>
          <w:color w:val="auto"/>
        </w:rPr>
        <w:t>The Company agreed in Mr. Edington's 2012 Supplemental Agreement to the 2012 Edington DCP Discretionary Credits. All of the 2012 Edington DCP Discretionary Credits vested on December 31, 2014. The Company also agreed in Mr. Edington's 2014 Supplemental Agreement to the 2014 Edington DCP Discretionary Credits. The full amount of the 2014 Edington DCP Discretionary Credits vest and become payable if the Company terminates Mr. Edington's employment without cause, or in the event of his death or disability. If Mr. Edington terminates employment, for any reason other than those discussed above, prior to June 30, 2016, he forfeits the 2014 Edington DCP Discretionary Credits. These awards are also described in the narrative disclosure accompanying the Summary Compensation Table and the Grants of Plan-Based Awards table.</w:t>
      </w:r>
    </w:p>
    <w:p>
      <w:pPr>
        <w:spacing w:after="0" w:line="159" w:lineRule="exact"/>
        <w:rPr>
          <w:rFonts w:ascii="Arial" w:cs="Arial" w:eastAsia="Arial" w:hAnsi="Arial"/>
          <w:sz w:val="13"/>
          <w:szCs w:val="13"/>
          <w:b w:val="1"/>
          <w:bCs w:val="1"/>
          <w:color w:val="FFFFFE"/>
        </w:rPr>
      </w:pPr>
    </w:p>
    <w:p>
      <w:pPr>
        <w:ind w:right="60"/>
        <w:spacing w:after="0" w:line="247" w:lineRule="auto"/>
        <w:rPr>
          <w:sz w:val="20"/>
          <w:szCs w:val="20"/>
          <w:color w:val="auto"/>
        </w:rPr>
      </w:pPr>
      <w:r>
        <w:rPr>
          <w:rFonts w:ascii="Arial" w:cs="Arial" w:eastAsia="Arial" w:hAnsi="Arial"/>
          <w:sz w:val="20"/>
          <w:szCs w:val="20"/>
          <w:color w:val="auto"/>
        </w:rPr>
        <w:t>Participation in both the DCP and the 2005 Plan is limited to officers, the Company's senior management group and directors of the Company and participating affiliates. The Company's obligations under the DCP and the 2005 Plan are unfunded (except in the limited change of control circumstance discussed below) and unsecured.</w:t>
      </w:r>
    </w:p>
    <w:p>
      <w:pPr>
        <w:spacing w:after="0" w:line="81" w:lineRule="exact"/>
        <w:rPr>
          <w:rFonts w:ascii="Arial" w:cs="Arial" w:eastAsia="Arial" w:hAnsi="Arial"/>
          <w:sz w:val="13"/>
          <w:szCs w:val="13"/>
          <w:b w:val="1"/>
          <w:bCs w:val="1"/>
          <w:color w:val="FFFFFE"/>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81</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90" w:name="page91"/>
    <w:bookmarkEnd w:id="90"/>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1487805" cy="15557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EXECUTIVE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Potential Payments upon Termination or Change of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spacing w:after="0" w:line="235" w:lineRule="auto"/>
        <w:rPr>
          <w:sz w:val="20"/>
          <w:szCs w:val="20"/>
          <w:color w:val="auto"/>
        </w:rPr>
      </w:pPr>
      <w:r>
        <w:rPr>
          <w:rFonts w:ascii="Arial" w:cs="Arial" w:eastAsia="Arial" w:hAnsi="Arial"/>
          <w:sz w:val="20"/>
          <w:szCs w:val="20"/>
          <w:color w:val="auto"/>
        </w:rPr>
        <w:t>This section describes the potential payments that each of the Named Executive Officers could receive following termination of employment, including through death, disability, retirement, resignation, involuntary termination (with or without cause) or a change of control of the Company (each, a "Termination Event"). We describe plans, agreements, or arrangements under which each Named Executive Officer could receive payments following a Termination Event, excluding those that do not discriminate in favor of our executive officers and that are available generally to all salaried employees and awards that are already vested ("Termination Plans"). The payments to the Named Executive Officers under the various Termination Event scenarios described in this section are not intended to affect the Company's obligations to the Named Executive Officers. Those obligations are subject to, and qualified by, the contracts or arrangements giving rise to such obligations. Unless we note otherwise, the discussion below assumes that any Termination Event took place on December 31, 2015 for each Named Executive Officer.</w:t>
      </w:r>
    </w:p>
    <w:p>
      <w:pPr>
        <w:spacing w:after="0" w:line="157" w:lineRule="exact"/>
        <w:rPr>
          <w:sz w:val="20"/>
          <w:szCs w:val="20"/>
          <w:color w:val="auto"/>
        </w:rPr>
      </w:pPr>
    </w:p>
    <w:p>
      <w:pPr>
        <w:spacing w:after="0" w:line="247" w:lineRule="auto"/>
        <w:rPr>
          <w:sz w:val="20"/>
          <w:szCs w:val="20"/>
          <w:color w:val="auto"/>
        </w:rPr>
      </w:pPr>
      <w:r>
        <w:rPr>
          <w:rFonts w:ascii="Arial" w:cs="Arial" w:eastAsia="Arial" w:hAnsi="Arial"/>
          <w:sz w:val="20"/>
          <w:szCs w:val="20"/>
          <w:color w:val="auto"/>
        </w:rPr>
        <w:t>The Company does not have a severance plan that covers the Named Executive Officers. We also do not have traditional severance agreements or arrangements with our Named Executive Officers. We do have Change of Control Agreements, which are discussed below.</w:t>
      </w:r>
    </w:p>
    <w:p>
      <w:pPr>
        <w:spacing w:after="0" w:line="149" w:lineRule="exact"/>
        <w:rPr>
          <w:sz w:val="20"/>
          <w:szCs w:val="20"/>
          <w:color w:val="auto"/>
        </w:rPr>
      </w:pPr>
    </w:p>
    <w:p>
      <w:pPr>
        <w:spacing w:after="0" w:line="239" w:lineRule="auto"/>
        <w:rPr>
          <w:sz w:val="20"/>
          <w:szCs w:val="20"/>
          <w:color w:val="auto"/>
        </w:rPr>
      </w:pPr>
      <w:r>
        <w:rPr>
          <w:rFonts w:ascii="Arial" w:cs="Arial" w:eastAsia="Arial" w:hAnsi="Arial"/>
          <w:sz w:val="20"/>
          <w:szCs w:val="20"/>
          <w:color w:val="auto"/>
        </w:rPr>
        <w:t>In addition to the termination payments set forth below, the Named Executive Officers would also receive a full distribution under the 2005 Plan (except in the case of the Falck DCP Discretionary Credits and the Edington DCP Discretionary Credits, which are discussed separately below) and pension benefits. Amounts payable to Messrs. Brandt, Hatfield, Edington, Falck and Schiavoni under the 2005 Plan are set forth in the Nonqualified Deferred Compensation table, which also shows which part of the payment is interest paid by the Company and which part is the executive's contribution.</w:t>
      </w:r>
    </w:p>
    <w:p>
      <w:pPr>
        <w:spacing w:after="0" w:line="155" w:lineRule="exact"/>
        <w:rPr>
          <w:sz w:val="20"/>
          <w:szCs w:val="20"/>
          <w:color w:val="auto"/>
        </w:rPr>
      </w:pPr>
    </w:p>
    <w:p>
      <w:pPr>
        <w:ind w:right="40"/>
        <w:spacing w:after="0" w:line="249" w:lineRule="auto"/>
        <w:rPr>
          <w:sz w:val="20"/>
          <w:szCs w:val="20"/>
          <w:color w:val="auto"/>
        </w:rPr>
      </w:pPr>
      <w:r>
        <w:rPr>
          <w:rFonts w:ascii="Arial" w:cs="Arial" w:eastAsia="Arial" w:hAnsi="Arial"/>
          <w:sz w:val="19"/>
          <w:szCs w:val="19"/>
          <w:color w:val="auto"/>
        </w:rPr>
        <w:t>With respect to pension benefits, the amounts that each of the Named Executive Officers would receive under the Supplemental Plan in the event of a Termination Event are set forth in the Pension Benefits table; however, assuming that the Named Executive Officer had died on December 31, 2015, the amounts payable under the Supplemental Plan (and in the case of Mr. Edington, under the Supplemental Plan and his employment agreements), would have been as follows: Mr. Brandt — $8,463,743;</w:t>
      </w:r>
    </w:p>
    <w:p>
      <w:pPr>
        <w:ind w:right="80"/>
        <w:spacing w:after="0" w:line="242" w:lineRule="auto"/>
        <w:rPr>
          <w:sz w:val="20"/>
          <w:szCs w:val="20"/>
          <w:color w:val="auto"/>
        </w:rPr>
      </w:pPr>
      <w:r>
        <w:rPr>
          <w:rFonts w:ascii="Arial" w:cs="Arial" w:eastAsia="Arial" w:hAnsi="Arial"/>
          <w:sz w:val="19"/>
          <w:szCs w:val="19"/>
          <w:color w:val="auto"/>
        </w:rPr>
        <w:t>Mr. Hatfield — $1,836,488; Mr. Edington — $14,222,321; Mr. Falck — $1,549,787; and Mr. Schiavoni — $1,490,275. These amounts are based on the following assumptions: (1) the Traditional Formula Benefit is paid in the form of a monthly annuity to the Named Executive Officer's spouse for life following his death and benefit payments commence immediately; (2) the Account Balance Benefit is paid in the form of an immediate lump sum to his spouse; and (3) in the case of Mr. Edington, 50% of the benefit is paid as an annuity and 50% of the benefit is paid as a lump sum to his spouse as provided in his employment agreements.</w:t>
      </w:r>
    </w:p>
    <w:p>
      <w:pPr>
        <w:spacing w:after="0" w:line="2" w:lineRule="exact"/>
        <w:rPr>
          <w:sz w:val="20"/>
          <w:szCs w:val="20"/>
          <w:color w:val="auto"/>
        </w:rPr>
      </w:pPr>
    </w:p>
    <w:p>
      <w:pPr>
        <w:ind w:right="200"/>
        <w:spacing w:after="0" w:line="236" w:lineRule="auto"/>
        <w:rPr>
          <w:sz w:val="20"/>
          <w:szCs w:val="20"/>
          <w:color w:val="auto"/>
        </w:rPr>
      </w:pPr>
      <w:r>
        <w:rPr>
          <w:rFonts w:ascii="Arial" w:cs="Arial" w:eastAsia="Arial" w:hAnsi="Arial"/>
          <w:sz w:val="20"/>
          <w:szCs w:val="20"/>
          <w:color w:val="auto"/>
        </w:rPr>
        <w:t>Mr. Brandt would have received $10,192,633 in the event of a Termination Event other than death due to his qualification for early retirement on December 31, 2015, and this amount is based on the assumption that the benefit would be payable as a monthly annuity beginning on January 1, 2016.</w:t>
      </w:r>
    </w:p>
    <w:p>
      <w:pPr>
        <w:spacing w:after="0" w:line="156" w:lineRule="exact"/>
        <w:rPr>
          <w:sz w:val="20"/>
          <w:szCs w:val="20"/>
          <w:color w:val="auto"/>
        </w:rPr>
      </w:pPr>
    </w:p>
    <w:p>
      <w:pPr>
        <w:jc w:val="both"/>
        <w:ind w:right="20"/>
        <w:spacing w:after="0" w:line="247" w:lineRule="auto"/>
        <w:rPr>
          <w:sz w:val="20"/>
          <w:szCs w:val="20"/>
          <w:color w:val="auto"/>
        </w:rPr>
      </w:pPr>
      <w:r>
        <w:rPr>
          <w:rFonts w:ascii="Arial" w:cs="Arial" w:eastAsia="Arial" w:hAnsi="Arial"/>
          <w:sz w:val="20"/>
          <w:szCs w:val="20"/>
          <w:color w:val="auto"/>
        </w:rPr>
        <w:t>The Falck DCP Discretionary Credits and the 2014 Edington DCP Discretionary Credits would trigger a payment in connection with certain Termination Events, which are identified below. The agreements are discussed in the narrative disclosure accompanying the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167640</wp:posOffset>
            </wp:positionV>
            <wp:extent cx="841375" cy="16383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82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91" w:name="page92"/>
    <w:bookmarkEnd w:id="9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right="460"/>
        <w:spacing w:after="0" w:line="265" w:lineRule="auto"/>
        <w:rPr>
          <w:sz w:val="20"/>
          <w:szCs w:val="20"/>
          <w:color w:val="auto"/>
        </w:rPr>
      </w:pPr>
      <w:r>
        <w:rPr>
          <w:rFonts w:ascii="Arial" w:cs="Arial" w:eastAsia="Arial" w:hAnsi="Arial"/>
          <w:sz w:val="20"/>
          <w:szCs w:val="20"/>
          <w:color w:val="auto"/>
        </w:rPr>
        <w:t xml:space="preserve">Compensation Table and the Grants of Plan-Based Awards table and in the Discussion of Nonqualified </w:t>
      </w:r>
      <w:r>
        <w:rPr>
          <w:rFonts w:ascii="Arial" w:cs="Arial" w:eastAsia="Arial" w:hAnsi="Arial"/>
          <w:sz w:val="13"/>
          <w:szCs w:val="13"/>
          <w:b w:val="1"/>
          <w:bCs w:val="1"/>
          <w:color w:val="FFFFFE"/>
        </w:rPr>
        <w:t>EXECUTIVE COMPENSATION</w:t>
      </w:r>
      <w:r>
        <w:rPr>
          <w:rFonts w:ascii="Arial" w:cs="Arial" w:eastAsia="Arial" w:hAnsi="Arial"/>
          <w:sz w:val="20"/>
          <w:szCs w:val="20"/>
          <w:color w:val="auto"/>
        </w:rPr>
        <w:t xml:space="preserve"> Deferred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5770245</wp:posOffset>
            </wp:positionH>
            <wp:positionV relativeFrom="paragraph">
              <wp:posOffset>-302895</wp:posOffset>
            </wp:positionV>
            <wp:extent cx="1487805" cy="15557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110" w:lineRule="exact"/>
        <w:rPr>
          <w:sz w:val="20"/>
          <w:szCs w:val="20"/>
          <w:color w:val="auto"/>
        </w:rPr>
      </w:pPr>
    </w:p>
    <w:p>
      <w:pPr>
        <w:ind w:right="100"/>
        <w:spacing w:after="0" w:line="247" w:lineRule="auto"/>
        <w:rPr>
          <w:sz w:val="20"/>
          <w:szCs w:val="20"/>
          <w:color w:val="auto"/>
        </w:rPr>
      </w:pPr>
      <w:r>
        <w:rPr>
          <w:rFonts w:ascii="Arial" w:cs="Arial" w:eastAsia="Arial" w:hAnsi="Arial"/>
          <w:sz w:val="19"/>
          <w:szCs w:val="19"/>
          <w:color w:val="auto"/>
        </w:rPr>
        <w:t>The Company has entered into identical Change of Control Agreements with each of its executive officers, including each of the Named Executive Officers. The Company believes that these agreements provide stability for its key management in the event the Company experiences a change of control. The agreements contain a "double-trigger" that provides for certain payments if, during the two-year period following a change of control of the Company (the "first trigger"), the Company terminates the officer's employment for any reason other than death, disability or cause or the executive terminates his or her own employment following a significant and detrimental change in the executive's employment (the "second trigger"). In case of an officer's retirement, death or disability, no payments are made under the officer's Change of Control Agreement, except for the payment of accrued benefits; however, if the officer dies following the officer's receipt of a second trigger termination notice, the officer's estate will receive the change of control payments the officer would have received if the officer had survived. Pursuant to the Change of Control Agreement, each of the Named Executive Officers is obligated to hold in confidence any and all information in his possession as a result of his employment, during and after the Named Executive Officer's employment with the Company is terminated.</w:t>
      </w:r>
    </w:p>
    <w:p>
      <w:pPr>
        <w:spacing w:after="0" w:line="151" w:lineRule="exact"/>
        <w:rPr>
          <w:sz w:val="20"/>
          <w:szCs w:val="20"/>
          <w:color w:val="auto"/>
        </w:rPr>
      </w:pPr>
    </w:p>
    <w:p>
      <w:pPr>
        <w:ind w:right="20"/>
        <w:spacing w:after="0" w:line="235" w:lineRule="auto"/>
        <w:rPr>
          <w:sz w:val="20"/>
          <w:szCs w:val="20"/>
          <w:color w:val="auto"/>
        </w:rPr>
      </w:pPr>
      <w:r>
        <w:rPr>
          <w:rFonts w:ascii="Arial" w:cs="Arial" w:eastAsia="Arial" w:hAnsi="Arial"/>
          <w:sz w:val="20"/>
          <w:szCs w:val="20"/>
          <w:color w:val="auto"/>
        </w:rPr>
        <w:t>The termination payment, if required, is an amount equal to 2.99 times the sum of the executive's annual salary at the time of the change of control plus the annual bonus (including incentive plan payments), as determined by an average over the last four-years preceding termination. In addition, the executive is entitled to continued medical, dental, and group life insurance benefits at a shared cost until the end of the second year following the calendar year of termination. Outplacement services are also provided. The executive officer may also be entitled to the acceleration of benefits as set forth in the 2012 Plan, the 2007 Long-Term Incentive Plan, or any related award agreement. If the limitations described in Section 280G of the Code are exceeded, the Company will not be able to deduct a portion of its payments. In addition, if these limitations are exceeded, Section 4999 of the Code imposes an excise tax on all or part of the total payments. In certain of the agreements, an additional gross-up payment equal to the excise tax (plus any penalties and interest) imposed on or with respect to the total payments is provided.</w:t>
      </w:r>
    </w:p>
    <w:p>
      <w:pPr>
        <w:spacing w:after="0" w:line="157" w:lineRule="exact"/>
        <w:rPr>
          <w:sz w:val="20"/>
          <w:szCs w:val="20"/>
          <w:color w:val="auto"/>
        </w:rPr>
      </w:pPr>
    </w:p>
    <w:p>
      <w:pPr>
        <w:ind w:right="200"/>
        <w:spacing w:after="0" w:line="239" w:lineRule="auto"/>
        <w:rPr>
          <w:sz w:val="20"/>
          <w:szCs w:val="20"/>
          <w:color w:val="auto"/>
        </w:rPr>
      </w:pPr>
      <w:r>
        <w:rPr>
          <w:rFonts w:ascii="Arial" w:cs="Arial" w:eastAsia="Arial" w:hAnsi="Arial"/>
          <w:sz w:val="20"/>
          <w:szCs w:val="20"/>
          <w:color w:val="auto"/>
        </w:rPr>
        <w:t>In May 2009, the Company determined that, on a going-forward basis, it would no longer provide excise tax gross-up payments in new and materially amended agreements with its Named Executive Officers. In unusual circumstances where the Company believes that accommodations have to be made to recruit a new executive to the Company, limited reimbursement for taxes payable may be included in an executive's contract; but even in those circumstances, the excise tax gross-ups will be subject to a three-year sunset provision.</w:t>
      </w:r>
    </w:p>
    <w:p>
      <w:pPr>
        <w:spacing w:after="0" w:line="155" w:lineRule="exact"/>
        <w:rPr>
          <w:sz w:val="20"/>
          <w:szCs w:val="20"/>
          <w:color w:val="auto"/>
        </w:rPr>
      </w:pPr>
    </w:p>
    <w:p>
      <w:pPr>
        <w:ind w:right="20"/>
        <w:spacing w:after="0" w:line="236" w:lineRule="auto"/>
        <w:rPr>
          <w:sz w:val="20"/>
          <w:szCs w:val="20"/>
          <w:color w:val="auto"/>
        </w:rPr>
      </w:pPr>
      <w:r>
        <w:rPr>
          <w:rFonts w:ascii="Arial" w:cs="Arial" w:eastAsia="Arial" w:hAnsi="Arial"/>
          <w:sz w:val="20"/>
          <w:szCs w:val="20"/>
          <w:color w:val="auto"/>
        </w:rPr>
        <w:t>A change of control under the Change of Control Agreement includes: (1) an unrelated third-party's acquisition of 20% or more of the Company's or APS's voting stock; (2) a merger or consolidation where either the Company or APS combines with any other corporation such that the Company's or APS's outstanding voting stock immediately prior to merger or consolidation represents less than 60% of the voting stock of the Company or APS immediately after the merger or consolidation, but excluding a merger or consolidation effected to implement a recapitalization in which no unrelated third-party acquires more than 20% of the voting stock of the Company or APS; (3) a sale, transfer, or other disposition of all or substantially all of the assets of the Company or APS to an unrelated third-party; or (4) the case where the</w:t>
      </w:r>
    </w:p>
    <w:p>
      <w:pPr>
        <w:spacing w:after="0" w:line="91"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92" w:name="page93"/>
    <w:bookmarkEnd w:id="92"/>
    <w:p>
      <w:pPr>
        <w:spacing w:after="0" w:line="189" w:lineRule="auto"/>
        <w:framePr w:w="1920" w:h="118" w:wrap="auto" w:vAnchor="page" w:hAnchor="page" w:x="660" w:y="610"/>
        <w:rPr>
          <w:rFonts w:ascii="Arial" w:cs="Arial" w:eastAsia="Arial" w:hAnsi="Arial"/>
          <w:sz w:val="13"/>
          <w:szCs w:val="13"/>
          <w:b w:val="1"/>
          <w:bCs w:val="1"/>
          <w:color w:val="FFFFFE"/>
        </w:rPr>
      </w:pPr>
      <w:r>
        <w:rPr>
          <w:rFonts w:ascii="Arial" w:cs="Arial" w:eastAsia="Arial" w:hAnsi="Arial"/>
          <w:sz w:val="13"/>
          <w:szCs w:val="13"/>
          <w:b w:val="1"/>
          <w:bCs w:val="1"/>
          <w:color w:val="FFFFFE"/>
        </w:rPr>
        <w:t>EXECUTIVE COMPENSATION</w:t>
      </w:r>
    </w:p>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rFonts w:ascii="Arial" w:cs="Arial" w:eastAsia="Arial" w:hAnsi="Arial"/>
          <w:sz w:val="13"/>
          <w:szCs w:val="13"/>
          <w:b w:val="1"/>
          <w:bCs w:val="1"/>
          <w:color w:val="FFFFFE"/>
        </w:rPr>
      </w:pPr>
    </w:p>
    <w:p>
      <w:pPr>
        <w:ind w:left="2342" w:right="60"/>
        <w:spacing w:after="0" w:line="255" w:lineRule="auto"/>
        <w:rPr>
          <w:sz w:val="20"/>
          <w:szCs w:val="20"/>
          <w:color w:val="auto"/>
        </w:rPr>
      </w:pPr>
      <w:r>
        <w:rPr>
          <w:rFonts w:ascii="Arial" w:cs="Arial" w:eastAsia="Arial" w:hAnsi="Arial"/>
          <w:sz w:val="19"/>
          <w:szCs w:val="19"/>
          <w:color w:val="auto"/>
        </w:rPr>
        <w:t>composition of either the Board of the Company or of APS changes such that the members of the Board of the Company (the "Company Incumbent Board") or of APS (the "APS Incumbent Board"), as of</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0</wp:posOffset>
            </wp:positionH>
            <wp:positionV relativeFrom="paragraph">
              <wp:posOffset>-274955</wp:posOffset>
            </wp:positionV>
            <wp:extent cx="1487805" cy="15557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ind w:left="2" w:right="40"/>
        <w:spacing w:after="0" w:line="248" w:lineRule="auto"/>
        <w:rPr>
          <w:sz w:val="20"/>
          <w:szCs w:val="20"/>
          <w:color w:val="auto"/>
        </w:rPr>
      </w:pPr>
      <w:r>
        <w:rPr>
          <w:rFonts w:ascii="Arial" w:cs="Arial" w:eastAsia="Arial" w:hAnsi="Arial"/>
          <w:sz w:val="19"/>
          <w:szCs w:val="19"/>
          <w:color w:val="auto"/>
        </w:rPr>
        <w:t>July 31, 2007 (and with respect to Messrs. Hatfield, Falck, and Schiavoni as of July 31, 2008) no longer comprises at least two-thirds of the Company's or APS's Board of Directors. For purposes of this later provision, a person elected to either Board is treated as a member of the Company Incumbent Board or APS Incumbent Board if his or her nomination or election by shareholders was approved by a two-thirds vote of the members then comprising the Company Incumbent Board or APS Incumbent Board, and it does not include anyone who became a director in an actual or threatened election contest relating to the election of directors.</w:t>
      </w:r>
    </w:p>
    <w:p>
      <w:pPr>
        <w:spacing w:after="0" w:line="156" w:lineRule="exact"/>
        <w:rPr>
          <w:rFonts w:ascii="Arial" w:cs="Arial" w:eastAsia="Arial" w:hAnsi="Arial"/>
          <w:sz w:val="13"/>
          <w:szCs w:val="13"/>
          <w:b w:val="1"/>
          <w:bCs w:val="1"/>
          <w:color w:val="FFFFFE"/>
        </w:rPr>
      </w:pPr>
    </w:p>
    <w:p>
      <w:pPr>
        <w:ind w:left="2" w:right="20"/>
        <w:spacing w:after="0" w:line="219" w:lineRule="auto"/>
        <w:rPr>
          <w:sz w:val="20"/>
          <w:szCs w:val="20"/>
          <w:color w:val="auto"/>
        </w:rPr>
      </w:pPr>
      <w:r>
        <w:rPr>
          <w:rFonts w:ascii="Arial" w:cs="Arial" w:eastAsia="Arial" w:hAnsi="Arial"/>
          <w:sz w:val="20"/>
          <w:szCs w:val="20"/>
          <w:color w:val="auto"/>
        </w:rPr>
        <w:t xml:space="preserve">Each of the agreements terminates on December 31 </w:t>
      </w:r>
      <w:r>
        <w:rPr>
          <w:rFonts w:ascii="Arial" w:cs="Arial" w:eastAsia="Arial" w:hAnsi="Arial"/>
          <w:sz w:val="32"/>
          <w:szCs w:val="32"/>
          <w:color w:val="auto"/>
          <w:vertAlign w:val="superscript"/>
        </w:rPr>
        <w:t>st</w:t>
      </w:r>
      <w:r>
        <w:rPr>
          <w:rFonts w:ascii="Arial" w:cs="Arial" w:eastAsia="Arial" w:hAnsi="Arial"/>
          <w:sz w:val="20"/>
          <w:szCs w:val="20"/>
          <w:color w:val="auto"/>
        </w:rPr>
        <w:t xml:space="preserve"> of each year upon six months advance notice by the Company to the executive officer; if the six months advance notice is not given, the agreements will continue for successive one-year periods until the notice is given. The Company is required to deposit into a trust sufficient funds to pay obligations under the DCP, 2005 Plan and the Supplemental Plan in the case of an actual or potential change of control.</w:t>
      </w:r>
    </w:p>
    <w:p>
      <w:pPr>
        <w:spacing w:after="0" w:line="154" w:lineRule="exact"/>
        <w:rPr>
          <w:rFonts w:ascii="Arial" w:cs="Arial" w:eastAsia="Arial" w:hAnsi="Arial"/>
          <w:sz w:val="13"/>
          <w:szCs w:val="13"/>
          <w:b w:val="1"/>
          <w:bCs w:val="1"/>
          <w:color w:val="FFFFFE"/>
        </w:rPr>
      </w:pPr>
    </w:p>
    <w:p>
      <w:pPr>
        <w:ind w:left="2"/>
        <w:spacing w:after="0"/>
        <w:rPr>
          <w:sz w:val="20"/>
          <w:szCs w:val="20"/>
          <w:color w:val="auto"/>
        </w:rPr>
      </w:pPr>
      <w:r>
        <w:rPr>
          <w:rFonts w:ascii="Arial" w:cs="Arial" w:eastAsia="Arial" w:hAnsi="Arial"/>
          <w:sz w:val="20"/>
          <w:szCs w:val="20"/>
          <w:color w:val="auto"/>
        </w:rPr>
        <w:t>The following tables quantify the amounts that would have been payable to each Named Executive Officer if the indicated</w:t>
      </w:r>
    </w:p>
    <w:p>
      <w:pPr>
        <w:spacing w:after="0" w:line="15" w:lineRule="exact"/>
        <w:rPr>
          <w:rFonts w:ascii="Arial" w:cs="Arial" w:eastAsia="Arial" w:hAnsi="Arial"/>
          <w:sz w:val="13"/>
          <w:szCs w:val="13"/>
          <w:b w:val="1"/>
          <w:bCs w:val="1"/>
          <w:color w:val="FFFFFE"/>
        </w:rPr>
      </w:pPr>
    </w:p>
    <w:p>
      <w:pPr>
        <w:ind w:left="2"/>
        <w:spacing w:after="0"/>
        <w:rPr>
          <w:sz w:val="20"/>
          <w:szCs w:val="20"/>
          <w:color w:val="auto"/>
        </w:rPr>
      </w:pPr>
      <w:r>
        <w:rPr>
          <w:rFonts w:ascii="Arial" w:cs="Arial" w:eastAsia="Arial" w:hAnsi="Arial"/>
          <w:sz w:val="20"/>
          <w:szCs w:val="20"/>
          <w:color w:val="auto"/>
        </w:rPr>
        <w:t>Termination Event had taken place on December 31, 2015. In the tables:</w:t>
      </w:r>
    </w:p>
    <w:p>
      <w:pPr>
        <w:spacing w:after="0" w:line="151" w:lineRule="exact"/>
        <w:rPr>
          <w:rFonts w:ascii="Arial" w:cs="Arial" w:eastAsia="Arial" w:hAnsi="Arial"/>
          <w:sz w:val="13"/>
          <w:szCs w:val="13"/>
          <w:b w:val="1"/>
          <w:bCs w:val="1"/>
          <w:color w:val="FFFFFE"/>
        </w:rPr>
      </w:pPr>
    </w:p>
    <w:p>
      <w:pPr>
        <w:ind w:left="482" w:right="80" w:hanging="482"/>
        <w:spacing w:after="0" w:line="236" w:lineRule="auto"/>
        <w:tabs>
          <w:tab w:leader="none" w:pos="482" w:val="left"/>
        </w:tabs>
        <w:numPr>
          <w:ilvl w:val="0"/>
          <w:numId w:val="96"/>
        </w:numPr>
        <w:rPr>
          <w:rFonts w:ascii="Arial" w:cs="Arial" w:eastAsia="Arial" w:hAnsi="Arial"/>
          <w:sz w:val="20"/>
          <w:szCs w:val="20"/>
          <w:color w:val="3A5575"/>
        </w:rPr>
      </w:pPr>
      <w:r>
        <w:rPr>
          <w:rFonts w:ascii="Arial" w:cs="Arial" w:eastAsia="Arial" w:hAnsi="Arial"/>
          <w:sz w:val="20"/>
          <w:szCs w:val="20"/>
          <w:color w:val="auto"/>
        </w:rPr>
        <w:t>We assume full vesting of outstanding performance shares (at the target level), RSUs, and a pro-rata portion of the Retention Grant (in the case of Mr. Brandt) upon a change of control. The performance shares and RSUs (excluding the Retention Grant) for the named Executive Officers vest upon a change of control whether or not there is a subsequent termination of employment (subject however, to the Board's ability to override the vesting), plus, where applicable, dividend equivalents. We also assume full vesting of $100,000 plus interest of the Falck DCP Discretionary Credits because the Falck DCP Discretionary Credits vest and become payable if the Company terminates Mr. Falck's employment without cause within two years following a change of control.</w:t>
      </w:r>
    </w:p>
    <w:p>
      <w:pPr>
        <w:spacing w:after="0" w:line="183" w:lineRule="exact"/>
        <w:rPr>
          <w:rFonts w:ascii="Arial" w:cs="Arial" w:eastAsia="Arial" w:hAnsi="Arial"/>
          <w:sz w:val="20"/>
          <w:szCs w:val="20"/>
          <w:color w:val="3A5575"/>
        </w:rPr>
      </w:pPr>
    </w:p>
    <w:p>
      <w:pPr>
        <w:ind w:left="482" w:hanging="482"/>
        <w:spacing w:after="0" w:line="239" w:lineRule="auto"/>
        <w:tabs>
          <w:tab w:leader="none" w:pos="482" w:val="left"/>
        </w:tabs>
        <w:numPr>
          <w:ilvl w:val="0"/>
          <w:numId w:val="96"/>
        </w:numPr>
        <w:rPr>
          <w:rFonts w:ascii="Arial" w:cs="Arial" w:eastAsia="Arial" w:hAnsi="Arial"/>
          <w:sz w:val="20"/>
          <w:szCs w:val="20"/>
          <w:color w:val="3A5575"/>
        </w:rPr>
      </w:pPr>
      <w:r>
        <w:rPr>
          <w:rFonts w:ascii="Arial" w:cs="Arial" w:eastAsia="Arial" w:hAnsi="Arial"/>
          <w:sz w:val="20"/>
          <w:szCs w:val="20"/>
          <w:color w:val="auto"/>
        </w:rPr>
        <w:t>Retirement benefits payable to Mr. Brandt include full vesting of outstanding performance shares (at the target level) and RSUs (excluding the Retention Grant), retirement benefits payable to Mr. Falck and Mr. Schiavoni include a pro-rata vesting of their outstanding performance shares (at the target level) and outstanding 2013 through 2015 RSUs, and retirement benefits payable to Mr. Edington include a pro-rata vesting of his outstanding performance shares (at the target level) and full vesting of outstanding 2012 through 2014 RSUs, plus, in all cases where applicable, dividend equivalents.</w:t>
      </w:r>
    </w:p>
    <w:p>
      <w:pPr>
        <w:spacing w:after="0" w:line="167" w:lineRule="exact"/>
        <w:rPr>
          <w:rFonts w:ascii="Arial" w:cs="Arial" w:eastAsia="Arial" w:hAnsi="Arial"/>
          <w:sz w:val="20"/>
          <w:szCs w:val="20"/>
          <w:color w:val="3A5575"/>
        </w:rPr>
      </w:pPr>
    </w:p>
    <w:p>
      <w:pPr>
        <w:ind w:left="482" w:hanging="482"/>
        <w:spacing w:after="0" w:line="242" w:lineRule="auto"/>
        <w:tabs>
          <w:tab w:leader="none" w:pos="482" w:val="left"/>
        </w:tabs>
        <w:numPr>
          <w:ilvl w:val="0"/>
          <w:numId w:val="96"/>
        </w:numPr>
        <w:rPr>
          <w:rFonts w:ascii="Arial" w:cs="Arial" w:eastAsia="Arial" w:hAnsi="Arial"/>
          <w:sz w:val="20"/>
          <w:szCs w:val="20"/>
          <w:color w:val="3A5575"/>
        </w:rPr>
      </w:pPr>
      <w:r>
        <w:rPr>
          <w:rFonts w:ascii="Arial" w:cs="Arial" w:eastAsia="Arial" w:hAnsi="Arial"/>
          <w:sz w:val="20"/>
          <w:szCs w:val="20"/>
          <w:color w:val="auto"/>
        </w:rPr>
        <w:t>Death or disability benefits payable to Messrs. Brandt, Edington, Falck and Schiavoni include full vesting of outstanding performance shares (at the target level) and 2013 through 2015 RSUs, for Mr. Brandt a pro-rata portion of the Retention Grant and $100,000 plus interest of the Falck DCP Discretionary Credits and the 2014 Edington DCP Discretionary Credits plus interest.</w:t>
      </w:r>
    </w:p>
    <w:p>
      <w:pPr>
        <w:spacing w:after="0" w:line="164" w:lineRule="exact"/>
        <w:rPr>
          <w:rFonts w:ascii="Arial" w:cs="Arial" w:eastAsia="Arial" w:hAnsi="Arial"/>
          <w:sz w:val="20"/>
          <w:szCs w:val="20"/>
          <w:color w:val="3A5575"/>
        </w:rPr>
      </w:pPr>
    </w:p>
    <w:p>
      <w:pPr>
        <w:ind w:left="482" w:hanging="482"/>
        <w:spacing w:after="0"/>
        <w:tabs>
          <w:tab w:leader="none" w:pos="482" w:val="left"/>
        </w:tabs>
        <w:numPr>
          <w:ilvl w:val="0"/>
          <w:numId w:val="96"/>
        </w:numPr>
        <w:rPr>
          <w:rFonts w:ascii="Arial" w:cs="Arial" w:eastAsia="Arial" w:hAnsi="Arial"/>
          <w:sz w:val="20"/>
          <w:szCs w:val="20"/>
          <w:color w:val="3A5575"/>
        </w:rPr>
      </w:pPr>
      <w:r>
        <w:rPr>
          <w:rFonts w:ascii="Arial" w:cs="Arial" w:eastAsia="Arial" w:hAnsi="Arial"/>
          <w:sz w:val="20"/>
          <w:szCs w:val="20"/>
          <w:color w:val="auto"/>
        </w:rPr>
        <w:t>The amounts in the "All Other Termination Events" columns consist of payments upon termination without cause for</w:t>
      </w:r>
    </w:p>
    <w:p>
      <w:pPr>
        <w:spacing w:after="0" w:line="14" w:lineRule="exact"/>
        <w:rPr>
          <w:rFonts w:ascii="Arial" w:cs="Arial" w:eastAsia="Arial" w:hAnsi="Arial"/>
          <w:sz w:val="20"/>
          <w:szCs w:val="20"/>
          <w:color w:val="3A5575"/>
        </w:rPr>
      </w:pPr>
    </w:p>
    <w:p>
      <w:pPr>
        <w:ind w:left="482" w:right="260"/>
        <w:spacing w:after="0" w:line="236" w:lineRule="auto"/>
        <w:rPr>
          <w:rFonts w:ascii="Arial" w:cs="Arial" w:eastAsia="Arial" w:hAnsi="Arial"/>
          <w:sz w:val="20"/>
          <w:szCs w:val="20"/>
          <w:color w:val="3A5575"/>
        </w:rPr>
      </w:pPr>
      <w:r>
        <w:rPr>
          <w:rFonts w:ascii="Arial" w:cs="Arial" w:eastAsia="Arial" w:hAnsi="Arial"/>
          <w:sz w:val="20"/>
          <w:szCs w:val="20"/>
          <w:color w:val="auto"/>
        </w:rPr>
        <w:t>Mr. Brandt and the 2014 Edington DCP Discretionary Credits plus interest for Mr. Edington because the full amount of the 2014 Edington DCP Discretionary Credits vest and become payable if the Company terminates Mr. Edington's employment without cause.</w:t>
      </w:r>
    </w:p>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319405</wp:posOffset>
            </wp:positionH>
            <wp:positionV relativeFrom="paragraph">
              <wp:posOffset>172720</wp:posOffset>
            </wp:positionV>
            <wp:extent cx="841375" cy="16383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7" w:lineRule="exact"/>
        <w:rPr>
          <w:rFonts w:ascii="Arial" w:cs="Arial" w:eastAsia="Arial" w:hAnsi="Arial"/>
          <w:sz w:val="13"/>
          <w:szCs w:val="13"/>
          <w:b w:val="1"/>
          <w:bCs w:val="1"/>
          <w:color w:val="FFFFFE"/>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84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rFonts w:ascii="Arial" w:cs="Arial" w:eastAsia="Arial" w:hAnsi="Arial"/>
          <w:sz w:val="13"/>
          <w:szCs w:val="13"/>
          <w:b w:val="1"/>
          <w:bCs w:val="1"/>
          <w:color w:val="FFFFFE"/>
        </w:rPr>
      </w:pPr>
      <w:r>
        <w:rPr>
          <w:rFonts w:ascii="Arial" w:cs="Arial" w:eastAsia="Arial" w:hAnsi="Arial"/>
          <w:sz w:val="13"/>
          <w:szCs w:val="13"/>
          <w:b w:val="1"/>
          <w:bCs w:val="1"/>
          <w:color w:val="FFFFFE"/>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93" w:name="page94"/>
    <w:bookmarkEnd w:id="93"/>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spacing w:after="0" w:line="265" w:lineRule="auto"/>
        <w:rPr>
          <w:sz w:val="20"/>
          <w:szCs w:val="20"/>
          <w:color w:val="auto"/>
        </w:rPr>
      </w:pPr>
      <w:r>
        <w:rPr>
          <w:rFonts w:ascii="Arial" w:cs="Arial" w:eastAsia="Arial" w:hAnsi="Arial"/>
          <w:sz w:val="20"/>
          <w:szCs w:val="20"/>
          <w:color w:val="auto"/>
        </w:rPr>
        <w:t>Subject to the foregoing, the following tables describe the amounts that would have been payable to each Named Executive Officer if a Termination Event had taken place on December 31, 2015:</w:t>
      </w:r>
    </w:p>
    <w:p>
      <w:pPr>
        <w:spacing w:after="0" w:line="130" w:lineRule="exact"/>
        <w:rPr>
          <w:sz w:val="20"/>
          <w:szCs w:val="20"/>
          <w:color w:val="auto"/>
        </w:rPr>
      </w:pPr>
    </w:p>
    <w:p>
      <w:pPr>
        <w:spacing w:after="0"/>
        <w:rPr>
          <w:sz w:val="20"/>
          <w:szCs w:val="20"/>
          <w:color w:val="auto"/>
        </w:rPr>
      </w:pPr>
      <w:r>
        <w:rPr>
          <w:rFonts w:ascii="Arial" w:cs="Arial" w:eastAsia="Arial" w:hAnsi="Arial"/>
          <w:sz w:val="20"/>
          <w:szCs w:val="20"/>
          <w:b w:val="1"/>
          <w:bCs w:val="1"/>
          <w:i w:val="1"/>
          <w:iCs w:val="1"/>
          <w:color w:val="auto"/>
        </w:rPr>
        <w:t>Donald E. Brandt: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3"/>
          <w:szCs w:val="13"/>
          <w:b w:val="1"/>
          <w:bCs w:val="1"/>
          <w:color w:val="FFFFFE"/>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-116840</wp:posOffset>
            </wp:positionV>
            <wp:extent cx="1487805" cy="15557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853" w:lineRule="exact"/>
        <w:rPr>
          <w:sz w:val="20"/>
          <w:szCs w:val="20"/>
          <w:color w:val="auto"/>
        </w:rPr>
      </w:pPr>
    </w:p>
    <w:p>
      <w:pPr>
        <w:sectPr>
          <w:pgSz w:w="11900" w:h="16838" w:orient="portrait"/>
          <w:cols w:equalWidth="0" w:num="2">
            <w:col w:w="8660" w:space="480"/>
            <w:col w:w="2380"/>
          </w:cols>
          <w:pgMar w:left="240" w:top="110" w:right="139" w:bottom="1440" w:gutter="0" w:footer="0" w:header="0"/>
        </w:sectPr>
      </w:pPr>
    </w:p>
    <w:p>
      <w:pPr>
        <w:spacing w:after="0" w:line="317" w:lineRule="exact"/>
        <w:rPr>
          <w:sz w:val="20"/>
          <w:szCs w:val="20"/>
          <w:color w:val="auto"/>
        </w:rPr>
      </w:pPr>
    </w:p>
    <w:tbl>
      <w:tblPr>
        <w:tblLayout w:type="fixed"/>
        <w:tblInd w:w="146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2640" w:type="dxa"/>
            <w:vAlign w:val="bottom"/>
          </w:tcPr>
          <w:p>
            <w:pPr>
              <w:spacing w:after="0"/>
              <w:rPr>
                <w:sz w:val="19"/>
                <w:szCs w:val="19"/>
                <w:color w:val="auto"/>
              </w:rPr>
            </w:pPr>
          </w:p>
        </w:tc>
        <w:tc>
          <w:tcPr>
            <w:tcW w:w="146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8"/>
              </w:rPr>
              <w:t>CHANGE OF</w:t>
            </w:r>
          </w:p>
        </w:tc>
        <w:tc>
          <w:tcPr>
            <w:tcW w:w="130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7"/>
              </w:rPr>
              <w:t>DEATH OR</w:t>
            </w:r>
          </w:p>
        </w:tc>
        <w:tc>
          <w:tcPr>
            <w:tcW w:w="1500" w:type="dxa"/>
            <w:vAlign w:val="bottom"/>
          </w:tcPr>
          <w:p>
            <w:pPr>
              <w:spacing w:after="0"/>
              <w:rPr>
                <w:sz w:val="19"/>
                <w:szCs w:val="19"/>
                <w:color w:val="auto"/>
              </w:rPr>
            </w:pPr>
          </w:p>
        </w:tc>
        <w:tc>
          <w:tcPr>
            <w:tcW w:w="1460" w:type="dxa"/>
            <w:vAlign w:val="bottom"/>
          </w:tcPr>
          <w:p>
            <w:pPr>
              <w:jc w:val="center"/>
              <w:ind w:left="2"/>
              <w:spacing w:after="0"/>
              <w:rPr>
                <w:sz w:val="20"/>
                <w:szCs w:val="20"/>
                <w:color w:val="auto"/>
              </w:rPr>
            </w:pPr>
            <w:r>
              <w:rPr>
                <w:rFonts w:ascii="Arial" w:cs="Arial" w:eastAsia="Arial" w:hAnsi="Arial"/>
                <w:sz w:val="20"/>
                <w:szCs w:val="20"/>
                <w:b w:val="1"/>
                <w:bCs w:val="1"/>
                <w:color w:val="3A5575"/>
                <w:w w:val="97"/>
              </w:rPr>
              <w:t>ALL OTHER</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tcPr>
          <w:p>
            <w:pPr>
              <w:spacing w:after="0"/>
              <w:rPr>
                <w:sz w:val="19"/>
                <w:szCs w:val="19"/>
                <w:color w:val="auto"/>
              </w:rPr>
            </w:pPr>
          </w:p>
        </w:tc>
        <w:tc>
          <w:tcPr>
            <w:tcW w:w="1460" w:type="dxa"/>
            <w:vAlign w:val="bottom"/>
            <w:vMerge w:val="continue"/>
          </w:tcPr>
          <w:p>
            <w:pPr>
              <w:spacing w:after="0"/>
              <w:rPr>
                <w:sz w:val="19"/>
                <w:szCs w:val="19"/>
                <w:color w:val="auto"/>
              </w:rPr>
            </w:pPr>
          </w:p>
        </w:tc>
        <w:tc>
          <w:tcPr>
            <w:tcW w:w="1300" w:type="dxa"/>
            <w:vAlign w:val="bottom"/>
            <w:vMerge w:val="continue"/>
          </w:tcPr>
          <w:p>
            <w:pPr>
              <w:spacing w:after="0"/>
              <w:rPr>
                <w:sz w:val="19"/>
                <w:szCs w:val="19"/>
                <w:color w:val="auto"/>
              </w:rPr>
            </w:pPr>
          </w:p>
        </w:tc>
        <w:tc>
          <w:tcPr>
            <w:tcW w:w="1500" w:type="dxa"/>
            <w:vAlign w:val="bottom"/>
            <w:vMerge w:val="restart"/>
          </w:tcPr>
          <w:p>
            <w:pPr>
              <w:jc w:val="right"/>
              <w:ind w:right="22"/>
              <w:spacing w:after="0"/>
              <w:rPr>
                <w:sz w:val="20"/>
                <w:szCs w:val="20"/>
                <w:color w:val="auto"/>
              </w:rPr>
            </w:pPr>
            <w:r>
              <w:rPr>
                <w:rFonts w:ascii="Arial" w:cs="Arial" w:eastAsia="Arial" w:hAnsi="Arial"/>
                <w:sz w:val="20"/>
                <w:szCs w:val="20"/>
                <w:b w:val="1"/>
                <w:bCs w:val="1"/>
                <w:color w:val="3A5575"/>
              </w:rPr>
              <w:t>RETIREMENT</w:t>
            </w:r>
          </w:p>
        </w:tc>
        <w:tc>
          <w:tcPr>
            <w:tcW w:w="1460" w:type="dxa"/>
            <w:vAlign w:val="bottom"/>
          </w:tcPr>
          <w:p>
            <w:pPr>
              <w:jc w:val="center"/>
              <w:ind w:left="2"/>
              <w:spacing w:after="0" w:line="221" w:lineRule="exact"/>
              <w:rPr>
                <w:sz w:val="20"/>
                <w:szCs w:val="20"/>
                <w:color w:val="auto"/>
              </w:rPr>
            </w:pPr>
            <w:r>
              <w:rPr>
                <w:rFonts w:ascii="Arial" w:cs="Arial" w:eastAsia="Arial" w:hAnsi="Arial"/>
                <w:sz w:val="20"/>
                <w:szCs w:val="20"/>
                <w:b w:val="1"/>
                <w:bCs w:val="1"/>
                <w:color w:val="3A5575"/>
                <w:w w:val="97"/>
              </w:rPr>
              <w:t>TERMINATION</w:t>
            </w:r>
          </w:p>
        </w:tc>
        <w:tc>
          <w:tcPr>
            <w:tcW w:w="0" w:type="dxa"/>
            <w:vAlign w:val="bottom"/>
          </w:tcPr>
          <w:p>
            <w:pPr>
              <w:spacing w:after="0"/>
              <w:rPr>
                <w:sz w:val="1"/>
                <w:szCs w:val="1"/>
                <w:color w:val="auto"/>
              </w:rPr>
            </w:pPr>
          </w:p>
        </w:tc>
      </w:tr>
      <w:tr>
        <w:trPr>
          <w:trHeight w:val="221"/>
        </w:trPr>
        <w:tc>
          <w:tcPr>
            <w:tcW w:w="266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COMPONENT OF PAY</w:t>
            </w:r>
          </w:p>
        </w:tc>
        <w:tc>
          <w:tcPr>
            <w:tcW w:w="146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9"/>
              </w:rPr>
              <w:t>CONTROL</w:t>
            </w:r>
          </w:p>
        </w:tc>
        <w:tc>
          <w:tcPr>
            <w:tcW w:w="130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8"/>
              </w:rPr>
              <w:t>DISABILITY</w:t>
            </w:r>
          </w:p>
        </w:tc>
        <w:tc>
          <w:tcPr>
            <w:tcW w:w="1500" w:type="dxa"/>
            <w:vAlign w:val="bottom"/>
            <w:vMerge w:val="continue"/>
          </w:tcPr>
          <w:p>
            <w:pPr>
              <w:spacing w:after="0"/>
              <w:rPr>
                <w:sz w:val="19"/>
                <w:szCs w:val="19"/>
                <w:color w:val="auto"/>
              </w:rPr>
            </w:pPr>
          </w:p>
        </w:tc>
        <w:tc>
          <w:tcPr>
            <w:tcW w:w="1460" w:type="dxa"/>
            <w:vAlign w:val="bottom"/>
          </w:tcPr>
          <w:p>
            <w:pPr>
              <w:jc w:val="center"/>
              <w:ind w:left="2"/>
              <w:spacing w:after="0" w:line="221" w:lineRule="exact"/>
              <w:rPr>
                <w:sz w:val="20"/>
                <w:szCs w:val="20"/>
                <w:color w:val="auto"/>
              </w:rPr>
            </w:pPr>
            <w:r>
              <w:rPr>
                <w:rFonts w:ascii="Arial" w:cs="Arial" w:eastAsia="Arial" w:hAnsi="Arial"/>
                <w:sz w:val="20"/>
                <w:szCs w:val="20"/>
                <w:b w:val="1"/>
                <w:bCs w:val="1"/>
                <w:color w:val="3A5575"/>
                <w:w w:val="99"/>
              </w:rPr>
              <w:t>EVENTS</w:t>
            </w:r>
          </w:p>
        </w:tc>
        <w:tc>
          <w:tcPr>
            <w:tcW w:w="0" w:type="dxa"/>
            <w:vAlign w:val="bottom"/>
          </w:tcPr>
          <w:p>
            <w:pPr>
              <w:spacing w:after="0"/>
              <w:rPr>
                <w:sz w:val="1"/>
                <w:szCs w:val="1"/>
                <w:color w:val="auto"/>
              </w:rPr>
            </w:pPr>
          </w:p>
        </w:tc>
      </w:tr>
      <w:tr>
        <w:trPr>
          <w:trHeight w:val="255"/>
        </w:trPr>
        <w:tc>
          <w:tcPr>
            <w:tcW w:w="2660" w:type="dxa"/>
            <w:vAlign w:val="bottom"/>
            <w:tcBorders>
              <w:bottom w:val="single" w:sz="8" w:color="646466"/>
            </w:tcBorders>
            <w:gridSpan w:val="2"/>
            <w:vMerge w:val="continue"/>
          </w:tcPr>
          <w:p>
            <w:pPr>
              <w:spacing w:after="0"/>
              <w:rPr>
                <w:sz w:val="22"/>
                <w:szCs w:val="22"/>
                <w:color w:val="auto"/>
              </w:rPr>
            </w:pPr>
          </w:p>
        </w:tc>
        <w:tc>
          <w:tcPr>
            <w:tcW w:w="1460" w:type="dxa"/>
            <w:vAlign w:val="bottom"/>
            <w:tcBorders>
              <w:bottom w:val="single" w:sz="8" w:color="646466"/>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1300" w:type="dxa"/>
            <w:vAlign w:val="bottom"/>
            <w:tcBorders>
              <w:bottom w:val="single" w:sz="8" w:color="646466"/>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1500" w:type="dxa"/>
            <w:vAlign w:val="bottom"/>
            <w:tcBorders>
              <w:bottom w:val="single" w:sz="8" w:color="646466"/>
            </w:tcBorders>
          </w:tcPr>
          <w:p>
            <w:pPr>
              <w:jc w:val="right"/>
              <w:ind w:right="522"/>
              <w:spacing w:after="0"/>
              <w:rPr>
                <w:sz w:val="20"/>
                <w:szCs w:val="20"/>
                <w:color w:val="auto"/>
              </w:rPr>
            </w:pPr>
            <w:r>
              <w:rPr>
                <w:rFonts w:ascii="Arial" w:cs="Arial" w:eastAsia="Arial" w:hAnsi="Arial"/>
                <w:sz w:val="20"/>
                <w:szCs w:val="20"/>
                <w:b w:val="1"/>
                <w:bCs w:val="1"/>
                <w:color w:val="3A5575"/>
              </w:rPr>
              <w:t>($)</w:t>
            </w:r>
          </w:p>
        </w:tc>
        <w:tc>
          <w:tcPr>
            <w:tcW w:w="1460" w:type="dxa"/>
            <w:vAlign w:val="bottom"/>
            <w:tcBorders>
              <w:bottom w:val="single" w:sz="8" w:color="646466"/>
            </w:tcBorders>
          </w:tcPr>
          <w:p>
            <w:pPr>
              <w:jc w:val="center"/>
              <w:ind w:left="2"/>
              <w:spacing w:after="0"/>
              <w:rPr>
                <w:sz w:val="20"/>
                <w:szCs w:val="20"/>
                <w:color w:val="auto"/>
              </w:rPr>
            </w:pPr>
            <w:r>
              <w:rPr>
                <w:rFonts w:ascii="Arial" w:cs="Arial" w:eastAsia="Arial" w:hAnsi="Arial"/>
                <w:sz w:val="20"/>
                <w:szCs w:val="20"/>
                <w:b w:val="1"/>
                <w:bCs w:val="1"/>
                <w:color w:val="3A5575"/>
                <w:w w:val="97"/>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264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Performance Shares</w:t>
            </w:r>
          </w:p>
        </w:tc>
        <w:tc>
          <w:tcPr>
            <w:tcW w:w="1460" w:type="dxa"/>
            <w:vAlign w:val="bottom"/>
            <w:shd w:val="clear" w:color="auto" w:fill="E3E5EB"/>
          </w:tcPr>
          <w:p>
            <w:pPr>
              <w:jc w:val="right"/>
              <w:ind w:right="122"/>
              <w:spacing w:after="0" w:line="213" w:lineRule="exact"/>
              <w:rPr>
                <w:sz w:val="20"/>
                <w:szCs w:val="20"/>
                <w:color w:val="auto"/>
              </w:rPr>
            </w:pPr>
            <w:r>
              <w:rPr>
                <w:rFonts w:ascii="Arial" w:cs="Arial" w:eastAsia="Arial" w:hAnsi="Arial"/>
                <w:sz w:val="20"/>
                <w:szCs w:val="20"/>
                <w:color w:val="auto"/>
              </w:rPr>
              <w:t>8,220,210</w:t>
            </w:r>
          </w:p>
        </w:tc>
        <w:tc>
          <w:tcPr>
            <w:tcW w:w="1300" w:type="dxa"/>
            <w:vAlign w:val="bottom"/>
            <w:shd w:val="clear" w:color="auto" w:fill="E3E5EB"/>
          </w:tcPr>
          <w:p>
            <w:pPr>
              <w:jc w:val="right"/>
              <w:ind w:right="42"/>
              <w:spacing w:after="0" w:line="213" w:lineRule="exact"/>
              <w:rPr>
                <w:sz w:val="20"/>
                <w:szCs w:val="20"/>
                <w:color w:val="auto"/>
              </w:rPr>
            </w:pPr>
            <w:r>
              <w:rPr>
                <w:rFonts w:ascii="Arial" w:cs="Arial" w:eastAsia="Arial" w:hAnsi="Arial"/>
                <w:sz w:val="20"/>
                <w:szCs w:val="20"/>
                <w:color w:val="auto"/>
              </w:rPr>
              <w:t>5,802,977</w:t>
            </w:r>
          </w:p>
        </w:tc>
        <w:tc>
          <w:tcPr>
            <w:tcW w:w="1500" w:type="dxa"/>
            <w:vAlign w:val="bottom"/>
            <w:shd w:val="clear" w:color="auto" w:fill="E3E5EB"/>
          </w:tcPr>
          <w:p>
            <w:pPr>
              <w:jc w:val="right"/>
              <w:ind w:right="162"/>
              <w:spacing w:after="0" w:line="213" w:lineRule="exact"/>
              <w:rPr>
                <w:sz w:val="20"/>
                <w:szCs w:val="20"/>
                <w:color w:val="auto"/>
              </w:rPr>
            </w:pPr>
            <w:r>
              <w:rPr>
                <w:rFonts w:ascii="Arial" w:cs="Arial" w:eastAsia="Arial" w:hAnsi="Arial"/>
                <w:sz w:val="20"/>
                <w:szCs w:val="20"/>
                <w:color w:val="auto"/>
              </w:rPr>
              <w:t>5,802,977</w:t>
            </w:r>
          </w:p>
        </w:tc>
        <w:tc>
          <w:tcPr>
            <w:tcW w:w="1460" w:type="dxa"/>
            <w:vAlign w:val="bottom"/>
            <w:shd w:val="clear" w:color="auto" w:fill="E3E5EB"/>
          </w:tcPr>
          <w:p>
            <w:pPr>
              <w:jc w:val="right"/>
              <w:ind w:right="142"/>
              <w:spacing w:after="0" w:line="213" w:lineRule="exact"/>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tcPr>
          <w:p>
            <w:pPr>
              <w:spacing w:after="0" w:line="221" w:lineRule="exact"/>
              <w:rPr>
                <w:sz w:val="20"/>
                <w:szCs w:val="20"/>
                <w:color w:val="auto"/>
              </w:rPr>
            </w:pPr>
            <w:r>
              <w:rPr>
                <w:rFonts w:ascii="Arial" w:cs="Arial" w:eastAsia="Arial" w:hAnsi="Arial"/>
                <w:sz w:val="20"/>
                <w:szCs w:val="20"/>
                <w:color w:val="auto"/>
              </w:rPr>
              <w:t>RSUs</w:t>
            </w:r>
          </w:p>
        </w:tc>
        <w:tc>
          <w:tcPr>
            <w:tcW w:w="1460" w:type="dxa"/>
            <w:vAlign w:val="bottom"/>
          </w:tcPr>
          <w:p>
            <w:pPr>
              <w:jc w:val="right"/>
              <w:ind w:right="122"/>
              <w:spacing w:after="0" w:line="221" w:lineRule="exact"/>
              <w:rPr>
                <w:sz w:val="20"/>
                <w:szCs w:val="20"/>
                <w:color w:val="auto"/>
              </w:rPr>
            </w:pPr>
            <w:r>
              <w:rPr>
                <w:rFonts w:ascii="Arial" w:cs="Arial" w:eastAsia="Arial" w:hAnsi="Arial"/>
                <w:sz w:val="20"/>
                <w:szCs w:val="20"/>
                <w:color w:val="auto"/>
              </w:rPr>
              <w:t>9,281,182</w:t>
            </w:r>
          </w:p>
        </w:tc>
        <w:tc>
          <w:tcPr>
            <w:tcW w:w="1300" w:type="dxa"/>
            <w:vAlign w:val="bottom"/>
          </w:tcPr>
          <w:p>
            <w:pPr>
              <w:jc w:val="right"/>
              <w:ind w:right="42"/>
              <w:spacing w:after="0" w:line="221" w:lineRule="exact"/>
              <w:rPr>
                <w:sz w:val="20"/>
                <w:szCs w:val="20"/>
                <w:color w:val="auto"/>
              </w:rPr>
            </w:pPr>
            <w:r>
              <w:rPr>
                <w:rFonts w:ascii="Arial" w:cs="Arial" w:eastAsia="Arial" w:hAnsi="Arial"/>
                <w:sz w:val="20"/>
                <w:szCs w:val="20"/>
                <w:color w:val="auto"/>
              </w:rPr>
              <w:t>8,650,607</w:t>
            </w:r>
          </w:p>
        </w:tc>
        <w:tc>
          <w:tcPr>
            <w:tcW w:w="150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5,874,786</w:t>
            </w:r>
          </w:p>
        </w:tc>
        <w:tc>
          <w:tcPr>
            <w:tcW w:w="1460" w:type="dxa"/>
            <w:vAlign w:val="bottom"/>
          </w:tcPr>
          <w:p>
            <w:pPr>
              <w:jc w:val="right"/>
              <w:ind w:right="142"/>
              <w:spacing w:after="0" w:line="221" w:lineRule="exact"/>
              <w:rPr>
                <w:sz w:val="20"/>
                <w:szCs w:val="20"/>
                <w:color w:val="auto"/>
              </w:rPr>
            </w:pPr>
            <w:r>
              <w:rPr>
                <w:rFonts w:ascii="Arial" w:cs="Arial" w:eastAsia="Arial" w:hAnsi="Arial"/>
                <w:sz w:val="20"/>
                <w:szCs w:val="20"/>
                <w:color w:val="auto"/>
              </w:rPr>
              <w:t>3,684,194</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Severance Benefits</w:t>
            </w:r>
          </w:p>
        </w:tc>
        <w:tc>
          <w:tcPr>
            <w:tcW w:w="1460" w:type="dxa"/>
            <w:vAlign w:val="bottom"/>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9,184,410</w:t>
            </w:r>
          </w:p>
        </w:tc>
        <w:tc>
          <w:tcPr>
            <w:tcW w:w="1300" w:type="dxa"/>
            <w:vAlign w:val="bottom"/>
            <w:shd w:val="clear" w:color="auto" w:fill="E3E5EB"/>
          </w:tcPr>
          <w:p>
            <w:pPr>
              <w:jc w:val="right"/>
              <w:ind w:right="42"/>
              <w:spacing w:after="0" w:line="221" w:lineRule="exact"/>
              <w:rPr>
                <w:sz w:val="20"/>
                <w:szCs w:val="20"/>
                <w:color w:val="auto"/>
              </w:rPr>
            </w:pPr>
            <w:r>
              <w:rPr>
                <w:rFonts w:ascii="Arial" w:cs="Arial" w:eastAsia="Arial" w:hAnsi="Arial"/>
                <w:sz w:val="20"/>
                <w:szCs w:val="20"/>
                <w:color w:val="auto"/>
              </w:rPr>
              <w:t>0</w:t>
            </w:r>
          </w:p>
        </w:tc>
        <w:tc>
          <w:tcPr>
            <w:tcW w:w="1500" w:type="dxa"/>
            <w:vAlign w:val="bottom"/>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2640" w:type="dxa"/>
            <w:vAlign w:val="bottom"/>
          </w:tcPr>
          <w:p>
            <w:pPr>
              <w:spacing w:after="0" w:line="191" w:lineRule="exact"/>
              <w:rPr>
                <w:sz w:val="20"/>
                <w:szCs w:val="20"/>
                <w:color w:val="auto"/>
              </w:rPr>
            </w:pPr>
            <w:r>
              <w:rPr>
                <w:rFonts w:ascii="Arial" w:cs="Arial" w:eastAsia="Arial" w:hAnsi="Arial"/>
                <w:sz w:val="20"/>
                <w:szCs w:val="20"/>
                <w:color w:val="auto"/>
              </w:rPr>
              <w:t>Present Value of Medical,</w:t>
            </w:r>
          </w:p>
        </w:tc>
        <w:tc>
          <w:tcPr>
            <w:tcW w:w="146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150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tcPr>
          <w:p>
            <w:pPr>
              <w:ind w:left="180"/>
              <w:spacing w:after="0" w:line="221" w:lineRule="exact"/>
              <w:rPr>
                <w:sz w:val="20"/>
                <w:szCs w:val="20"/>
                <w:color w:val="auto"/>
              </w:rPr>
            </w:pPr>
            <w:r>
              <w:rPr>
                <w:rFonts w:ascii="Arial" w:cs="Arial" w:eastAsia="Arial" w:hAnsi="Arial"/>
                <w:sz w:val="20"/>
                <w:szCs w:val="20"/>
                <w:color w:val="auto"/>
              </w:rPr>
              <w:t>Dental, and Life Insurance</w:t>
            </w:r>
          </w:p>
        </w:tc>
        <w:tc>
          <w:tcPr>
            <w:tcW w:w="146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1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2640" w:type="dxa"/>
            <w:vAlign w:val="bottom"/>
          </w:tcPr>
          <w:p>
            <w:pPr>
              <w:ind w:left="180"/>
              <w:spacing w:after="0"/>
              <w:rPr>
                <w:sz w:val="20"/>
                <w:szCs w:val="20"/>
                <w:color w:val="auto"/>
              </w:rPr>
            </w:pPr>
            <w:r>
              <w:rPr>
                <w:rFonts w:ascii="Arial" w:cs="Arial" w:eastAsia="Arial" w:hAnsi="Arial"/>
                <w:sz w:val="20"/>
                <w:szCs w:val="20"/>
                <w:color w:val="auto"/>
              </w:rPr>
              <w:t>Benefits</w:t>
            </w:r>
          </w:p>
        </w:tc>
        <w:tc>
          <w:tcPr>
            <w:tcW w:w="1460" w:type="dxa"/>
            <w:vAlign w:val="bottom"/>
          </w:tcPr>
          <w:p>
            <w:pPr>
              <w:jc w:val="right"/>
              <w:ind w:right="122"/>
              <w:spacing w:after="0"/>
              <w:rPr>
                <w:sz w:val="20"/>
                <w:szCs w:val="20"/>
                <w:color w:val="auto"/>
              </w:rPr>
            </w:pPr>
            <w:r>
              <w:rPr>
                <w:rFonts w:ascii="Arial" w:cs="Arial" w:eastAsia="Arial" w:hAnsi="Arial"/>
                <w:sz w:val="20"/>
                <w:szCs w:val="20"/>
                <w:color w:val="auto"/>
              </w:rPr>
              <w:t>21,619</w:t>
            </w:r>
          </w:p>
        </w:tc>
        <w:tc>
          <w:tcPr>
            <w:tcW w:w="1300" w:type="dxa"/>
            <w:vAlign w:val="bottom"/>
          </w:tcPr>
          <w:p>
            <w:pPr>
              <w:jc w:val="right"/>
              <w:ind w:right="42"/>
              <w:spacing w:after="0"/>
              <w:rPr>
                <w:sz w:val="20"/>
                <w:szCs w:val="20"/>
                <w:color w:val="auto"/>
              </w:rPr>
            </w:pPr>
            <w:r>
              <w:rPr>
                <w:rFonts w:ascii="Arial" w:cs="Arial" w:eastAsia="Arial" w:hAnsi="Arial"/>
                <w:sz w:val="20"/>
                <w:szCs w:val="20"/>
                <w:color w:val="auto"/>
              </w:rPr>
              <w:t>0</w:t>
            </w:r>
          </w:p>
        </w:tc>
        <w:tc>
          <w:tcPr>
            <w:tcW w:w="1500" w:type="dxa"/>
            <w:vAlign w:val="bottom"/>
          </w:tcPr>
          <w:p>
            <w:pPr>
              <w:jc w:val="right"/>
              <w:ind w:right="162"/>
              <w:spacing w:after="0"/>
              <w:rPr>
                <w:sz w:val="20"/>
                <w:szCs w:val="20"/>
                <w:color w:val="auto"/>
              </w:rPr>
            </w:pPr>
            <w:r>
              <w:rPr>
                <w:rFonts w:ascii="Arial" w:cs="Arial" w:eastAsia="Arial" w:hAnsi="Arial"/>
                <w:sz w:val="20"/>
                <w:szCs w:val="20"/>
                <w:color w:val="auto"/>
              </w:rPr>
              <w:t>0</w:t>
            </w:r>
          </w:p>
        </w:tc>
        <w:tc>
          <w:tcPr>
            <w:tcW w:w="1460" w:type="dxa"/>
            <w:vAlign w:val="bottom"/>
          </w:tcPr>
          <w:p>
            <w:pPr>
              <w:jc w:val="right"/>
              <w:ind w:right="142"/>
              <w:spacing w:after="0"/>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Outplacement Services</w:t>
            </w:r>
          </w:p>
        </w:tc>
        <w:tc>
          <w:tcPr>
            <w:tcW w:w="1460" w:type="dxa"/>
            <w:vAlign w:val="bottom"/>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10,000</w:t>
            </w:r>
          </w:p>
        </w:tc>
        <w:tc>
          <w:tcPr>
            <w:tcW w:w="1300" w:type="dxa"/>
            <w:vAlign w:val="bottom"/>
            <w:shd w:val="clear" w:color="auto" w:fill="E3E5EB"/>
          </w:tcPr>
          <w:p>
            <w:pPr>
              <w:jc w:val="right"/>
              <w:ind w:right="42"/>
              <w:spacing w:after="0" w:line="221" w:lineRule="exact"/>
              <w:rPr>
                <w:sz w:val="20"/>
                <w:szCs w:val="20"/>
                <w:color w:val="auto"/>
              </w:rPr>
            </w:pPr>
            <w:r>
              <w:rPr>
                <w:rFonts w:ascii="Arial" w:cs="Arial" w:eastAsia="Arial" w:hAnsi="Arial"/>
                <w:sz w:val="20"/>
                <w:szCs w:val="20"/>
                <w:color w:val="auto"/>
              </w:rPr>
              <w:t>0</w:t>
            </w:r>
          </w:p>
        </w:tc>
        <w:tc>
          <w:tcPr>
            <w:tcW w:w="1500" w:type="dxa"/>
            <w:vAlign w:val="bottom"/>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tcPr>
          <w:p>
            <w:pPr>
              <w:spacing w:after="0" w:line="221" w:lineRule="exact"/>
              <w:rPr>
                <w:sz w:val="20"/>
                <w:szCs w:val="20"/>
                <w:color w:val="auto"/>
              </w:rPr>
            </w:pPr>
            <w:r>
              <w:rPr>
                <w:rFonts w:ascii="Arial" w:cs="Arial" w:eastAsia="Arial" w:hAnsi="Arial"/>
                <w:sz w:val="20"/>
                <w:szCs w:val="20"/>
                <w:color w:val="auto"/>
              </w:rPr>
              <w:t>Excise Tax Gross-Up</w:t>
            </w:r>
          </w:p>
        </w:tc>
        <w:tc>
          <w:tcPr>
            <w:tcW w:w="1460" w:type="dxa"/>
            <w:vAlign w:val="bottom"/>
          </w:tcPr>
          <w:p>
            <w:pPr>
              <w:jc w:val="right"/>
              <w:ind w:right="122"/>
              <w:spacing w:after="0" w:line="221" w:lineRule="exact"/>
              <w:rPr>
                <w:sz w:val="20"/>
                <w:szCs w:val="20"/>
                <w:color w:val="auto"/>
              </w:rPr>
            </w:pPr>
            <w:r>
              <w:rPr>
                <w:rFonts w:ascii="Arial" w:cs="Arial" w:eastAsia="Arial" w:hAnsi="Arial"/>
                <w:sz w:val="20"/>
                <w:szCs w:val="20"/>
                <w:color w:val="auto"/>
              </w:rPr>
              <w:t>7,587,580</w:t>
            </w:r>
          </w:p>
        </w:tc>
        <w:tc>
          <w:tcPr>
            <w:tcW w:w="1300" w:type="dxa"/>
            <w:vAlign w:val="bottom"/>
          </w:tcPr>
          <w:p>
            <w:pPr>
              <w:jc w:val="right"/>
              <w:ind w:right="42"/>
              <w:spacing w:after="0" w:line="221" w:lineRule="exact"/>
              <w:rPr>
                <w:sz w:val="20"/>
                <w:szCs w:val="20"/>
                <w:color w:val="auto"/>
              </w:rPr>
            </w:pPr>
            <w:r>
              <w:rPr>
                <w:rFonts w:ascii="Arial" w:cs="Arial" w:eastAsia="Arial" w:hAnsi="Arial"/>
                <w:sz w:val="20"/>
                <w:szCs w:val="20"/>
                <w:color w:val="auto"/>
              </w:rPr>
              <w:t>0</w:t>
            </w:r>
          </w:p>
        </w:tc>
        <w:tc>
          <w:tcPr>
            <w:tcW w:w="150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0</w:t>
            </w:r>
          </w:p>
        </w:tc>
        <w:tc>
          <w:tcPr>
            <w:tcW w:w="1460" w:type="dxa"/>
            <w:vAlign w:val="bottom"/>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40" w:type="dxa"/>
            <w:vAlign w:val="bottom"/>
            <w:tcBorders>
              <w:bottom w:val="single" w:sz="8" w:color="888992"/>
            </w:tcBorders>
            <w:shd w:val="clear" w:color="auto" w:fill="E3E5EB"/>
          </w:tcPr>
          <w:p>
            <w:pPr>
              <w:spacing w:after="0" w:line="221" w:lineRule="exact"/>
              <w:rPr>
                <w:sz w:val="20"/>
                <w:szCs w:val="20"/>
                <w:color w:val="auto"/>
              </w:rPr>
            </w:pPr>
            <w:r>
              <w:rPr>
                <w:rFonts w:ascii="Arial" w:cs="Arial" w:eastAsia="Arial" w:hAnsi="Arial"/>
                <w:sz w:val="20"/>
                <w:szCs w:val="20"/>
                <w:color w:val="auto"/>
              </w:rPr>
              <w:t>TOTAL:</w:t>
            </w:r>
          </w:p>
        </w:tc>
        <w:tc>
          <w:tcPr>
            <w:tcW w:w="1460" w:type="dxa"/>
            <w:vAlign w:val="bottom"/>
            <w:tcBorders>
              <w:bottom w:val="single" w:sz="8" w:color="888992"/>
            </w:tcBorders>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34,305,001</w:t>
            </w:r>
          </w:p>
        </w:tc>
        <w:tc>
          <w:tcPr>
            <w:tcW w:w="1300" w:type="dxa"/>
            <w:vAlign w:val="bottom"/>
            <w:tcBorders>
              <w:bottom w:val="single" w:sz="8" w:color="888992"/>
            </w:tcBorders>
            <w:shd w:val="clear" w:color="auto" w:fill="E3E5EB"/>
          </w:tcPr>
          <w:p>
            <w:pPr>
              <w:jc w:val="right"/>
              <w:ind w:right="62"/>
              <w:spacing w:after="0" w:line="221" w:lineRule="exact"/>
              <w:rPr>
                <w:sz w:val="20"/>
                <w:szCs w:val="20"/>
                <w:color w:val="auto"/>
              </w:rPr>
            </w:pPr>
            <w:r>
              <w:rPr>
                <w:rFonts w:ascii="Arial" w:cs="Arial" w:eastAsia="Arial" w:hAnsi="Arial"/>
                <w:sz w:val="20"/>
                <w:szCs w:val="20"/>
                <w:color w:val="auto"/>
              </w:rPr>
              <w:t>14,453,584</w:t>
            </w:r>
          </w:p>
        </w:tc>
        <w:tc>
          <w:tcPr>
            <w:tcW w:w="1500" w:type="dxa"/>
            <w:vAlign w:val="bottom"/>
            <w:tcBorders>
              <w:bottom w:val="single" w:sz="8" w:color="888992"/>
            </w:tcBorders>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11,677,763</w:t>
            </w:r>
          </w:p>
        </w:tc>
        <w:tc>
          <w:tcPr>
            <w:tcW w:w="1460" w:type="dxa"/>
            <w:vAlign w:val="bottom"/>
            <w:tcBorders>
              <w:bottom w:val="single" w:sz="8" w:color="888992"/>
            </w:tcBorders>
            <w:shd w:val="clear" w:color="auto" w:fill="E3E5EB"/>
          </w:tcPr>
          <w:p>
            <w:pPr>
              <w:jc w:val="right"/>
              <w:ind w:right="142"/>
              <w:spacing w:after="0" w:line="221" w:lineRule="exact"/>
              <w:rPr>
                <w:sz w:val="20"/>
                <w:szCs w:val="20"/>
                <w:color w:val="auto"/>
              </w:rPr>
            </w:pPr>
            <w:r>
              <w:rPr>
                <w:rFonts w:ascii="Arial" w:cs="Arial" w:eastAsia="Arial" w:hAnsi="Arial"/>
                <w:sz w:val="20"/>
                <w:szCs w:val="20"/>
                <w:color w:val="auto"/>
              </w:rPr>
              <w:t>3,684,194</w:t>
            </w:r>
          </w:p>
        </w:tc>
        <w:tc>
          <w:tcPr>
            <w:tcW w:w="0" w:type="dxa"/>
            <w:vAlign w:val="bottom"/>
          </w:tcPr>
          <w:p>
            <w:pPr>
              <w:spacing w:after="0"/>
              <w:rPr>
                <w:sz w:val="1"/>
                <w:szCs w:val="1"/>
                <w:color w:val="auto"/>
              </w:rPr>
            </w:pPr>
          </w:p>
        </w:tc>
      </w:tr>
    </w:tbl>
    <w:p>
      <w:pPr>
        <w:spacing w:after="0" w:line="277" w:lineRule="exact"/>
        <w:rPr>
          <w:sz w:val="20"/>
          <w:szCs w:val="20"/>
          <w:color w:val="auto"/>
        </w:rPr>
      </w:pPr>
    </w:p>
    <w:p>
      <w:pPr>
        <w:spacing w:after="0"/>
        <w:rPr>
          <w:sz w:val="20"/>
          <w:szCs w:val="20"/>
          <w:color w:val="auto"/>
        </w:rPr>
      </w:pPr>
      <w:r>
        <w:rPr>
          <w:rFonts w:ascii="Arial" w:cs="Arial" w:eastAsia="Arial" w:hAnsi="Arial"/>
          <w:sz w:val="20"/>
          <w:szCs w:val="20"/>
          <w:b w:val="1"/>
          <w:bCs w:val="1"/>
          <w:i w:val="1"/>
          <w:iCs w:val="1"/>
          <w:color w:val="auto"/>
        </w:rPr>
        <w:t>James R. Hatfield:</w:t>
      </w:r>
    </w:p>
    <w:p>
      <w:pPr>
        <w:spacing w:after="0" w:line="200" w:lineRule="exact"/>
        <w:rPr>
          <w:sz w:val="20"/>
          <w:szCs w:val="20"/>
          <w:color w:val="auto"/>
        </w:rPr>
      </w:pPr>
    </w:p>
    <w:p>
      <w:pPr>
        <w:spacing w:after="0" w:line="317" w:lineRule="exact"/>
        <w:rPr>
          <w:sz w:val="20"/>
          <w:szCs w:val="20"/>
          <w:color w:val="auto"/>
        </w:rPr>
      </w:pPr>
    </w:p>
    <w:tbl>
      <w:tblPr>
        <w:tblLayout w:type="fixed"/>
        <w:tblInd w:w="100" w:type="dxa"/>
        <w:tblCellMar>
          <w:top w:w="0" w:type="dxa"/>
          <w:left w:w="0" w:type="dxa"/>
          <w:bottom w:w="0" w:type="dxa"/>
          <w:right w:w="0" w:type="dxa"/>
        </w:tblCellMar>
      </w:tblPr>
      <w:tr>
        <w:trPr>
          <w:trHeight w:val="230"/>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2860" w:type="dxa"/>
            <w:vAlign w:val="bottom"/>
            <w:vMerge w:val="restart"/>
          </w:tcPr>
          <w:p>
            <w:pPr>
              <w:jc w:val="center"/>
              <w:ind w:left="1304"/>
              <w:spacing w:after="0"/>
              <w:rPr>
                <w:sz w:val="20"/>
                <w:szCs w:val="20"/>
                <w:color w:val="auto"/>
              </w:rPr>
            </w:pPr>
            <w:r>
              <w:rPr>
                <w:rFonts w:ascii="Arial" w:cs="Arial" w:eastAsia="Arial" w:hAnsi="Arial"/>
                <w:sz w:val="20"/>
                <w:szCs w:val="20"/>
                <w:b w:val="1"/>
                <w:bCs w:val="1"/>
                <w:color w:val="3A5575"/>
                <w:w w:val="98"/>
              </w:rPr>
              <w:t>CHANGE OF</w:t>
            </w:r>
          </w:p>
        </w:tc>
        <w:tc>
          <w:tcPr>
            <w:tcW w:w="1480" w:type="dxa"/>
            <w:vAlign w:val="bottom"/>
          </w:tcPr>
          <w:p>
            <w:pPr>
              <w:jc w:val="center"/>
              <w:ind w:left="22"/>
              <w:spacing w:after="0"/>
              <w:rPr>
                <w:sz w:val="20"/>
                <w:szCs w:val="20"/>
                <w:color w:val="auto"/>
              </w:rPr>
            </w:pPr>
            <w:r>
              <w:rPr>
                <w:rFonts w:ascii="Arial" w:cs="Arial" w:eastAsia="Arial" w:hAnsi="Arial"/>
                <w:sz w:val="20"/>
                <w:szCs w:val="20"/>
                <w:b w:val="1"/>
                <w:bCs w:val="1"/>
                <w:color w:val="3A5575"/>
                <w:w w:val="97"/>
              </w:rPr>
              <w:t>ALL OTHER</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2860" w:type="dxa"/>
            <w:vAlign w:val="bottom"/>
            <w:vMerge w:val="continue"/>
          </w:tcPr>
          <w:p>
            <w:pPr>
              <w:spacing w:after="0"/>
              <w:rPr>
                <w:sz w:val="19"/>
                <w:szCs w:val="19"/>
                <w:color w:val="auto"/>
              </w:rPr>
            </w:pPr>
          </w:p>
        </w:tc>
        <w:tc>
          <w:tcPr>
            <w:tcW w:w="1480" w:type="dxa"/>
            <w:vAlign w:val="bottom"/>
          </w:tcPr>
          <w:p>
            <w:pPr>
              <w:jc w:val="center"/>
              <w:ind w:left="22"/>
              <w:spacing w:after="0" w:line="221" w:lineRule="exact"/>
              <w:rPr>
                <w:sz w:val="20"/>
                <w:szCs w:val="20"/>
                <w:color w:val="auto"/>
              </w:rPr>
            </w:pPr>
            <w:r>
              <w:rPr>
                <w:rFonts w:ascii="Arial" w:cs="Arial" w:eastAsia="Arial" w:hAnsi="Arial"/>
                <w:sz w:val="20"/>
                <w:szCs w:val="20"/>
                <w:b w:val="1"/>
                <w:bCs w:val="1"/>
                <w:color w:val="3A5575"/>
                <w:w w:val="97"/>
              </w:rPr>
              <w:t>TERMINATION</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404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COMPONENT OF PAY</w:t>
            </w:r>
          </w:p>
        </w:tc>
        <w:tc>
          <w:tcPr>
            <w:tcW w:w="2860" w:type="dxa"/>
            <w:vAlign w:val="bottom"/>
          </w:tcPr>
          <w:p>
            <w:pPr>
              <w:jc w:val="center"/>
              <w:ind w:left="1304"/>
              <w:spacing w:after="0" w:line="221" w:lineRule="exact"/>
              <w:rPr>
                <w:sz w:val="20"/>
                <w:szCs w:val="20"/>
                <w:color w:val="auto"/>
              </w:rPr>
            </w:pPr>
            <w:r>
              <w:rPr>
                <w:rFonts w:ascii="Arial" w:cs="Arial" w:eastAsia="Arial" w:hAnsi="Arial"/>
                <w:sz w:val="20"/>
                <w:szCs w:val="20"/>
                <w:b w:val="1"/>
                <w:bCs w:val="1"/>
                <w:color w:val="3A5575"/>
                <w:w w:val="99"/>
              </w:rPr>
              <w:t>CONTROL</w:t>
            </w:r>
          </w:p>
        </w:tc>
        <w:tc>
          <w:tcPr>
            <w:tcW w:w="1480" w:type="dxa"/>
            <w:vAlign w:val="bottom"/>
          </w:tcPr>
          <w:p>
            <w:pPr>
              <w:jc w:val="center"/>
              <w:ind w:left="22"/>
              <w:spacing w:after="0" w:line="221" w:lineRule="exact"/>
              <w:rPr>
                <w:sz w:val="20"/>
                <w:szCs w:val="20"/>
                <w:color w:val="auto"/>
              </w:rPr>
            </w:pPr>
            <w:r>
              <w:rPr>
                <w:rFonts w:ascii="Arial" w:cs="Arial" w:eastAsia="Arial" w:hAnsi="Arial"/>
                <w:sz w:val="20"/>
                <w:szCs w:val="20"/>
                <w:b w:val="1"/>
                <w:bCs w:val="1"/>
                <w:color w:val="3A5575"/>
                <w:w w:val="99"/>
              </w:rPr>
              <w:t>EVENTS</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5"/>
        </w:trPr>
        <w:tc>
          <w:tcPr>
            <w:tcW w:w="1360" w:type="dxa"/>
            <w:vAlign w:val="bottom"/>
          </w:tcPr>
          <w:p>
            <w:pPr>
              <w:spacing w:after="0"/>
              <w:rPr>
                <w:sz w:val="22"/>
                <w:szCs w:val="22"/>
                <w:color w:val="auto"/>
              </w:rPr>
            </w:pPr>
          </w:p>
        </w:tc>
        <w:tc>
          <w:tcPr>
            <w:tcW w:w="4040" w:type="dxa"/>
            <w:vAlign w:val="bottom"/>
            <w:tcBorders>
              <w:bottom w:val="single" w:sz="8" w:color="646466"/>
            </w:tcBorders>
            <w:gridSpan w:val="2"/>
            <w:vMerge w:val="continue"/>
          </w:tcPr>
          <w:p>
            <w:pPr>
              <w:spacing w:after="0"/>
              <w:rPr>
                <w:sz w:val="22"/>
                <w:szCs w:val="22"/>
                <w:color w:val="auto"/>
              </w:rPr>
            </w:pPr>
          </w:p>
        </w:tc>
        <w:tc>
          <w:tcPr>
            <w:tcW w:w="2860" w:type="dxa"/>
            <w:vAlign w:val="bottom"/>
            <w:tcBorders>
              <w:bottom w:val="single" w:sz="8" w:color="646466"/>
            </w:tcBorders>
          </w:tcPr>
          <w:p>
            <w:pPr>
              <w:jc w:val="center"/>
              <w:ind w:left="1324"/>
              <w:spacing w:after="0"/>
              <w:rPr>
                <w:sz w:val="20"/>
                <w:szCs w:val="20"/>
                <w:color w:val="auto"/>
              </w:rPr>
            </w:pPr>
            <w:r>
              <w:rPr>
                <w:rFonts w:ascii="Arial" w:cs="Arial" w:eastAsia="Arial" w:hAnsi="Arial"/>
                <w:sz w:val="20"/>
                <w:szCs w:val="20"/>
                <w:b w:val="1"/>
                <w:bCs w:val="1"/>
                <w:color w:val="3A5575"/>
                <w:w w:val="97"/>
              </w:rPr>
              <w:t>($)</w:t>
            </w:r>
          </w:p>
        </w:tc>
        <w:tc>
          <w:tcPr>
            <w:tcW w:w="1480" w:type="dxa"/>
            <w:vAlign w:val="bottom"/>
            <w:tcBorders>
              <w:bottom w:val="single" w:sz="8" w:color="646466"/>
            </w:tcBorders>
          </w:tcPr>
          <w:p>
            <w:pPr>
              <w:jc w:val="center"/>
              <w:ind w:left="22"/>
              <w:spacing w:after="0"/>
              <w:rPr>
                <w:sz w:val="20"/>
                <w:szCs w:val="20"/>
                <w:color w:val="auto"/>
              </w:rPr>
            </w:pPr>
            <w:r>
              <w:rPr>
                <w:rFonts w:ascii="Arial" w:cs="Arial" w:eastAsia="Arial" w:hAnsi="Arial"/>
                <w:sz w:val="20"/>
                <w:szCs w:val="20"/>
                <w:b w:val="1"/>
                <w:bCs w:val="1"/>
                <w:color w:val="3A5575"/>
                <w:w w:val="97"/>
              </w:rPr>
              <w:t>($)</w:t>
            </w:r>
          </w:p>
        </w:tc>
        <w:tc>
          <w:tcPr>
            <w:tcW w:w="16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13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2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Performance Shares</w:t>
            </w:r>
          </w:p>
        </w:tc>
        <w:tc>
          <w:tcPr>
            <w:tcW w:w="2860" w:type="dxa"/>
            <w:vAlign w:val="bottom"/>
            <w:shd w:val="clear" w:color="auto" w:fill="E3E5EB"/>
          </w:tcPr>
          <w:p>
            <w:pPr>
              <w:jc w:val="right"/>
              <w:ind w:right="144"/>
              <w:spacing w:after="0" w:line="213" w:lineRule="exact"/>
              <w:rPr>
                <w:sz w:val="20"/>
                <w:szCs w:val="20"/>
                <w:color w:val="auto"/>
              </w:rPr>
            </w:pPr>
            <w:r>
              <w:rPr>
                <w:rFonts w:ascii="Arial" w:cs="Arial" w:eastAsia="Arial" w:hAnsi="Arial"/>
                <w:sz w:val="20"/>
                <w:szCs w:val="20"/>
                <w:color w:val="auto"/>
              </w:rPr>
              <w:t>1,437,842</w:t>
            </w:r>
          </w:p>
        </w:tc>
        <w:tc>
          <w:tcPr>
            <w:tcW w:w="1480" w:type="dxa"/>
            <w:vAlign w:val="bottom"/>
            <w:shd w:val="clear" w:color="auto" w:fill="E3E5EB"/>
          </w:tcPr>
          <w:p>
            <w:pPr>
              <w:jc w:val="center"/>
              <w:ind w:left="42"/>
              <w:spacing w:after="0" w:line="213"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Pr>
          <w:p>
            <w:pPr>
              <w:spacing w:after="0" w:line="221" w:lineRule="exact"/>
              <w:rPr>
                <w:sz w:val="20"/>
                <w:szCs w:val="20"/>
                <w:color w:val="auto"/>
              </w:rPr>
            </w:pPr>
            <w:r>
              <w:rPr>
                <w:rFonts w:ascii="Arial" w:cs="Arial" w:eastAsia="Arial" w:hAnsi="Arial"/>
                <w:sz w:val="20"/>
                <w:szCs w:val="20"/>
                <w:color w:val="auto"/>
              </w:rPr>
              <w:t>RSUs</w:t>
            </w:r>
          </w:p>
        </w:tc>
        <w:tc>
          <w:tcPr>
            <w:tcW w:w="2860" w:type="dxa"/>
            <w:vAlign w:val="bottom"/>
          </w:tcPr>
          <w:p>
            <w:pPr>
              <w:jc w:val="right"/>
              <w:ind w:right="144"/>
              <w:spacing w:after="0" w:line="221" w:lineRule="exact"/>
              <w:rPr>
                <w:sz w:val="20"/>
                <w:szCs w:val="20"/>
                <w:color w:val="auto"/>
              </w:rPr>
            </w:pPr>
            <w:r>
              <w:rPr>
                <w:rFonts w:ascii="Arial" w:cs="Arial" w:eastAsia="Arial" w:hAnsi="Arial"/>
                <w:sz w:val="20"/>
                <w:szCs w:val="20"/>
                <w:color w:val="auto"/>
              </w:rPr>
              <w:t>954,241</w:t>
            </w:r>
          </w:p>
        </w:tc>
        <w:tc>
          <w:tcPr>
            <w:tcW w:w="1480" w:type="dxa"/>
            <w:vAlign w:val="bottom"/>
          </w:tcPr>
          <w:p>
            <w:pPr>
              <w:jc w:val="center"/>
              <w:ind w:left="4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Severance Benefits</w:t>
            </w:r>
          </w:p>
        </w:tc>
        <w:tc>
          <w:tcPr>
            <w:tcW w:w="2860" w:type="dxa"/>
            <w:vAlign w:val="bottom"/>
            <w:shd w:val="clear" w:color="auto" w:fill="E3E5EB"/>
          </w:tcPr>
          <w:p>
            <w:pPr>
              <w:jc w:val="right"/>
              <w:ind w:right="144"/>
              <w:spacing w:after="0" w:line="221" w:lineRule="exact"/>
              <w:rPr>
                <w:sz w:val="20"/>
                <w:szCs w:val="20"/>
                <w:color w:val="auto"/>
              </w:rPr>
            </w:pPr>
            <w:r>
              <w:rPr>
                <w:rFonts w:ascii="Arial" w:cs="Arial" w:eastAsia="Arial" w:hAnsi="Arial"/>
                <w:sz w:val="20"/>
                <w:szCs w:val="20"/>
                <w:color w:val="auto"/>
              </w:rPr>
              <w:t>3,024,073</w:t>
            </w:r>
          </w:p>
        </w:tc>
        <w:tc>
          <w:tcPr>
            <w:tcW w:w="1480" w:type="dxa"/>
            <w:vAlign w:val="bottom"/>
            <w:shd w:val="clear" w:color="auto" w:fill="E3E5EB"/>
          </w:tcPr>
          <w:p>
            <w:pPr>
              <w:jc w:val="center"/>
              <w:ind w:left="4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20" w:type="dxa"/>
            <w:vAlign w:val="bottom"/>
          </w:tcPr>
          <w:p>
            <w:pPr>
              <w:spacing w:after="0" w:line="191" w:lineRule="exact"/>
              <w:rPr>
                <w:sz w:val="20"/>
                <w:szCs w:val="20"/>
                <w:color w:val="auto"/>
              </w:rPr>
            </w:pPr>
            <w:r>
              <w:rPr>
                <w:rFonts w:ascii="Arial" w:cs="Arial" w:eastAsia="Arial" w:hAnsi="Arial"/>
                <w:sz w:val="20"/>
                <w:szCs w:val="20"/>
                <w:color w:val="auto"/>
              </w:rPr>
              <w:t>Present Value of Medical,</w:t>
            </w:r>
          </w:p>
        </w:tc>
        <w:tc>
          <w:tcPr>
            <w:tcW w:w="286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Pr>
          <w:p>
            <w:pPr>
              <w:ind w:left="180"/>
              <w:spacing w:after="0" w:line="221" w:lineRule="exact"/>
              <w:rPr>
                <w:sz w:val="20"/>
                <w:szCs w:val="20"/>
                <w:color w:val="auto"/>
              </w:rPr>
            </w:pPr>
            <w:r>
              <w:rPr>
                <w:rFonts w:ascii="Arial" w:cs="Arial" w:eastAsia="Arial" w:hAnsi="Arial"/>
                <w:sz w:val="20"/>
                <w:szCs w:val="20"/>
                <w:color w:val="auto"/>
              </w:rPr>
              <w:t>Dental, and Life Insurance</w:t>
            </w:r>
          </w:p>
        </w:tc>
        <w:tc>
          <w:tcPr>
            <w:tcW w:w="286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4020" w:type="dxa"/>
            <w:vAlign w:val="bottom"/>
          </w:tcPr>
          <w:p>
            <w:pPr>
              <w:ind w:left="180"/>
              <w:spacing w:after="0"/>
              <w:rPr>
                <w:sz w:val="20"/>
                <w:szCs w:val="20"/>
                <w:color w:val="auto"/>
              </w:rPr>
            </w:pPr>
            <w:r>
              <w:rPr>
                <w:rFonts w:ascii="Arial" w:cs="Arial" w:eastAsia="Arial" w:hAnsi="Arial"/>
                <w:sz w:val="20"/>
                <w:szCs w:val="20"/>
                <w:color w:val="auto"/>
              </w:rPr>
              <w:t>Benefits</w:t>
            </w:r>
          </w:p>
        </w:tc>
        <w:tc>
          <w:tcPr>
            <w:tcW w:w="2860" w:type="dxa"/>
            <w:vAlign w:val="bottom"/>
          </w:tcPr>
          <w:p>
            <w:pPr>
              <w:jc w:val="right"/>
              <w:ind w:right="144"/>
              <w:spacing w:after="0"/>
              <w:rPr>
                <w:sz w:val="20"/>
                <w:szCs w:val="20"/>
                <w:color w:val="auto"/>
              </w:rPr>
            </w:pPr>
            <w:r>
              <w:rPr>
                <w:rFonts w:ascii="Arial" w:cs="Arial" w:eastAsia="Arial" w:hAnsi="Arial"/>
                <w:sz w:val="20"/>
                <w:szCs w:val="20"/>
                <w:color w:val="auto"/>
              </w:rPr>
              <w:t>40,578</w:t>
            </w:r>
          </w:p>
        </w:tc>
        <w:tc>
          <w:tcPr>
            <w:tcW w:w="1480" w:type="dxa"/>
            <w:vAlign w:val="bottom"/>
          </w:tcPr>
          <w:p>
            <w:pPr>
              <w:jc w:val="center"/>
              <w:ind w:left="42"/>
              <w:spacing w:after="0"/>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Outplacement Services</w:t>
            </w:r>
          </w:p>
        </w:tc>
        <w:tc>
          <w:tcPr>
            <w:tcW w:w="2860" w:type="dxa"/>
            <w:vAlign w:val="bottom"/>
            <w:shd w:val="clear" w:color="auto" w:fill="E3E5EB"/>
          </w:tcPr>
          <w:p>
            <w:pPr>
              <w:jc w:val="right"/>
              <w:ind w:right="144"/>
              <w:spacing w:after="0" w:line="221" w:lineRule="exact"/>
              <w:rPr>
                <w:sz w:val="20"/>
                <w:szCs w:val="20"/>
                <w:color w:val="auto"/>
              </w:rPr>
            </w:pPr>
            <w:r>
              <w:rPr>
                <w:rFonts w:ascii="Arial" w:cs="Arial" w:eastAsia="Arial" w:hAnsi="Arial"/>
                <w:sz w:val="20"/>
                <w:szCs w:val="20"/>
                <w:color w:val="auto"/>
              </w:rPr>
              <w:t>10,000</w:t>
            </w:r>
          </w:p>
        </w:tc>
        <w:tc>
          <w:tcPr>
            <w:tcW w:w="1480" w:type="dxa"/>
            <w:vAlign w:val="bottom"/>
            <w:shd w:val="clear" w:color="auto" w:fill="E3E5EB"/>
          </w:tcPr>
          <w:p>
            <w:pPr>
              <w:jc w:val="center"/>
              <w:ind w:left="4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Pr>
          <w:p>
            <w:pPr>
              <w:spacing w:after="0" w:line="221" w:lineRule="exact"/>
              <w:rPr>
                <w:sz w:val="20"/>
                <w:szCs w:val="20"/>
                <w:color w:val="auto"/>
              </w:rPr>
            </w:pPr>
            <w:r>
              <w:rPr>
                <w:rFonts w:ascii="Arial" w:cs="Arial" w:eastAsia="Arial" w:hAnsi="Arial"/>
                <w:sz w:val="20"/>
                <w:szCs w:val="20"/>
                <w:color w:val="auto"/>
              </w:rPr>
              <w:t>Excise Tax Gross-Up</w:t>
            </w:r>
          </w:p>
        </w:tc>
        <w:tc>
          <w:tcPr>
            <w:tcW w:w="2860" w:type="dxa"/>
            <w:vAlign w:val="bottom"/>
          </w:tcPr>
          <w:p>
            <w:pPr>
              <w:jc w:val="right"/>
              <w:ind w:right="144"/>
              <w:spacing w:after="0" w:line="221" w:lineRule="exact"/>
              <w:rPr>
                <w:sz w:val="20"/>
                <w:szCs w:val="20"/>
                <w:color w:val="auto"/>
              </w:rPr>
            </w:pPr>
            <w:r>
              <w:rPr>
                <w:rFonts w:ascii="Arial" w:cs="Arial" w:eastAsia="Arial" w:hAnsi="Arial"/>
                <w:sz w:val="20"/>
                <w:szCs w:val="20"/>
                <w:color w:val="auto"/>
              </w:rPr>
              <w:t>1,955,347</w:t>
            </w:r>
          </w:p>
        </w:tc>
        <w:tc>
          <w:tcPr>
            <w:tcW w:w="1480" w:type="dxa"/>
            <w:vAlign w:val="bottom"/>
          </w:tcPr>
          <w:p>
            <w:pPr>
              <w:jc w:val="center"/>
              <w:ind w:left="4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20" w:type="dxa"/>
            <w:vAlign w:val="bottom"/>
            <w:tcBorders>
              <w:bottom w:val="single" w:sz="8" w:color="888992"/>
            </w:tcBorders>
            <w:shd w:val="clear" w:color="auto" w:fill="E3E5EB"/>
          </w:tcPr>
          <w:p>
            <w:pPr>
              <w:spacing w:after="0" w:line="221" w:lineRule="exact"/>
              <w:rPr>
                <w:sz w:val="20"/>
                <w:szCs w:val="20"/>
                <w:color w:val="auto"/>
              </w:rPr>
            </w:pPr>
            <w:r>
              <w:rPr>
                <w:rFonts w:ascii="Arial" w:cs="Arial" w:eastAsia="Arial" w:hAnsi="Arial"/>
                <w:sz w:val="20"/>
                <w:szCs w:val="20"/>
                <w:color w:val="auto"/>
              </w:rPr>
              <w:t>TOTAL:</w:t>
            </w:r>
          </w:p>
        </w:tc>
        <w:tc>
          <w:tcPr>
            <w:tcW w:w="2860" w:type="dxa"/>
            <w:vAlign w:val="bottom"/>
            <w:tcBorders>
              <w:bottom w:val="single" w:sz="8" w:color="888992"/>
            </w:tcBorders>
            <w:shd w:val="clear" w:color="auto" w:fill="E3E5EB"/>
          </w:tcPr>
          <w:p>
            <w:pPr>
              <w:jc w:val="right"/>
              <w:ind w:right="144"/>
              <w:spacing w:after="0" w:line="221" w:lineRule="exact"/>
              <w:rPr>
                <w:sz w:val="20"/>
                <w:szCs w:val="20"/>
                <w:color w:val="auto"/>
              </w:rPr>
            </w:pPr>
            <w:r>
              <w:rPr>
                <w:rFonts w:ascii="Arial" w:cs="Arial" w:eastAsia="Arial" w:hAnsi="Arial"/>
                <w:sz w:val="20"/>
                <w:szCs w:val="20"/>
                <w:color w:val="auto"/>
              </w:rPr>
              <w:t>7,422,081</w:t>
            </w:r>
          </w:p>
        </w:tc>
        <w:tc>
          <w:tcPr>
            <w:tcW w:w="1480" w:type="dxa"/>
            <w:vAlign w:val="bottom"/>
            <w:tcBorders>
              <w:bottom w:val="single" w:sz="8" w:color="888992"/>
            </w:tcBorders>
            <w:shd w:val="clear" w:color="auto" w:fill="E3E5EB"/>
          </w:tcPr>
          <w:p>
            <w:pPr>
              <w:jc w:val="center"/>
              <w:ind w:left="4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43"/>
        </w:trPr>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20" w:type="dxa"/>
            <w:vAlign w:val="bottom"/>
          </w:tcPr>
          <w:p>
            <w:pPr>
              <w:spacing w:after="0"/>
              <w:rPr>
                <w:sz w:val="24"/>
                <w:szCs w:val="24"/>
                <w:color w:val="auto"/>
              </w:rPr>
            </w:pPr>
          </w:p>
        </w:tc>
        <w:tc>
          <w:tcPr>
            <w:tcW w:w="4340" w:type="dxa"/>
            <w:vAlign w:val="bottom"/>
            <w:gridSpan w:val="2"/>
          </w:tcPr>
          <w:p>
            <w:pPr>
              <w:ind w:left="208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1680" w:type="dxa"/>
            <w:vAlign w:val="bottom"/>
          </w:tcPr>
          <w:p>
            <w:pPr>
              <w:jc w:val="right"/>
              <w:spacing w:after="0"/>
              <w:rPr>
                <w:sz w:val="20"/>
                <w:szCs w:val="20"/>
                <w:color w:val="auto"/>
              </w:rPr>
            </w:pPr>
            <w:r>
              <w:rPr>
                <w:rFonts w:ascii="Arial" w:cs="Arial" w:eastAsia="Arial" w:hAnsi="Arial"/>
                <w:sz w:val="16"/>
                <w:szCs w:val="16"/>
                <w:b w:val="1"/>
                <w:bCs w:val="1"/>
                <w:color w:val="auto"/>
              </w:rPr>
              <w:t>85</w:t>
            </w:r>
          </w:p>
        </w:tc>
        <w:tc>
          <w:tcPr>
            <w:tcW w:w="0" w:type="dxa"/>
            <w:vAlign w:val="bottom"/>
          </w:tcPr>
          <w:p>
            <w:pPr>
              <w:spacing w:after="0"/>
              <w:rPr>
                <w:sz w:val="1"/>
                <w:szCs w:val="1"/>
                <w:color w:val="auto"/>
              </w:rPr>
            </w:pPr>
          </w:p>
        </w:tc>
      </w:tr>
      <w:tr>
        <w:trPr>
          <w:trHeight w:val="157"/>
        </w:trPr>
        <w:tc>
          <w:tcPr>
            <w:tcW w:w="1360" w:type="dxa"/>
            <w:vAlign w:val="bottom"/>
            <w:tcBorders>
              <w:bottom w:val="single" w:sz="8" w:color="808080"/>
            </w:tcBorders>
          </w:tcPr>
          <w:p>
            <w:pPr>
              <w:spacing w:after="0"/>
              <w:rPr>
                <w:sz w:val="13"/>
                <w:szCs w:val="13"/>
                <w:color w:val="auto"/>
              </w:rPr>
            </w:pPr>
          </w:p>
        </w:tc>
        <w:tc>
          <w:tcPr>
            <w:tcW w:w="20" w:type="dxa"/>
            <w:vAlign w:val="bottom"/>
            <w:tcBorders>
              <w:bottom w:val="single" w:sz="8" w:color="808080"/>
            </w:tcBorders>
          </w:tcPr>
          <w:p>
            <w:pPr>
              <w:spacing w:after="0"/>
              <w:rPr>
                <w:sz w:val="13"/>
                <w:szCs w:val="13"/>
                <w:color w:val="auto"/>
              </w:rPr>
            </w:pPr>
          </w:p>
        </w:tc>
        <w:tc>
          <w:tcPr>
            <w:tcW w:w="4020" w:type="dxa"/>
            <w:vAlign w:val="bottom"/>
            <w:tcBorders>
              <w:bottom w:val="single" w:sz="8" w:color="808080"/>
            </w:tcBorders>
          </w:tcPr>
          <w:p>
            <w:pPr>
              <w:spacing w:after="0"/>
              <w:rPr>
                <w:sz w:val="13"/>
                <w:szCs w:val="13"/>
                <w:color w:val="auto"/>
              </w:rPr>
            </w:pPr>
          </w:p>
        </w:tc>
        <w:tc>
          <w:tcPr>
            <w:tcW w:w="2860" w:type="dxa"/>
            <w:vAlign w:val="bottom"/>
            <w:tcBorders>
              <w:bottom w:val="single" w:sz="8" w:color="808080"/>
            </w:tcBorders>
          </w:tcPr>
          <w:p>
            <w:pPr>
              <w:spacing w:after="0"/>
              <w:rPr>
                <w:sz w:val="13"/>
                <w:szCs w:val="13"/>
                <w:color w:val="auto"/>
              </w:rPr>
            </w:pPr>
          </w:p>
        </w:tc>
        <w:tc>
          <w:tcPr>
            <w:tcW w:w="1480" w:type="dxa"/>
            <w:vAlign w:val="bottom"/>
            <w:tcBorders>
              <w:bottom w:val="single" w:sz="8" w:color="808080"/>
            </w:tcBorders>
          </w:tcPr>
          <w:p>
            <w:pPr>
              <w:spacing w:after="0"/>
              <w:rPr>
                <w:sz w:val="13"/>
                <w:szCs w:val="13"/>
                <w:color w:val="auto"/>
              </w:rPr>
            </w:pPr>
          </w:p>
        </w:tc>
        <w:tc>
          <w:tcPr>
            <w:tcW w:w="1680" w:type="dxa"/>
            <w:vAlign w:val="bottom"/>
            <w:tcBorders>
              <w:bottom w:val="single" w:sz="8" w:color="808080"/>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6190615</wp:posOffset>
            </wp:positionH>
            <wp:positionV relativeFrom="paragraph">
              <wp:posOffset>-281940</wp:posOffset>
            </wp:positionV>
            <wp:extent cx="841375" cy="16383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type w:val="continuous"/>
        </w:sectPr>
      </w:pPr>
    </w:p>
    <w:bookmarkStart w:id="94" w:name="page95"/>
    <w:bookmarkEnd w:id="94"/>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60960</wp:posOffset>
            </wp:positionH>
            <wp:positionV relativeFrom="paragraph">
              <wp:posOffset>137795</wp:posOffset>
            </wp:positionV>
            <wp:extent cx="1487805" cy="15557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1487805" cy="155575"/>
                    </a:xfrm>
                    <a:prstGeom prst="rect">
                      <a:avLst/>
                    </a:prstGeom>
                    <a:noFill/>
                  </pic:spPr>
                </pic:pic>
              </a:graphicData>
            </a:graphic>
          </wp:anchor>
        </w:drawing>
      </w:r>
    </w:p>
    <w:p>
      <w:pPr>
        <w:spacing w:after="0" w:line="232" w:lineRule="exact"/>
        <w:rPr>
          <w:sz w:val="20"/>
          <w:szCs w:val="20"/>
          <w:color w:val="auto"/>
        </w:rPr>
      </w:pPr>
    </w:p>
    <w:p>
      <w:pPr>
        <w:ind w:left="560"/>
        <w:spacing w:after="0"/>
        <w:rPr>
          <w:sz w:val="20"/>
          <w:szCs w:val="20"/>
          <w:color w:val="auto"/>
        </w:rPr>
      </w:pPr>
      <w:r>
        <w:rPr>
          <w:rFonts w:ascii="Arial" w:cs="Arial" w:eastAsia="Arial" w:hAnsi="Arial"/>
          <w:sz w:val="13"/>
          <w:szCs w:val="13"/>
          <w:b w:val="1"/>
          <w:bCs w:val="1"/>
          <w:color w:val="FFFFFE"/>
        </w:rPr>
        <w:t>EXECUTIVE COMPENSATION</w:t>
      </w:r>
    </w:p>
    <w:p>
      <w:pPr>
        <w:spacing w:after="0" w:line="92"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2440" w:type="dxa"/>
            <w:vAlign w:val="bottom"/>
            <w:gridSpan w:val="4"/>
          </w:tcPr>
          <w:p>
            <w:pPr>
              <w:spacing w:after="0"/>
              <w:rPr>
                <w:sz w:val="20"/>
                <w:szCs w:val="20"/>
                <w:color w:val="auto"/>
              </w:rPr>
            </w:pPr>
            <w:r>
              <w:rPr>
                <w:rFonts w:ascii="Arial" w:cs="Arial" w:eastAsia="Arial" w:hAnsi="Arial"/>
                <w:sz w:val="20"/>
                <w:szCs w:val="20"/>
                <w:b w:val="1"/>
                <w:bCs w:val="1"/>
                <w:i w:val="1"/>
                <w:iCs w:val="1"/>
                <w:color w:val="auto"/>
              </w:rPr>
              <w:t>Randall K. Edington:</w:t>
            </w:r>
          </w:p>
        </w:tc>
        <w:tc>
          <w:tcPr>
            <w:tcW w:w="118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1460" w:type="dxa"/>
            <w:vAlign w:val="bottom"/>
          </w:tcPr>
          <w:p>
            <w:pPr>
              <w:spacing w:after="0"/>
              <w:rPr>
                <w:sz w:val="23"/>
                <w:szCs w:val="23"/>
                <w:color w:val="auto"/>
              </w:rPr>
            </w:pPr>
          </w:p>
        </w:tc>
        <w:tc>
          <w:tcPr>
            <w:tcW w:w="16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704"/>
        </w:trPr>
        <w:tc>
          <w:tcPr>
            <w:tcW w:w="1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36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8"/>
              </w:rPr>
              <w:t>CHANGE OF</w:t>
            </w:r>
          </w:p>
        </w:tc>
        <w:tc>
          <w:tcPr>
            <w:tcW w:w="2000" w:type="dxa"/>
            <w:vAlign w:val="bottom"/>
            <w:gridSpan w:val="2"/>
            <w:vMerge w:val="restart"/>
          </w:tcPr>
          <w:p>
            <w:pPr>
              <w:jc w:val="center"/>
              <w:spacing w:after="0"/>
              <w:rPr>
                <w:sz w:val="20"/>
                <w:szCs w:val="20"/>
                <w:color w:val="auto"/>
              </w:rPr>
            </w:pPr>
            <w:r>
              <w:rPr>
                <w:rFonts w:ascii="Arial" w:cs="Arial" w:eastAsia="Arial" w:hAnsi="Arial"/>
                <w:sz w:val="20"/>
                <w:szCs w:val="20"/>
                <w:b w:val="1"/>
                <w:bCs w:val="1"/>
                <w:color w:val="3A5575"/>
                <w:w w:val="95"/>
              </w:rPr>
              <w:t>DEATH OR</w:t>
            </w:r>
          </w:p>
        </w:tc>
        <w:tc>
          <w:tcPr>
            <w:tcW w:w="1400" w:type="dxa"/>
            <w:vAlign w:val="bottom"/>
          </w:tcPr>
          <w:p>
            <w:pPr>
              <w:spacing w:after="0"/>
              <w:rPr>
                <w:sz w:val="24"/>
                <w:szCs w:val="24"/>
                <w:color w:val="auto"/>
              </w:rPr>
            </w:pPr>
          </w:p>
        </w:tc>
        <w:tc>
          <w:tcPr>
            <w:tcW w:w="3140" w:type="dxa"/>
            <w:vAlign w:val="bottom"/>
            <w:gridSpan w:val="2"/>
          </w:tcPr>
          <w:p>
            <w:pPr>
              <w:jc w:val="center"/>
              <w:ind w:right="1580"/>
              <w:spacing w:after="0"/>
              <w:rPr>
                <w:sz w:val="20"/>
                <w:szCs w:val="20"/>
                <w:color w:val="auto"/>
              </w:rPr>
            </w:pPr>
            <w:r>
              <w:rPr>
                <w:rFonts w:ascii="Arial" w:cs="Arial" w:eastAsia="Arial" w:hAnsi="Arial"/>
                <w:sz w:val="20"/>
                <w:szCs w:val="20"/>
                <w:b w:val="1"/>
                <w:bCs w:val="1"/>
                <w:color w:val="3A5575"/>
                <w:w w:val="97"/>
              </w:rPr>
              <w:t>ALL OTHER</w:t>
            </w: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360" w:type="dxa"/>
            <w:vAlign w:val="bottom"/>
            <w:vMerge w:val="continue"/>
          </w:tcPr>
          <w:p>
            <w:pPr>
              <w:spacing w:after="0"/>
              <w:rPr>
                <w:sz w:val="19"/>
                <w:szCs w:val="19"/>
                <w:color w:val="auto"/>
              </w:rPr>
            </w:pPr>
          </w:p>
        </w:tc>
        <w:tc>
          <w:tcPr>
            <w:tcW w:w="2000" w:type="dxa"/>
            <w:vAlign w:val="bottom"/>
            <w:gridSpan w:val="2"/>
            <w:vMerge w:val="continue"/>
          </w:tcPr>
          <w:p>
            <w:pPr>
              <w:spacing w:after="0"/>
              <w:rPr>
                <w:sz w:val="19"/>
                <w:szCs w:val="19"/>
                <w:color w:val="auto"/>
              </w:rPr>
            </w:pPr>
          </w:p>
        </w:tc>
        <w:tc>
          <w:tcPr>
            <w:tcW w:w="1400" w:type="dxa"/>
            <w:vAlign w:val="bottom"/>
            <w:vMerge w:val="restart"/>
          </w:tcPr>
          <w:p>
            <w:pPr>
              <w:jc w:val="center"/>
              <w:ind w:right="22"/>
              <w:spacing w:after="0"/>
              <w:rPr>
                <w:sz w:val="20"/>
                <w:szCs w:val="20"/>
                <w:color w:val="auto"/>
              </w:rPr>
            </w:pPr>
            <w:r>
              <w:rPr>
                <w:rFonts w:ascii="Arial" w:cs="Arial" w:eastAsia="Arial" w:hAnsi="Arial"/>
                <w:sz w:val="20"/>
                <w:szCs w:val="20"/>
                <w:b w:val="1"/>
                <w:bCs w:val="1"/>
                <w:color w:val="3A5575"/>
                <w:w w:val="98"/>
              </w:rPr>
              <w:t>RETIREMENT</w:t>
            </w:r>
          </w:p>
        </w:tc>
        <w:tc>
          <w:tcPr>
            <w:tcW w:w="3140" w:type="dxa"/>
            <w:vAlign w:val="bottom"/>
            <w:gridSpan w:val="2"/>
          </w:tcPr>
          <w:p>
            <w:pPr>
              <w:jc w:val="center"/>
              <w:ind w:right="1580"/>
              <w:spacing w:after="0" w:line="221" w:lineRule="exact"/>
              <w:rPr>
                <w:sz w:val="20"/>
                <w:szCs w:val="20"/>
                <w:color w:val="auto"/>
              </w:rPr>
            </w:pPr>
            <w:r>
              <w:rPr>
                <w:rFonts w:ascii="Arial" w:cs="Arial" w:eastAsia="Arial" w:hAnsi="Arial"/>
                <w:sz w:val="20"/>
                <w:szCs w:val="20"/>
                <w:b w:val="1"/>
                <w:bCs w:val="1"/>
                <w:color w:val="3A5575"/>
                <w:w w:val="97"/>
              </w:rPr>
              <w:t>TERMINATION</w:t>
            </w: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160" w:type="dxa"/>
            <w:vAlign w:val="bottom"/>
            <w:gridSpan w:val="3"/>
            <w:vMerge w:val="restart"/>
          </w:tcPr>
          <w:p>
            <w:pPr>
              <w:spacing w:after="0"/>
              <w:rPr>
                <w:sz w:val="20"/>
                <w:szCs w:val="20"/>
                <w:color w:val="auto"/>
              </w:rPr>
            </w:pPr>
            <w:r>
              <w:rPr>
                <w:rFonts w:ascii="Arial" w:cs="Arial" w:eastAsia="Arial" w:hAnsi="Arial"/>
                <w:sz w:val="20"/>
                <w:szCs w:val="20"/>
                <w:b w:val="1"/>
                <w:bCs w:val="1"/>
                <w:color w:val="3A5575"/>
              </w:rPr>
              <w:t>COMPONENT OF PAY</w:t>
            </w:r>
          </w:p>
        </w:tc>
        <w:tc>
          <w:tcPr>
            <w:tcW w:w="136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7"/>
              </w:rPr>
              <w:t>CONTROL</w:t>
            </w:r>
          </w:p>
        </w:tc>
        <w:tc>
          <w:tcPr>
            <w:tcW w:w="2000" w:type="dxa"/>
            <w:vAlign w:val="bottom"/>
            <w:gridSpan w:val="2"/>
          </w:tcPr>
          <w:p>
            <w:pPr>
              <w:jc w:val="center"/>
              <w:spacing w:after="0" w:line="221" w:lineRule="exact"/>
              <w:rPr>
                <w:sz w:val="20"/>
                <w:szCs w:val="20"/>
                <w:color w:val="auto"/>
              </w:rPr>
            </w:pPr>
            <w:r>
              <w:rPr>
                <w:rFonts w:ascii="Arial" w:cs="Arial" w:eastAsia="Arial" w:hAnsi="Arial"/>
                <w:sz w:val="20"/>
                <w:szCs w:val="20"/>
                <w:b w:val="1"/>
                <w:bCs w:val="1"/>
                <w:color w:val="3A5575"/>
                <w:w w:val="97"/>
              </w:rPr>
              <w:t>DISABILITY</w:t>
            </w:r>
          </w:p>
        </w:tc>
        <w:tc>
          <w:tcPr>
            <w:tcW w:w="1400" w:type="dxa"/>
            <w:vAlign w:val="bottom"/>
            <w:vMerge w:val="continue"/>
          </w:tcPr>
          <w:p>
            <w:pPr>
              <w:spacing w:after="0"/>
              <w:rPr>
                <w:sz w:val="19"/>
                <w:szCs w:val="19"/>
                <w:color w:val="auto"/>
              </w:rPr>
            </w:pPr>
          </w:p>
        </w:tc>
        <w:tc>
          <w:tcPr>
            <w:tcW w:w="3140" w:type="dxa"/>
            <w:vAlign w:val="bottom"/>
            <w:gridSpan w:val="2"/>
          </w:tcPr>
          <w:p>
            <w:pPr>
              <w:jc w:val="center"/>
              <w:ind w:right="1580"/>
              <w:spacing w:after="0" w:line="221" w:lineRule="exact"/>
              <w:rPr>
                <w:sz w:val="20"/>
                <w:szCs w:val="20"/>
                <w:color w:val="auto"/>
              </w:rPr>
            </w:pPr>
            <w:r>
              <w:rPr>
                <w:rFonts w:ascii="Arial" w:cs="Arial" w:eastAsia="Arial" w:hAnsi="Arial"/>
                <w:sz w:val="20"/>
                <w:szCs w:val="20"/>
                <w:b w:val="1"/>
                <w:bCs w:val="1"/>
                <w:color w:val="3A5575"/>
                <w:w w:val="99"/>
              </w:rPr>
              <w:t>EVENTS</w:t>
            </w:r>
          </w:p>
        </w:tc>
        <w:tc>
          <w:tcPr>
            <w:tcW w:w="0" w:type="dxa"/>
            <w:vAlign w:val="bottom"/>
          </w:tcPr>
          <w:p>
            <w:pPr>
              <w:spacing w:after="0"/>
              <w:rPr>
                <w:sz w:val="1"/>
                <w:szCs w:val="1"/>
                <w:color w:val="auto"/>
              </w:rPr>
            </w:pPr>
          </w:p>
        </w:tc>
      </w:tr>
      <w:tr>
        <w:trPr>
          <w:trHeight w:val="255"/>
        </w:trPr>
        <w:tc>
          <w:tcPr>
            <w:tcW w:w="10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160" w:type="dxa"/>
            <w:vAlign w:val="bottom"/>
            <w:tcBorders>
              <w:bottom w:val="single" w:sz="8" w:color="646466"/>
            </w:tcBorders>
            <w:gridSpan w:val="3"/>
            <w:vMerge w:val="continue"/>
          </w:tcPr>
          <w:p>
            <w:pPr>
              <w:spacing w:after="0"/>
              <w:rPr>
                <w:sz w:val="22"/>
                <w:szCs w:val="22"/>
                <w:color w:val="auto"/>
              </w:rPr>
            </w:pPr>
          </w:p>
        </w:tc>
        <w:tc>
          <w:tcPr>
            <w:tcW w:w="1360" w:type="dxa"/>
            <w:vAlign w:val="bottom"/>
            <w:tcBorders>
              <w:bottom w:val="single" w:sz="8" w:color="646466"/>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2000" w:type="dxa"/>
            <w:vAlign w:val="bottom"/>
            <w:tcBorders>
              <w:bottom w:val="single" w:sz="8" w:color="646466"/>
            </w:tcBorders>
            <w:gridSpan w:val="2"/>
          </w:tcPr>
          <w:p>
            <w:pPr>
              <w:jc w:val="center"/>
              <w:spacing w:after="0"/>
              <w:rPr>
                <w:sz w:val="20"/>
                <w:szCs w:val="20"/>
                <w:color w:val="auto"/>
              </w:rPr>
            </w:pPr>
            <w:r>
              <w:rPr>
                <w:rFonts w:ascii="Arial" w:cs="Arial" w:eastAsia="Arial" w:hAnsi="Arial"/>
                <w:sz w:val="20"/>
                <w:szCs w:val="20"/>
                <w:b w:val="1"/>
                <w:bCs w:val="1"/>
                <w:color w:val="3A5575"/>
                <w:w w:val="97"/>
              </w:rPr>
              <w:t>($)</w:t>
            </w:r>
          </w:p>
        </w:tc>
        <w:tc>
          <w:tcPr>
            <w:tcW w:w="1400" w:type="dxa"/>
            <w:vAlign w:val="bottom"/>
            <w:tcBorders>
              <w:bottom w:val="single" w:sz="8" w:color="646466"/>
            </w:tcBorders>
          </w:tcPr>
          <w:p>
            <w:pPr>
              <w:jc w:val="center"/>
              <w:ind w:right="22"/>
              <w:spacing w:after="0"/>
              <w:rPr>
                <w:sz w:val="20"/>
                <w:szCs w:val="20"/>
                <w:color w:val="auto"/>
              </w:rPr>
            </w:pPr>
            <w:r>
              <w:rPr>
                <w:rFonts w:ascii="Arial" w:cs="Arial" w:eastAsia="Arial" w:hAnsi="Arial"/>
                <w:sz w:val="20"/>
                <w:szCs w:val="20"/>
                <w:b w:val="1"/>
                <w:bCs w:val="1"/>
                <w:color w:val="3A5575"/>
                <w:w w:val="97"/>
              </w:rPr>
              <w:t>($)</w:t>
            </w:r>
          </w:p>
        </w:tc>
        <w:tc>
          <w:tcPr>
            <w:tcW w:w="1460" w:type="dxa"/>
            <w:vAlign w:val="bottom"/>
            <w:tcBorders>
              <w:bottom w:val="single" w:sz="8" w:color="646466"/>
            </w:tcBorders>
          </w:tcPr>
          <w:p>
            <w:pPr>
              <w:jc w:val="center"/>
              <w:ind w:left="2"/>
              <w:spacing w:after="0"/>
              <w:rPr>
                <w:sz w:val="20"/>
                <w:szCs w:val="20"/>
                <w:color w:val="auto"/>
              </w:rPr>
            </w:pPr>
            <w:r>
              <w:rPr>
                <w:rFonts w:ascii="Arial" w:cs="Arial" w:eastAsia="Arial" w:hAnsi="Arial"/>
                <w:sz w:val="20"/>
                <w:szCs w:val="20"/>
                <w:b w:val="1"/>
                <w:bCs w:val="1"/>
                <w:color w:val="3A5575"/>
                <w:w w:val="97"/>
              </w:rPr>
              <w:t>($)</w:t>
            </w:r>
          </w:p>
        </w:tc>
        <w:tc>
          <w:tcPr>
            <w:tcW w:w="16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10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gridSpan w:val="2"/>
            <w:shd w:val="clear" w:color="auto" w:fill="E3E5EB"/>
          </w:tcPr>
          <w:p>
            <w:pPr>
              <w:spacing w:after="0" w:line="213" w:lineRule="exact"/>
              <w:rPr>
                <w:sz w:val="20"/>
                <w:szCs w:val="20"/>
                <w:color w:val="auto"/>
              </w:rPr>
            </w:pPr>
            <w:r>
              <w:rPr>
                <w:rFonts w:ascii="Arial" w:cs="Arial" w:eastAsia="Arial" w:hAnsi="Arial"/>
                <w:sz w:val="20"/>
                <w:szCs w:val="20"/>
                <w:color w:val="auto"/>
              </w:rPr>
              <w:t>Performance Shares</w:t>
            </w:r>
          </w:p>
        </w:tc>
        <w:tc>
          <w:tcPr>
            <w:tcW w:w="1360" w:type="dxa"/>
            <w:vAlign w:val="bottom"/>
            <w:shd w:val="clear" w:color="auto" w:fill="E3E5EB"/>
          </w:tcPr>
          <w:p>
            <w:pPr>
              <w:jc w:val="right"/>
              <w:ind w:right="162"/>
              <w:spacing w:after="0" w:line="213" w:lineRule="exact"/>
              <w:rPr>
                <w:sz w:val="20"/>
                <w:szCs w:val="20"/>
                <w:color w:val="auto"/>
              </w:rPr>
            </w:pPr>
            <w:r>
              <w:rPr>
                <w:rFonts w:ascii="Arial" w:cs="Arial" w:eastAsia="Arial" w:hAnsi="Arial"/>
                <w:sz w:val="20"/>
                <w:szCs w:val="20"/>
                <w:color w:val="auto"/>
              </w:rPr>
              <w:t>1,038,450</w:t>
            </w:r>
          </w:p>
        </w:tc>
        <w:tc>
          <w:tcPr>
            <w:tcW w:w="1020" w:type="dxa"/>
            <w:vAlign w:val="bottom"/>
            <w:shd w:val="clear" w:color="auto" w:fill="E3E5EB"/>
          </w:tcPr>
          <w:p>
            <w:pPr>
              <w:jc w:val="right"/>
              <w:spacing w:after="0" w:line="213" w:lineRule="exact"/>
              <w:rPr>
                <w:sz w:val="20"/>
                <w:szCs w:val="20"/>
                <w:color w:val="auto"/>
              </w:rPr>
            </w:pPr>
            <w:r>
              <w:rPr>
                <w:rFonts w:ascii="Arial" w:cs="Arial" w:eastAsia="Arial" w:hAnsi="Arial"/>
                <w:sz w:val="20"/>
                <w:szCs w:val="20"/>
                <w:color w:val="auto"/>
              </w:rPr>
              <w:t>738,143</w:t>
            </w:r>
          </w:p>
        </w:tc>
        <w:tc>
          <w:tcPr>
            <w:tcW w:w="980" w:type="dxa"/>
            <w:vAlign w:val="bottom"/>
            <w:shd w:val="clear" w:color="auto" w:fill="E3E5EB"/>
          </w:tcPr>
          <w:p>
            <w:pPr>
              <w:spacing w:after="0"/>
              <w:rPr>
                <w:sz w:val="18"/>
                <w:szCs w:val="18"/>
                <w:color w:val="auto"/>
              </w:rPr>
            </w:pPr>
          </w:p>
        </w:tc>
        <w:tc>
          <w:tcPr>
            <w:tcW w:w="1400" w:type="dxa"/>
            <w:vAlign w:val="bottom"/>
            <w:shd w:val="clear" w:color="auto" w:fill="E3E5EB"/>
          </w:tcPr>
          <w:p>
            <w:pPr>
              <w:jc w:val="right"/>
              <w:ind w:right="222"/>
              <w:spacing w:after="0" w:line="213" w:lineRule="exact"/>
              <w:rPr>
                <w:sz w:val="20"/>
                <w:szCs w:val="20"/>
                <w:color w:val="auto"/>
              </w:rPr>
            </w:pPr>
            <w:r>
              <w:rPr>
                <w:rFonts w:ascii="Arial" w:cs="Arial" w:eastAsia="Arial" w:hAnsi="Arial"/>
                <w:sz w:val="20"/>
                <w:szCs w:val="20"/>
                <w:color w:val="auto"/>
              </w:rPr>
              <w:t>367,772</w:t>
            </w:r>
          </w:p>
        </w:tc>
        <w:tc>
          <w:tcPr>
            <w:tcW w:w="1460" w:type="dxa"/>
            <w:vAlign w:val="bottom"/>
            <w:shd w:val="clear" w:color="auto" w:fill="E3E5EB"/>
          </w:tcPr>
          <w:p>
            <w:pPr>
              <w:jc w:val="right"/>
              <w:ind w:right="142"/>
              <w:spacing w:after="0" w:line="213" w:lineRule="exact"/>
              <w:rPr>
                <w:sz w:val="20"/>
                <w:szCs w:val="20"/>
                <w:color w:val="auto"/>
              </w:rPr>
            </w:pPr>
            <w:r>
              <w:rPr>
                <w:rFonts w:ascii="Arial" w:cs="Arial" w:eastAsia="Arial" w:hAnsi="Arial"/>
                <w:sz w:val="20"/>
                <w:szCs w:val="20"/>
                <w:color w:val="auto"/>
              </w:rPr>
              <w:t>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60" w:type="dxa"/>
            <w:vAlign w:val="bottom"/>
          </w:tcPr>
          <w:p>
            <w:pPr>
              <w:spacing w:after="0" w:line="221" w:lineRule="exact"/>
              <w:rPr>
                <w:sz w:val="20"/>
                <w:szCs w:val="20"/>
                <w:color w:val="auto"/>
              </w:rPr>
            </w:pPr>
            <w:r>
              <w:rPr>
                <w:rFonts w:ascii="Arial" w:cs="Arial" w:eastAsia="Arial" w:hAnsi="Arial"/>
                <w:sz w:val="20"/>
                <w:szCs w:val="20"/>
                <w:color w:val="auto"/>
              </w:rPr>
              <w:t>RSUs</w:t>
            </w:r>
          </w:p>
        </w:tc>
        <w:tc>
          <w:tcPr>
            <w:tcW w:w="1180" w:type="dxa"/>
            <w:vAlign w:val="bottom"/>
          </w:tcPr>
          <w:p>
            <w:pPr>
              <w:spacing w:after="0"/>
              <w:rPr>
                <w:sz w:val="19"/>
                <w:szCs w:val="19"/>
                <w:color w:val="auto"/>
              </w:rPr>
            </w:pPr>
          </w:p>
        </w:tc>
        <w:tc>
          <w:tcPr>
            <w:tcW w:w="136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721,023</w:t>
            </w:r>
          </w:p>
        </w:tc>
        <w:tc>
          <w:tcPr>
            <w:tcW w:w="1020" w:type="dxa"/>
            <w:vAlign w:val="bottom"/>
          </w:tcPr>
          <w:p>
            <w:pPr>
              <w:jc w:val="right"/>
              <w:spacing w:after="0" w:line="221" w:lineRule="exact"/>
              <w:rPr>
                <w:sz w:val="20"/>
                <w:szCs w:val="20"/>
                <w:color w:val="auto"/>
              </w:rPr>
            </w:pPr>
            <w:r>
              <w:rPr>
                <w:rFonts w:ascii="Arial" w:cs="Arial" w:eastAsia="Arial" w:hAnsi="Arial"/>
                <w:sz w:val="20"/>
                <w:szCs w:val="20"/>
                <w:color w:val="auto"/>
              </w:rPr>
              <w:t>633,365</w:t>
            </w:r>
          </w:p>
        </w:tc>
        <w:tc>
          <w:tcPr>
            <w:tcW w:w="980" w:type="dxa"/>
            <w:vAlign w:val="bottom"/>
          </w:tcPr>
          <w:p>
            <w:pPr>
              <w:spacing w:after="0"/>
              <w:rPr>
                <w:sz w:val="19"/>
                <w:szCs w:val="19"/>
                <w:color w:val="auto"/>
              </w:rPr>
            </w:pPr>
          </w:p>
        </w:tc>
        <w:tc>
          <w:tcPr>
            <w:tcW w:w="1400" w:type="dxa"/>
            <w:vAlign w:val="bottom"/>
          </w:tcPr>
          <w:p>
            <w:pPr>
              <w:jc w:val="right"/>
              <w:ind w:right="222"/>
              <w:spacing w:after="0" w:line="221" w:lineRule="exact"/>
              <w:rPr>
                <w:sz w:val="20"/>
                <w:szCs w:val="20"/>
                <w:color w:val="auto"/>
              </w:rPr>
            </w:pPr>
            <w:r>
              <w:rPr>
                <w:rFonts w:ascii="Arial" w:cs="Arial" w:eastAsia="Arial" w:hAnsi="Arial"/>
                <w:sz w:val="20"/>
                <w:szCs w:val="20"/>
                <w:color w:val="auto"/>
              </w:rPr>
              <w:t>461,407</w:t>
            </w:r>
          </w:p>
        </w:tc>
        <w:tc>
          <w:tcPr>
            <w:tcW w:w="1460" w:type="dxa"/>
            <w:vAlign w:val="bottom"/>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shd w:val="clear" w:color="auto" w:fill="E3E5EB"/>
          </w:tcPr>
          <w:p>
            <w:pPr>
              <w:spacing w:after="0" w:line="221" w:lineRule="exact"/>
              <w:rPr>
                <w:sz w:val="20"/>
                <w:szCs w:val="20"/>
                <w:color w:val="auto"/>
              </w:rPr>
            </w:pPr>
            <w:r>
              <w:rPr>
                <w:rFonts w:ascii="Arial" w:cs="Arial" w:eastAsia="Arial" w:hAnsi="Arial"/>
                <w:sz w:val="20"/>
                <w:szCs w:val="20"/>
                <w:color w:val="auto"/>
              </w:rPr>
              <w:t>Severance Benefits</w:t>
            </w:r>
          </w:p>
        </w:tc>
        <w:tc>
          <w:tcPr>
            <w:tcW w:w="1360" w:type="dxa"/>
            <w:vAlign w:val="bottom"/>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5,173,552</w:t>
            </w:r>
          </w:p>
        </w:tc>
        <w:tc>
          <w:tcPr>
            <w:tcW w:w="1020" w:type="dxa"/>
            <w:vAlign w:val="bottom"/>
            <w:shd w:val="clear" w:color="auto" w:fill="E3E5EB"/>
          </w:tcPr>
          <w:p>
            <w:pPr>
              <w:jc w:val="right"/>
              <w:spacing w:after="0" w:line="221" w:lineRule="exact"/>
              <w:rPr>
                <w:sz w:val="20"/>
                <w:szCs w:val="20"/>
                <w:color w:val="auto"/>
              </w:rPr>
            </w:pPr>
            <w:r>
              <w:rPr>
                <w:rFonts w:ascii="Arial" w:cs="Arial" w:eastAsia="Arial" w:hAnsi="Arial"/>
                <w:sz w:val="20"/>
                <w:szCs w:val="20"/>
                <w:color w:val="auto"/>
              </w:rPr>
              <w:t>0</w:t>
            </w:r>
          </w:p>
        </w:tc>
        <w:tc>
          <w:tcPr>
            <w:tcW w:w="980" w:type="dxa"/>
            <w:vAlign w:val="bottom"/>
            <w:shd w:val="clear" w:color="auto" w:fill="E3E5EB"/>
          </w:tcPr>
          <w:p>
            <w:pPr>
              <w:spacing w:after="0"/>
              <w:rPr>
                <w:sz w:val="19"/>
                <w:szCs w:val="19"/>
                <w:color w:val="auto"/>
              </w:rPr>
            </w:pPr>
          </w:p>
        </w:tc>
        <w:tc>
          <w:tcPr>
            <w:tcW w:w="1400" w:type="dxa"/>
            <w:vAlign w:val="bottom"/>
            <w:shd w:val="clear" w:color="auto" w:fill="E3E5EB"/>
          </w:tcPr>
          <w:p>
            <w:pPr>
              <w:jc w:val="right"/>
              <w:ind w:right="222"/>
              <w:spacing w:after="0" w:line="22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140" w:type="dxa"/>
            <w:vAlign w:val="bottom"/>
            <w:gridSpan w:val="2"/>
          </w:tcPr>
          <w:p>
            <w:pPr>
              <w:spacing w:after="0" w:line="191" w:lineRule="exact"/>
              <w:rPr>
                <w:sz w:val="20"/>
                <w:szCs w:val="20"/>
                <w:color w:val="auto"/>
              </w:rPr>
            </w:pPr>
            <w:r>
              <w:rPr>
                <w:rFonts w:ascii="Arial" w:cs="Arial" w:eastAsia="Arial" w:hAnsi="Arial"/>
                <w:sz w:val="20"/>
                <w:szCs w:val="20"/>
                <w:color w:val="auto"/>
              </w:rPr>
              <w:t>Present Value of</w:t>
            </w:r>
          </w:p>
        </w:tc>
        <w:tc>
          <w:tcPr>
            <w:tcW w:w="136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tcPr>
          <w:p>
            <w:pPr>
              <w:ind w:left="180"/>
              <w:spacing w:after="0" w:line="221" w:lineRule="exact"/>
              <w:rPr>
                <w:sz w:val="20"/>
                <w:szCs w:val="20"/>
                <w:color w:val="auto"/>
              </w:rPr>
            </w:pPr>
            <w:r>
              <w:rPr>
                <w:rFonts w:ascii="Arial" w:cs="Arial" w:eastAsia="Arial" w:hAnsi="Arial"/>
                <w:sz w:val="20"/>
                <w:szCs w:val="20"/>
                <w:color w:val="auto"/>
              </w:rPr>
              <w:t>Medical, Dental, and</w:t>
            </w:r>
          </w:p>
        </w:tc>
        <w:tc>
          <w:tcPr>
            <w:tcW w:w="13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4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tcPr>
          <w:p>
            <w:pPr>
              <w:ind w:left="180"/>
              <w:spacing w:after="0" w:line="221" w:lineRule="exact"/>
              <w:rPr>
                <w:sz w:val="20"/>
                <w:szCs w:val="20"/>
                <w:color w:val="auto"/>
              </w:rPr>
            </w:pPr>
            <w:r>
              <w:rPr>
                <w:rFonts w:ascii="Arial" w:cs="Arial" w:eastAsia="Arial" w:hAnsi="Arial"/>
                <w:sz w:val="20"/>
                <w:szCs w:val="20"/>
                <w:color w:val="auto"/>
              </w:rPr>
              <w:t>Life Insurance</w:t>
            </w:r>
          </w:p>
        </w:tc>
        <w:tc>
          <w:tcPr>
            <w:tcW w:w="13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4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tcPr>
          <w:p>
            <w:pPr>
              <w:ind w:left="180"/>
              <w:spacing w:after="0"/>
              <w:rPr>
                <w:sz w:val="20"/>
                <w:szCs w:val="20"/>
                <w:color w:val="auto"/>
              </w:rPr>
            </w:pPr>
            <w:r>
              <w:rPr>
                <w:rFonts w:ascii="Arial" w:cs="Arial" w:eastAsia="Arial" w:hAnsi="Arial"/>
                <w:sz w:val="20"/>
                <w:szCs w:val="20"/>
                <w:color w:val="auto"/>
              </w:rPr>
              <w:t>Benefits</w:t>
            </w:r>
          </w:p>
        </w:tc>
        <w:tc>
          <w:tcPr>
            <w:tcW w:w="1180" w:type="dxa"/>
            <w:vAlign w:val="bottom"/>
          </w:tcPr>
          <w:p>
            <w:pPr>
              <w:spacing w:after="0"/>
              <w:rPr>
                <w:sz w:val="21"/>
                <w:szCs w:val="21"/>
                <w:color w:val="auto"/>
              </w:rPr>
            </w:pPr>
          </w:p>
        </w:tc>
        <w:tc>
          <w:tcPr>
            <w:tcW w:w="1360" w:type="dxa"/>
            <w:vAlign w:val="bottom"/>
          </w:tcPr>
          <w:p>
            <w:pPr>
              <w:jc w:val="right"/>
              <w:ind w:right="162"/>
              <w:spacing w:after="0"/>
              <w:rPr>
                <w:sz w:val="20"/>
                <w:szCs w:val="20"/>
                <w:color w:val="auto"/>
              </w:rPr>
            </w:pPr>
            <w:r>
              <w:rPr>
                <w:rFonts w:ascii="Arial" w:cs="Arial" w:eastAsia="Arial" w:hAnsi="Arial"/>
                <w:sz w:val="20"/>
                <w:szCs w:val="20"/>
                <w:color w:val="auto"/>
              </w:rPr>
              <w:t>29,902</w:t>
            </w:r>
          </w:p>
        </w:tc>
        <w:tc>
          <w:tcPr>
            <w:tcW w:w="1020" w:type="dxa"/>
            <w:vAlign w:val="bottom"/>
          </w:tcPr>
          <w:p>
            <w:pPr>
              <w:jc w:val="right"/>
              <w:spacing w:after="0"/>
              <w:rPr>
                <w:sz w:val="20"/>
                <w:szCs w:val="20"/>
                <w:color w:val="auto"/>
              </w:rPr>
            </w:pPr>
            <w:r>
              <w:rPr>
                <w:rFonts w:ascii="Arial" w:cs="Arial" w:eastAsia="Arial" w:hAnsi="Arial"/>
                <w:sz w:val="20"/>
                <w:szCs w:val="20"/>
                <w:color w:val="auto"/>
              </w:rPr>
              <w:t>0</w:t>
            </w:r>
          </w:p>
        </w:tc>
        <w:tc>
          <w:tcPr>
            <w:tcW w:w="980" w:type="dxa"/>
            <w:vAlign w:val="bottom"/>
          </w:tcPr>
          <w:p>
            <w:pPr>
              <w:spacing w:after="0"/>
              <w:rPr>
                <w:sz w:val="21"/>
                <w:szCs w:val="21"/>
                <w:color w:val="auto"/>
              </w:rPr>
            </w:pPr>
          </w:p>
        </w:tc>
        <w:tc>
          <w:tcPr>
            <w:tcW w:w="1400" w:type="dxa"/>
            <w:vAlign w:val="bottom"/>
          </w:tcPr>
          <w:p>
            <w:pPr>
              <w:jc w:val="right"/>
              <w:ind w:right="222"/>
              <w:spacing w:after="0"/>
              <w:rPr>
                <w:sz w:val="20"/>
                <w:szCs w:val="20"/>
                <w:color w:val="auto"/>
              </w:rPr>
            </w:pPr>
            <w:r>
              <w:rPr>
                <w:rFonts w:ascii="Arial" w:cs="Arial" w:eastAsia="Arial" w:hAnsi="Arial"/>
                <w:sz w:val="20"/>
                <w:szCs w:val="20"/>
                <w:color w:val="auto"/>
              </w:rPr>
              <w:t>0</w:t>
            </w:r>
          </w:p>
        </w:tc>
        <w:tc>
          <w:tcPr>
            <w:tcW w:w="1460" w:type="dxa"/>
            <w:vAlign w:val="bottom"/>
          </w:tcPr>
          <w:p>
            <w:pPr>
              <w:jc w:val="right"/>
              <w:ind w:right="142"/>
              <w:spacing w:after="0"/>
              <w:rPr>
                <w:sz w:val="20"/>
                <w:szCs w:val="20"/>
                <w:color w:val="auto"/>
              </w:rPr>
            </w:pPr>
            <w:r>
              <w:rPr>
                <w:rFonts w:ascii="Arial" w:cs="Arial" w:eastAsia="Arial" w:hAnsi="Arial"/>
                <w:sz w:val="20"/>
                <w:szCs w:val="20"/>
                <w:color w:val="auto"/>
              </w:rPr>
              <w:t>0</w:t>
            </w: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140" w:type="dxa"/>
            <w:vAlign w:val="bottom"/>
            <w:gridSpan w:val="2"/>
            <w:shd w:val="clear" w:color="auto" w:fill="E3E5EB"/>
          </w:tcPr>
          <w:p>
            <w:pPr>
              <w:spacing w:after="0" w:line="191" w:lineRule="exact"/>
              <w:rPr>
                <w:sz w:val="20"/>
                <w:szCs w:val="20"/>
                <w:color w:val="auto"/>
              </w:rPr>
            </w:pPr>
            <w:r>
              <w:rPr>
                <w:rFonts w:ascii="Arial" w:cs="Arial" w:eastAsia="Arial" w:hAnsi="Arial"/>
                <w:sz w:val="20"/>
                <w:szCs w:val="20"/>
                <w:color w:val="auto"/>
                <w:w w:val="97"/>
              </w:rPr>
              <w:t>Retiree Medical Benefits</w:t>
            </w:r>
          </w:p>
        </w:tc>
        <w:tc>
          <w:tcPr>
            <w:tcW w:w="1360" w:type="dxa"/>
            <w:vAlign w:val="bottom"/>
            <w:shd w:val="clear" w:color="auto" w:fill="E3E5EB"/>
          </w:tcPr>
          <w:p>
            <w:pPr>
              <w:jc w:val="right"/>
              <w:ind w:right="162"/>
              <w:spacing w:after="0" w:line="191" w:lineRule="exact"/>
              <w:rPr>
                <w:sz w:val="20"/>
                <w:szCs w:val="20"/>
                <w:color w:val="auto"/>
              </w:rPr>
            </w:pPr>
            <w:r>
              <w:rPr>
                <w:rFonts w:ascii="Arial" w:cs="Arial" w:eastAsia="Arial" w:hAnsi="Arial"/>
                <w:sz w:val="20"/>
                <w:szCs w:val="20"/>
                <w:color w:val="auto"/>
              </w:rPr>
              <w:t>44,780</w:t>
            </w:r>
          </w:p>
        </w:tc>
        <w:tc>
          <w:tcPr>
            <w:tcW w:w="1020" w:type="dxa"/>
            <w:vAlign w:val="bottom"/>
            <w:shd w:val="clear" w:color="auto" w:fill="E3E5EB"/>
          </w:tcPr>
          <w:p>
            <w:pPr>
              <w:jc w:val="right"/>
              <w:spacing w:after="0" w:line="191" w:lineRule="exact"/>
              <w:rPr>
                <w:sz w:val="20"/>
                <w:szCs w:val="20"/>
                <w:color w:val="auto"/>
              </w:rPr>
            </w:pPr>
            <w:r>
              <w:rPr>
                <w:rFonts w:ascii="Arial" w:cs="Arial" w:eastAsia="Arial" w:hAnsi="Arial"/>
                <w:sz w:val="20"/>
                <w:szCs w:val="20"/>
                <w:color w:val="auto"/>
              </w:rPr>
              <w:t>43,129</w:t>
            </w:r>
          </w:p>
        </w:tc>
        <w:tc>
          <w:tcPr>
            <w:tcW w:w="980" w:type="dxa"/>
            <w:vAlign w:val="bottom"/>
            <w:shd w:val="clear" w:color="auto" w:fill="E3E5EB"/>
          </w:tcPr>
          <w:p>
            <w:pPr>
              <w:ind w:left="60"/>
              <w:spacing w:after="0" w:line="191" w:lineRule="exact"/>
              <w:rPr>
                <w:sz w:val="20"/>
                <w:szCs w:val="20"/>
                <w:color w:val="auto"/>
              </w:rPr>
            </w:pPr>
            <w:r>
              <w:rPr>
                <w:rFonts w:ascii="Arial" w:cs="Arial" w:eastAsia="Arial" w:hAnsi="Arial"/>
                <w:sz w:val="20"/>
                <w:szCs w:val="20"/>
                <w:color w:val="auto"/>
              </w:rPr>
              <w:t>(Death)</w:t>
            </w:r>
          </w:p>
        </w:tc>
        <w:tc>
          <w:tcPr>
            <w:tcW w:w="1400" w:type="dxa"/>
            <w:vAlign w:val="bottom"/>
            <w:shd w:val="clear" w:color="auto" w:fill="E3E5EB"/>
          </w:tcPr>
          <w:p>
            <w:pPr>
              <w:jc w:val="right"/>
              <w:ind w:right="222"/>
              <w:spacing w:after="0" w:line="19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right"/>
              <w:ind w:right="142"/>
              <w:spacing w:after="0" w:line="191" w:lineRule="exact"/>
              <w:rPr>
                <w:sz w:val="20"/>
                <w:szCs w:val="20"/>
                <w:color w:val="auto"/>
              </w:rPr>
            </w:pPr>
            <w:r>
              <w:rPr>
                <w:rFonts w:ascii="Arial" w:cs="Arial" w:eastAsia="Arial" w:hAnsi="Arial"/>
                <w:sz w:val="20"/>
                <w:szCs w:val="20"/>
                <w:color w:val="auto"/>
              </w:rPr>
              <w:t>80,734</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shd w:val="clear" w:color="auto" w:fill="E3E5EB"/>
          </w:tcPr>
          <w:p>
            <w:pPr>
              <w:spacing w:after="0"/>
              <w:rPr>
                <w:sz w:val="21"/>
                <w:szCs w:val="21"/>
                <w:color w:val="auto"/>
              </w:rPr>
            </w:pPr>
          </w:p>
        </w:tc>
        <w:tc>
          <w:tcPr>
            <w:tcW w:w="1180" w:type="dxa"/>
            <w:vAlign w:val="bottom"/>
            <w:shd w:val="clear" w:color="auto" w:fill="E3E5EB"/>
          </w:tcPr>
          <w:p>
            <w:pPr>
              <w:spacing w:after="0"/>
              <w:rPr>
                <w:sz w:val="21"/>
                <w:szCs w:val="21"/>
                <w:color w:val="auto"/>
              </w:rPr>
            </w:pPr>
          </w:p>
        </w:tc>
        <w:tc>
          <w:tcPr>
            <w:tcW w:w="1360" w:type="dxa"/>
            <w:vAlign w:val="bottom"/>
            <w:shd w:val="clear" w:color="auto" w:fill="E3E5EB"/>
          </w:tcPr>
          <w:p>
            <w:pPr>
              <w:spacing w:after="0"/>
              <w:rPr>
                <w:sz w:val="21"/>
                <w:szCs w:val="21"/>
                <w:color w:val="auto"/>
              </w:rPr>
            </w:pPr>
          </w:p>
        </w:tc>
        <w:tc>
          <w:tcPr>
            <w:tcW w:w="1020" w:type="dxa"/>
            <w:vAlign w:val="bottom"/>
            <w:shd w:val="clear" w:color="auto" w:fill="E3E5EB"/>
          </w:tcPr>
          <w:p>
            <w:pPr>
              <w:jc w:val="right"/>
              <w:spacing w:after="0"/>
              <w:rPr>
                <w:sz w:val="20"/>
                <w:szCs w:val="20"/>
                <w:color w:val="auto"/>
              </w:rPr>
            </w:pPr>
            <w:r>
              <w:rPr>
                <w:rFonts w:ascii="Arial" w:cs="Arial" w:eastAsia="Arial" w:hAnsi="Arial"/>
                <w:sz w:val="20"/>
                <w:szCs w:val="20"/>
                <w:color w:val="auto"/>
              </w:rPr>
              <w:t>80,734</w:t>
            </w:r>
          </w:p>
        </w:tc>
        <w:tc>
          <w:tcPr>
            <w:tcW w:w="980" w:type="dxa"/>
            <w:vAlign w:val="bottom"/>
            <w:shd w:val="clear" w:color="auto" w:fill="E3E5EB"/>
          </w:tcPr>
          <w:p>
            <w:pPr>
              <w:ind w:left="60"/>
              <w:spacing w:after="0"/>
              <w:rPr>
                <w:sz w:val="20"/>
                <w:szCs w:val="20"/>
                <w:color w:val="auto"/>
              </w:rPr>
            </w:pPr>
            <w:r>
              <w:rPr>
                <w:rFonts w:ascii="Arial" w:cs="Arial" w:eastAsia="Arial" w:hAnsi="Arial"/>
                <w:sz w:val="20"/>
                <w:szCs w:val="20"/>
                <w:color w:val="auto"/>
                <w:w w:val="96"/>
              </w:rPr>
              <w:t>(Disability)</w:t>
            </w:r>
          </w:p>
        </w:tc>
        <w:tc>
          <w:tcPr>
            <w:tcW w:w="1400" w:type="dxa"/>
            <w:vAlign w:val="bottom"/>
            <w:shd w:val="clear" w:color="auto" w:fill="E3E5EB"/>
          </w:tcPr>
          <w:p>
            <w:pPr>
              <w:spacing w:after="0"/>
              <w:rPr>
                <w:sz w:val="21"/>
                <w:szCs w:val="21"/>
                <w:color w:val="auto"/>
              </w:rPr>
            </w:pPr>
          </w:p>
        </w:tc>
        <w:tc>
          <w:tcPr>
            <w:tcW w:w="1460" w:type="dxa"/>
            <w:vAlign w:val="bottom"/>
            <w:shd w:val="clear" w:color="auto" w:fill="E3E5EB"/>
          </w:tcPr>
          <w:p>
            <w:pPr>
              <w:spacing w:after="0"/>
              <w:rPr>
                <w:sz w:val="21"/>
                <w:szCs w:val="21"/>
                <w:color w:val="auto"/>
              </w:rPr>
            </w:pP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tcPr>
          <w:p>
            <w:pPr>
              <w:spacing w:after="0" w:line="221" w:lineRule="exact"/>
              <w:rPr>
                <w:sz w:val="20"/>
                <w:szCs w:val="20"/>
                <w:color w:val="auto"/>
              </w:rPr>
            </w:pPr>
            <w:r>
              <w:rPr>
                <w:rFonts w:ascii="Arial" w:cs="Arial" w:eastAsia="Arial" w:hAnsi="Arial"/>
                <w:sz w:val="20"/>
                <w:szCs w:val="20"/>
                <w:color w:val="auto"/>
              </w:rPr>
              <w:t>Outplacement Services</w:t>
            </w:r>
          </w:p>
        </w:tc>
        <w:tc>
          <w:tcPr>
            <w:tcW w:w="136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10,000</w:t>
            </w:r>
          </w:p>
        </w:tc>
        <w:tc>
          <w:tcPr>
            <w:tcW w:w="1020" w:type="dxa"/>
            <w:vAlign w:val="bottom"/>
          </w:tcPr>
          <w:p>
            <w:pPr>
              <w:jc w:val="right"/>
              <w:spacing w:after="0" w:line="221" w:lineRule="exact"/>
              <w:rPr>
                <w:sz w:val="20"/>
                <w:szCs w:val="20"/>
                <w:color w:val="auto"/>
              </w:rPr>
            </w:pPr>
            <w:r>
              <w:rPr>
                <w:rFonts w:ascii="Arial" w:cs="Arial" w:eastAsia="Arial" w:hAnsi="Arial"/>
                <w:sz w:val="20"/>
                <w:szCs w:val="20"/>
                <w:color w:val="auto"/>
              </w:rPr>
              <w:t>0</w:t>
            </w:r>
          </w:p>
        </w:tc>
        <w:tc>
          <w:tcPr>
            <w:tcW w:w="980" w:type="dxa"/>
            <w:vAlign w:val="bottom"/>
          </w:tcPr>
          <w:p>
            <w:pPr>
              <w:spacing w:after="0"/>
              <w:rPr>
                <w:sz w:val="19"/>
                <w:szCs w:val="19"/>
                <w:color w:val="auto"/>
              </w:rPr>
            </w:pPr>
          </w:p>
        </w:tc>
        <w:tc>
          <w:tcPr>
            <w:tcW w:w="1400" w:type="dxa"/>
            <w:vAlign w:val="bottom"/>
          </w:tcPr>
          <w:p>
            <w:pPr>
              <w:jc w:val="right"/>
              <w:ind w:right="222"/>
              <w:spacing w:after="0" w:line="221" w:lineRule="exact"/>
              <w:rPr>
                <w:sz w:val="20"/>
                <w:szCs w:val="20"/>
                <w:color w:val="auto"/>
              </w:rPr>
            </w:pPr>
            <w:r>
              <w:rPr>
                <w:rFonts w:ascii="Arial" w:cs="Arial" w:eastAsia="Arial" w:hAnsi="Arial"/>
                <w:sz w:val="20"/>
                <w:szCs w:val="20"/>
                <w:color w:val="auto"/>
              </w:rPr>
              <w:t>0</w:t>
            </w:r>
          </w:p>
        </w:tc>
        <w:tc>
          <w:tcPr>
            <w:tcW w:w="1460" w:type="dxa"/>
            <w:vAlign w:val="bottom"/>
          </w:tcPr>
          <w:p>
            <w:pPr>
              <w:jc w:val="right"/>
              <w:ind w:right="142"/>
              <w:spacing w:after="0" w:line="221" w:lineRule="exact"/>
              <w:rPr>
                <w:sz w:val="20"/>
                <w:szCs w:val="20"/>
                <w:color w:val="auto"/>
              </w:rPr>
            </w:pPr>
            <w:r>
              <w:rPr>
                <w:rFonts w:ascii="Arial" w:cs="Arial" w:eastAsia="Arial" w:hAnsi="Arial"/>
                <w:sz w:val="20"/>
                <w:szCs w:val="20"/>
                <w:color w:val="auto"/>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140" w:type="dxa"/>
            <w:vAlign w:val="bottom"/>
            <w:gridSpan w:val="2"/>
            <w:shd w:val="clear" w:color="auto" w:fill="E3E5EB"/>
          </w:tcPr>
          <w:p>
            <w:pPr>
              <w:spacing w:after="0" w:line="191" w:lineRule="exact"/>
              <w:rPr>
                <w:sz w:val="20"/>
                <w:szCs w:val="20"/>
                <w:color w:val="auto"/>
              </w:rPr>
            </w:pPr>
            <w:r>
              <w:rPr>
                <w:rFonts w:ascii="Arial" w:cs="Arial" w:eastAsia="Arial" w:hAnsi="Arial"/>
                <w:sz w:val="20"/>
                <w:szCs w:val="20"/>
                <w:color w:val="auto"/>
              </w:rPr>
              <w:t>Edington DCP</w:t>
            </w:r>
          </w:p>
        </w:tc>
        <w:tc>
          <w:tcPr>
            <w:tcW w:w="1360" w:type="dxa"/>
            <w:vAlign w:val="bottom"/>
            <w:shd w:val="clear" w:color="auto" w:fill="E3E5EB"/>
          </w:tcPr>
          <w:p>
            <w:pPr>
              <w:spacing w:after="0"/>
              <w:rPr>
                <w:sz w:val="16"/>
                <w:szCs w:val="16"/>
                <w:color w:val="auto"/>
              </w:rPr>
            </w:pPr>
          </w:p>
        </w:tc>
        <w:tc>
          <w:tcPr>
            <w:tcW w:w="1020" w:type="dxa"/>
            <w:vAlign w:val="bottom"/>
            <w:shd w:val="clear" w:color="auto" w:fill="E3E5EB"/>
          </w:tcPr>
          <w:p>
            <w:pPr>
              <w:spacing w:after="0"/>
              <w:rPr>
                <w:sz w:val="16"/>
                <w:szCs w:val="16"/>
                <w:color w:val="auto"/>
              </w:rPr>
            </w:pPr>
          </w:p>
        </w:tc>
        <w:tc>
          <w:tcPr>
            <w:tcW w:w="980" w:type="dxa"/>
            <w:vAlign w:val="bottom"/>
            <w:shd w:val="clear" w:color="auto" w:fill="E3E5EB"/>
          </w:tcPr>
          <w:p>
            <w:pPr>
              <w:spacing w:after="0"/>
              <w:rPr>
                <w:sz w:val="16"/>
                <w:szCs w:val="16"/>
                <w:color w:val="auto"/>
              </w:rPr>
            </w:pPr>
          </w:p>
        </w:tc>
        <w:tc>
          <w:tcPr>
            <w:tcW w:w="1400" w:type="dxa"/>
            <w:vAlign w:val="bottom"/>
            <w:shd w:val="clear" w:color="auto" w:fill="E3E5EB"/>
          </w:tcPr>
          <w:p>
            <w:pPr>
              <w:spacing w:after="0"/>
              <w:rPr>
                <w:sz w:val="16"/>
                <w:szCs w:val="16"/>
                <w:color w:val="auto"/>
              </w:rPr>
            </w:pPr>
          </w:p>
        </w:tc>
        <w:tc>
          <w:tcPr>
            <w:tcW w:w="1460" w:type="dxa"/>
            <w:vAlign w:val="bottom"/>
            <w:shd w:val="clear" w:color="auto" w:fill="E3E5EB"/>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140" w:type="dxa"/>
            <w:vAlign w:val="bottom"/>
            <w:gridSpan w:val="2"/>
            <w:shd w:val="clear" w:color="auto" w:fill="E3E5EB"/>
          </w:tcPr>
          <w:p>
            <w:pPr>
              <w:ind w:left="180"/>
              <w:spacing w:after="0"/>
              <w:rPr>
                <w:sz w:val="20"/>
                <w:szCs w:val="20"/>
                <w:color w:val="auto"/>
              </w:rPr>
            </w:pPr>
            <w:r>
              <w:rPr>
                <w:rFonts w:ascii="Arial" w:cs="Arial" w:eastAsia="Arial" w:hAnsi="Arial"/>
                <w:sz w:val="20"/>
                <w:szCs w:val="20"/>
                <w:color w:val="auto"/>
              </w:rPr>
              <w:t>Discretionary Credits</w:t>
            </w:r>
          </w:p>
        </w:tc>
        <w:tc>
          <w:tcPr>
            <w:tcW w:w="1360" w:type="dxa"/>
            <w:vAlign w:val="bottom"/>
            <w:shd w:val="clear" w:color="auto" w:fill="E3E5EB"/>
          </w:tcPr>
          <w:p>
            <w:pPr>
              <w:jc w:val="right"/>
              <w:ind w:right="162"/>
              <w:spacing w:after="0"/>
              <w:rPr>
                <w:sz w:val="20"/>
                <w:szCs w:val="20"/>
                <w:color w:val="auto"/>
              </w:rPr>
            </w:pPr>
            <w:r>
              <w:rPr>
                <w:rFonts w:ascii="Arial" w:cs="Arial" w:eastAsia="Arial" w:hAnsi="Arial"/>
                <w:sz w:val="20"/>
                <w:szCs w:val="20"/>
                <w:color w:val="auto"/>
              </w:rPr>
              <w:t>0</w:t>
            </w:r>
          </w:p>
        </w:tc>
        <w:tc>
          <w:tcPr>
            <w:tcW w:w="1020" w:type="dxa"/>
            <w:vAlign w:val="bottom"/>
            <w:shd w:val="clear" w:color="auto" w:fill="E3E5EB"/>
          </w:tcPr>
          <w:p>
            <w:pPr>
              <w:jc w:val="right"/>
              <w:spacing w:after="0"/>
              <w:rPr>
                <w:sz w:val="20"/>
                <w:szCs w:val="20"/>
                <w:color w:val="auto"/>
              </w:rPr>
            </w:pPr>
            <w:r>
              <w:rPr>
                <w:rFonts w:ascii="Arial" w:cs="Arial" w:eastAsia="Arial" w:hAnsi="Arial"/>
                <w:sz w:val="20"/>
                <w:szCs w:val="20"/>
                <w:color w:val="auto"/>
              </w:rPr>
              <w:t>1,315,000</w:t>
            </w:r>
          </w:p>
        </w:tc>
        <w:tc>
          <w:tcPr>
            <w:tcW w:w="980" w:type="dxa"/>
            <w:vAlign w:val="bottom"/>
            <w:shd w:val="clear" w:color="auto" w:fill="E3E5EB"/>
          </w:tcPr>
          <w:p>
            <w:pPr>
              <w:spacing w:after="0"/>
              <w:rPr>
                <w:sz w:val="21"/>
                <w:szCs w:val="21"/>
                <w:color w:val="auto"/>
              </w:rPr>
            </w:pPr>
          </w:p>
        </w:tc>
        <w:tc>
          <w:tcPr>
            <w:tcW w:w="1400" w:type="dxa"/>
            <w:vAlign w:val="bottom"/>
            <w:shd w:val="clear" w:color="auto" w:fill="E3E5EB"/>
          </w:tcPr>
          <w:p>
            <w:pPr>
              <w:jc w:val="right"/>
              <w:ind w:right="222"/>
              <w:spacing w:after="0"/>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center"/>
              <w:ind w:left="2"/>
              <w:spacing w:after="0"/>
              <w:rPr>
                <w:sz w:val="20"/>
                <w:szCs w:val="20"/>
                <w:color w:val="auto"/>
              </w:rPr>
            </w:pPr>
            <w:r>
              <w:rPr>
                <w:rFonts w:ascii="Arial" w:cs="Arial" w:eastAsia="Arial" w:hAnsi="Arial"/>
                <w:sz w:val="20"/>
                <w:szCs w:val="20"/>
                <w:color w:val="auto"/>
                <w:w w:val="98"/>
              </w:rPr>
              <w:t>1,315,000</w:t>
            </w: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60" w:type="dxa"/>
            <w:vAlign w:val="bottom"/>
          </w:tcPr>
          <w:p>
            <w:pPr>
              <w:spacing w:after="0" w:line="191" w:lineRule="exact"/>
              <w:rPr>
                <w:sz w:val="20"/>
                <w:szCs w:val="20"/>
                <w:color w:val="auto"/>
              </w:rPr>
            </w:pPr>
            <w:r>
              <w:rPr>
                <w:rFonts w:ascii="Arial" w:cs="Arial" w:eastAsia="Arial" w:hAnsi="Arial"/>
                <w:sz w:val="20"/>
                <w:szCs w:val="20"/>
                <w:color w:val="auto"/>
              </w:rPr>
              <w:t>TOTAL:</w:t>
            </w:r>
          </w:p>
        </w:tc>
        <w:tc>
          <w:tcPr>
            <w:tcW w:w="1180" w:type="dxa"/>
            <w:vAlign w:val="bottom"/>
          </w:tcPr>
          <w:p>
            <w:pPr>
              <w:spacing w:after="0"/>
              <w:rPr>
                <w:sz w:val="16"/>
                <w:szCs w:val="16"/>
                <w:color w:val="auto"/>
              </w:rPr>
            </w:pPr>
          </w:p>
        </w:tc>
        <w:tc>
          <w:tcPr>
            <w:tcW w:w="1360" w:type="dxa"/>
            <w:vAlign w:val="bottom"/>
          </w:tcPr>
          <w:p>
            <w:pPr>
              <w:jc w:val="right"/>
              <w:ind w:right="162"/>
              <w:spacing w:after="0" w:line="191" w:lineRule="exact"/>
              <w:rPr>
                <w:sz w:val="20"/>
                <w:szCs w:val="20"/>
                <w:color w:val="auto"/>
              </w:rPr>
            </w:pPr>
            <w:r>
              <w:rPr>
                <w:rFonts w:ascii="Arial" w:cs="Arial" w:eastAsia="Arial" w:hAnsi="Arial"/>
                <w:sz w:val="20"/>
                <w:szCs w:val="20"/>
                <w:color w:val="auto"/>
              </w:rPr>
              <w:t>7,017,707</w:t>
            </w:r>
          </w:p>
        </w:tc>
        <w:tc>
          <w:tcPr>
            <w:tcW w:w="1020" w:type="dxa"/>
            <w:vAlign w:val="bottom"/>
          </w:tcPr>
          <w:p>
            <w:pPr>
              <w:jc w:val="right"/>
              <w:spacing w:after="0" w:line="191" w:lineRule="exact"/>
              <w:rPr>
                <w:sz w:val="20"/>
                <w:szCs w:val="20"/>
                <w:color w:val="auto"/>
              </w:rPr>
            </w:pPr>
            <w:r>
              <w:rPr>
                <w:rFonts w:ascii="Arial" w:cs="Arial" w:eastAsia="Arial" w:hAnsi="Arial"/>
                <w:sz w:val="20"/>
                <w:szCs w:val="20"/>
                <w:color w:val="auto"/>
              </w:rPr>
              <w:t>2,729,637</w:t>
            </w:r>
          </w:p>
        </w:tc>
        <w:tc>
          <w:tcPr>
            <w:tcW w:w="980" w:type="dxa"/>
            <w:vAlign w:val="bottom"/>
          </w:tcPr>
          <w:p>
            <w:pPr>
              <w:ind w:left="60"/>
              <w:spacing w:after="0" w:line="191" w:lineRule="exact"/>
              <w:rPr>
                <w:sz w:val="20"/>
                <w:szCs w:val="20"/>
                <w:color w:val="auto"/>
              </w:rPr>
            </w:pPr>
            <w:r>
              <w:rPr>
                <w:rFonts w:ascii="Arial" w:cs="Arial" w:eastAsia="Arial" w:hAnsi="Arial"/>
                <w:sz w:val="20"/>
                <w:szCs w:val="20"/>
                <w:color w:val="auto"/>
              </w:rPr>
              <w:t>(Death)</w:t>
            </w:r>
          </w:p>
        </w:tc>
        <w:tc>
          <w:tcPr>
            <w:tcW w:w="1400" w:type="dxa"/>
            <w:vAlign w:val="bottom"/>
          </w:tcPr>
          <w:p>
            <w:pPr>
              <w:jc w:val="right"/>
              <w:ind w:right="222"/>
              <w:spacing w:after="0" w:line="191" w:lineRule="exact"/>
              <w:rPr>
                <w:sz w:val="20"/>
                <w:szCs w:val="20"/>
                <w:color w:val="auto"/>
              </w:rPr>
            </w:pPr>
            <w:r>
              <w:rPr>
                <w:rFonts w:ascii="Arial" w:cs="Arial" w:eastAsia="Arial" w:hAnsi="Arial"/>
                <w:sz w:val="20"/>
                <w:szCs w:val="20"/>
                <w:color w:val="auto"/>
              </w:rPr>
              <w:t>829,179</w:t>
            </w:r>
          </w:p>
        </w:tc>
        <w:tc>
          <w:tcPr>
            <w:tcW w:w="1460" w:type="dxa"/>
            <w:vAlign w:val="bottom"/>
          </w:tcPr>
          <w:p>
            <w:pPr>
              <w:jc w:val="center"/>
              <w:ind w:left="2"/>
              <w:spacing w:after="0" w:line="191" w:lineRule="exact"/>
              <w:rPr>
                <w:sz w:val="20"/>
                <w:szCs w:val="20"/>
                <w:color w:val="auto"/>
              </w:rPr>
            </w:pPr>
            <w:r>
              <w:rPr>
                <w:rFonts w:ascii="Arial" w:cs="Arial" w:eastAsia="Arial" w:hAnsi="Arial"/>
                <w:sz w:val="20"/>
                <w:szCs w:val="20"/>
                <w:color w:val="auto"/>
                <w:w w:val="98"/>
              </w:rPr>
              <w:t>1,395,734</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tcBorders>
              <w:bottom w:val="single" w:sz="8" w:color="888992"/>
            </w:tcBorders>
          </w:tcPr>
          <w:p>
            <w:pPr>
              <w:spacing w:after="0"/>
              <w:rPr>
                <w:sz w:val="21"/>
                <w:szCs w:val="21"/>
                <w:color w:val="auto"/>
              </w:rPr>
            </w:pPr>
          </w:p>
        </w:tc>
        <w:tc>
          <w:tcPr>
            <w:tcW w:w="1180" w:type="dxa"/>
            <w:vAlign w:val="bottom"/>
            <w:tcBorders>
              <w:bottom w:val="single" w:sz="8" w:color="888992"/>
            </w:tcBorders>
          </w:tcPr>
          <w:p>
            <w:pPr>
              <w:spacing w:after="0"/>
              <w:rPr>
                <w:sz w:val="21"/>
                <w:szCs w:val="21"/>
                <w:color w:val="auto"/>
              </w:rPr>
            </w:pPr>
          </w:p>
        </w:tc>
        <w:tc>
          <w:tcPr>
            <w:tcW w:w="1360" w:type="dxa"/>
            <w:vAlign w:val="bottom"/>
            <w:tcBorders>
              <w:bottom w:val="single" w:sz="8" w:color="888992"/>
            </w:tcBorders>
          </w:tcPr>
          <w:p>
            <w:pPr>
              <w:spacing w:after="0"/>
              <w:rPr>
                <w:sz w:val="21"/>
                <w:szCs w:val="21"/>
                <w:color w:val="auto"/>
              </w:rPr>
            </w:pPr>
          </w:p>
        </w:tc>
        <w:tc>
          <w:tcPr>
            <w:tcW w:w="1020" w:type="dxa"/>
            <w:vAlign w:val="bottom"/>
            <w:tcBorders>
              <w:bottom w:val="single" w:sz="8" w:color="888992"/>
            </w:tcBorders>
          </w:tcPr>
          <w:p>
            <w:pPr>
              <w:jc w:val="right"/>
              <w:spacing w:after="0"/>
              <w:rPr>
                <w:sz w:val="20"/>
                <w:szCs w:val="20"/>
                <w:color w:val="auto"/>
              </w:rPr>
            </w:pPr>
            <w:r>
              <w:rPr>
                <w:rFonts w:ascii="Arial" w:cs="Arial" w:eastAsia="Arial" w:hAnsi="Arial"/>
                <w:sz w:val="20"/>
                <w:szCs w:val="20"/>
                <w:color w:val="auto"/>
              </w:rPr>
              <w:t>2,767,242</w:t>
            </w:r>
          </w:p>
        </w:tc>
        <w:tc>
          <w:tcPr>
            <w:tcW w:w="980" w:type="dxa"/>
            <w:vAlign w:val="bottom"/>
            <w:tcBorders>
              <w:bottom w:val="single" w:sz="8" w:color="888992"/>
            </w:tcBorders>
          </w:tcPr>
          <w:p>
            <w:pPr>
              <w:ind w:left="60"/>
              <w:spacing w:after="0"/>
              <w:rPr>
                <w:sz w:val="20"/>
                <w:szCs w:val="20"/>
                <w:color w:val="auto"/>
              </w:rPr>
            </w:pPr>
            <w:r>
              <w:rPr>
                <w:rFonts w:ascii="Arial" w:cs="Arial" w:eastAsia="Arial" w:hAnsi="Arial"/>
                <w:sz w:val="20"/>
                <w:szCs w:val="20"/>
                <w:color w:val="auto"/>
                <w:w w:val="96"/>
              </w:rPr>
              <w:t>(Disability)</w:t>
            </w:r>
          </w:p>
        </w:tc>
        <w:tc>
          <w:tcPr>
            <w:tcW w:w="1400" w:type="dxa"/>
            <w:vAlign w:val="bottom"/>
            <w:tcBorders>
              <w:bottom w:val="single" w:sz="8" w:color="888992"/>
            </w:tcBorders>
          </w:tcPr>
          <w:p>
            <w:pPr>
              <w:spacing w:after="0"/>
              <w:rPr>
                <w:sz w:val="21"/>
                <w:szCs w:val="21"/>
                <w:color w:val="auto"/>
              </w:rPr>
            </w:pPr>
          </w:p>
        </w:tc>
        <w:tc>
          <w:tcPr>
            <w:tcW w:w="1460" w:type="dxa"/>
            <w:vAlign w:val="bottom"/>
            <w:tcBorders>
              <w:bottom w:val="single" w:sz="8" w:color="888992"/>
            </w:tcBorders>
          </w:tcPr>
          <w:p>
            <w:pPr>
              <w:spacing w:after="0"/>
              <w:rPr>
                <w:sz w:val="21"/>
                <w:szCs w:val="21"/>
                <w:color w:val="auto"/>
              </w:rPr>
            </w:pP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55"/>
        </w:trPr>
        <w:tc>
          <w:tcPr>
            <w:tcW w:w="1460" w:type="dxa"/>
            <w:vAlign w:val="bottom"/>
            <w:gridSpan w:val="2"/>
          </w:tcPr>
          <w:p>
            <w:pPr>
              <w:spacing w:after="0"/>
              <w:rPr>
                <w:sz w:val="20"/>
                <w:szCs w:val="20"/>
                <w:color w:val="auto"/>
              </w:rPr>
            </w:pPr>
            <w:r>
              <w:rPr>
                <w:rFonts w:ascii="Arial" w:cs="Arial" w:eastAsia="Arial" w:hAnsi="Arial"/>
                <w:sz w:val="20"/>
                <w:szCs w:val="20"/>
                <w:b w:val="1"/>
                <w:bCs w:val="1"/>
                <w:i w:val="1"/>
                <w:iCs w:val="1"/>
                <w:color w:val="auto"/>
              </w:rPr>
              <w:t>David P. Falck:</w:t>
            </w:r>
          </w:p>
        </w:tc>
        <w:tc>
          <w:tcPr>
            <w:tcW w:w="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04"/>
        </w:trPr>
        <w:tc>
          <w:tcPr>
            <w:tcW w:w="10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36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8"/>
              </w:rPr>
              <w:t>CHANGE OF</w:t>
            </w:r>
          </w:p>
        </w:tc>
        <w:tc>
          <w:tcPr>
            <w:tcW w:w="2000" w:type="dxa"/>
            <w:vAlign w:val="bottom"/>
            <w:gridSpan w:val="2"/>
            <w:vMerge w:val="restart"/>
          </w:tcPr>
          <w:p>
            <w:pPr>
              <w:jc w:val="center"/>
              <w:spacing w:after="0"/>
              <w:rPr>
                <w:sz w:val="20"/>
                <w:szCs w:val="20"/>
                <w:color w:val="auto"/>
              </w:rPr>
            </w:pPr>
            <w:r>
              <w:rPr>
                <w:rFonts w:ascii="Arial" w:cs="Arial" w:eastAsia="Arial" w:hAnsi="Arial"/>
                <w:sz w:val="20"/>
                <w:szCs w:val="20"/>
                <w:b w:val="1"/>
                <w:bCs w:val="1"/>
                <w:color w:val="3A5575"/>
                <w:w w:val="95"/>
              </w:rPr>
              <w:t>DEATH OR</w:t>
            </w:r>
          </w:p>
        </w:tc>
        <w:tc>
          <w:tcPr>
            <w:tcW w:w="1400" w:type="dxa"/>
            <w:vAlign w:val="bottom"/>
          </w:tcPr>
          <w:p>
            <w:pPr>
              <w:spacing w:after="0"/>
              <w:rPr>
                <w:sz w:val="24"/>
                <w:szCs w:val="24"/>
                <w:color w:val="auto"/>
              </w:rPr>
            </w:pPr>
          </w:p>
        </w:tc>
        <w:tc>
          <w:tcPr>
            <w:tcW w:w="3140" w:type="dxa"/>
            <w:vAlign w:val="bottom"/>
            <w:gridSpan w:val="2"/>
          </w:tcPr>
          <w:p>
            <w:pPr>
              <w:jc w:val="center"/>
              <w:ind w:right="1580"/>
              <w:spacing w:after="0"/>
              <w:rPr>
                <w:sz w:val="20"/>
                <w:szCs w:val="20"/>
                <w:color w:val="auto"/>
              </w:rPr>
            </w:pPr>
            <w:r>
              <w:rPr>
                <w:rFonts w:ascii="Arial" w:cs="Arial" w:eastAsia="Arial" w:hAnsi="Arial"/>
                <w:sz w:val="20"/>
                <w:szCs w:val="20"/>
                <w:b w:val="1"/>
                <w:bCs w:val="1"/>
                <w:color w:val="3A5575"/>
                <w:w w:val="97"/>
              </w:rPr>
              <w:t>ALL OTHER</w:t>
            </w: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360" w:type="dxa"/>
            <w:vAlign w:val="bottom"/>
            <w:vMerge w:val="continue"/>
          </w:tcPr>
          <w:p>
            <w:pPr>
              <w:spacing w:after="0"/>
              <w:rPr>
                <w:sz w:val="19"/>
                <w:szCs w:val="19"/>
                <w:color w:val="auto"/>
              </w:rPr>
            </w:pPr>
          </w:p>
        </w:tc>
        <w:tc>
          <w:tcPr>
            <w:tcW w:w="2000" w:type="dxa"/>
            <w:vAlign w:val="bottom"/>
            <w:gridSpan w:val="2"/>
            <w:vMerge w:val="continue"/>
          </w:tcPr>
          <w:p>
            <w:pPr>
              <w:spacing w:after="0"/>
              <w:rPr>
                <w:sz w:val="19"/>
                <w:szCs w:val="19"/>
                <w:color w:val="auto"/>
              </w:rPr>
            </w:pPr>
          </w:p>
        </w:tc>
        <w:tc>
          <w:tcPr>
            <w:tcW w:w="1400" w:type="dxa"/>
            <w:vAlign w:val="bottom"/>
            <w:vMerge w:val="restart"/>
          </w:tcPr>
          <w:p>
            <w:pPr>
              <w:jc w:val="center"/>
              <w:ind w:right="22"/>
              <w:spacing w:after="0"/>
              <w:rPr>
                <w:sz w:val="20"/>
                <w:szCs w:val="20"/>
                <w:color w:val="auto"/>
              </w:rPr>
            </w:pPr>
            <w:r>
              <w:rPr>
                <w:rFonts w:ascii="Arial" w:cs="Arial" w:eastAsia="Arial" w:hAnsi="Arial"/>
                <w:sz w:val="20"/>
                <w:szCs w:val="20"/>
                <w:b w:val="1"/>
                <w:bCs w:val="1"/>
                <w:color w:val="3A5575"/>
                <w:w w:val="98"/>
              </w:rPr>
              <w:t>RETIREMENT</w:t>
            </w:r>
          </w:p>
        </w:tc>
        <w:tc>
          <w:tcPr>
            <w:tcW w:w="3140" w:type="dxa"/>
            <w:vAlign w:val="bottom"/>
            <w:gridSpan w:val="2"/>
          </w:tcPr>
          <w:p>
            <w:pPr>
              <w:jc w:val="center"/>
              <w:ind w:right="1580"/>
              <w:spacing w:after="0" w:line="221" w:lineRule="exact"/>
              <w:rPr>
                <w:sz w:val="20"/>
                <w:szCs w:val="20"/>
                <w:color w:val="auto"/>
              </w:rPr>
            </w:pPr>
            <w:r>
              <w:rPr>
                <w:rFonts w:ascii="Arial" w:cs="Arial" w:eastAsia="Arial" w:hAnsi="Arial"/>
                <w:sz w:val="20"/>
                <w:szCs w:val="20"/>
                <w:b w:val="1"/>
                <w:bCs w:val="1"/>
                <w:color w:val="3A5575"/>
                <w:w w:val="97"/>
              </w:rPr>
              <w:t>TERMINATION</w:t>
            </w: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160" w:type="dxa"/>
            <w:vAlign w:val="bottom"/>
            <w:gridSpan w:val="3"/>
            <w:vMerge w:val="restart"/>
          </w:tcPr>
          <w:p>
            <w:pPr>
              <w:spacing w:after="0"/>
              <w:rPr>
                <w:sz w:val="20"/>
                <w:szCs w:val="20"/>
                <w:color w:val="auto"/>
              </w:rPr>
            </w:pPr>
            <w:r>
              <w:rPr>
                <w:rFonts w:ascii="Arial" w:cs="Arial" w:eastAsia="Arial" w:hAnsi="Arial"/>
                <w:sz w:val="20"/>
                <w:szCs w:val="20"/>
                <w:b w:val="1"/>
                <w:bCs w:val="1"/>
                <w:color w:val="3A5575"/>
              </w:rPr>
              <w:t>COMPONENT OF PAY</w:t>
            </w:r>
          </w:p>
        </w:tc>
        <w:tc>
          <w:tcPr>
            <w:tcW w:w="136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7"/>
              </w:rPr>
              <w:t>CONTROL</w:t>
            </w:r>
          </w:p>
        </w:tc>
        <w:tc>
          <w:tcPr>
            <w:tcW w:w="2000" w:type="dxa"/>
            <w:vAlign w:val="bottom"/>
            <w:gridSpan w:val="2"/>
          </w:tcPr>
          <w:p>
            <w:pPr>
              <w:jc w:val="center"/>
              <w:spacing w:after="0" w:line="221" w:lineRule="exact"/>
              <w:rPr>
                <w:sz w:val="20"/>
                <w:szCs w:val="20"/>
                <w:color w:val="auto"/>
              </w:rPr>
            </w:pPr>
            <w:r>
              <w:rPr>
                <w:rFonts w:ascii="Arial" w:cs="Arial" w:eastAsia="Arial" w:hAnsi="Arial"/>
                <w:sz w:val="20"/>
                <w:szCs w:val="20"/>
                <w:b w:val="1"/>
                <w:bCs w:val="1"/>
                <w:color w:val="3A5575"/>
                <w:w w:val="97"/>
              </w:rPr>
              <w:t>DISABILITY</w:t>
            </w:r>
          </w:p>
        </w:tc>
        <w:tc>
          <w:tcPr>
            <w:tcW w:w="1400" w:type="dxa"/>
            <w:vAlign w:val="bottom"/>
            <w:vMerge w:val="continue"/>
          </w:tcPr>
          <w:p>
            <w:pPr>
              <w:spacing w:after="0"/>
              <w:rPr>
                <w:sz w:val="19"/>
                <w:szCs w:val="19"/>
                <w:color w:val="auto"/>
              </w:rPr>
            </w:pPr>
          </w:p>
        </w:tc>
        <w:tc>
          <w:tcPr>
            <w:tcW w:w="3140" w:type="dxa"/>
            <w:vAlign w:val="bottom"/>
            <w:gridSpan w:val="2"/>
          </w:tcPr>
          <w:p>
            <w:pPr>
              <w:jc w:val="center"/>
              <w:ind w:right="1580"/>
              <w:spacing w:after="0" w:line="221" w:lineRule="exact"/>
              <w:rPr>
                <w:sz w:val="20"/>
                <w:szCs w:val="20"/>
                <w:color w:val="auto"/>
              </w:rPr>
            </w:pPr>
            <w:r>
              <w:rPr>
                <w:rFonts w:ascii="Arial" w:cs="Arial" w:eastAsia="Arial" w:hAnsi="Arial"/>
                <w:sz w:val="20"/>
                <w:szCs w:val="20"/>
                <w:b w:val="1"/>
                <w:bCs w:val="1"/>
                <w:color w:val="3A5575"/>
                <w:w w:val="99"/>
              </w:rPr>
              <w:t>EVENTS</w:t>
            </w:r>
          </w:p>
        </w:tc>
        <w:tc>
          <w:tcPr>
            <w:tcW w:w="0" w:type="dxa"/>
            <w:vAlign w:val="bottom"/>
          </w:tcPr>
          <w:p>
            <w:pPr>
              <w:spacing w:after="0"/>
              <w:rPr>
                <w:sz w:val="1"/>
                <w:szCs w:val="1"/>
                <w:color w:val="auto"/>
              </w:rPr>
            </w:pPr>
          </w:p>
        </w:tc>
      </w:tr>
      <w:tr>
        <w:trPr>
          <w:trHeight w:val="255"/>
        </w:trPr>
        <w:tc>
          <w:tcPr>
            <w:tcW w:w="10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160" w:type="dxa"/>
            <w:vAlign w:val="bottom"/>
            <w:tcBorders>
              <w:bottom w:val="single" w:sz="8" w:color="646466"/>
            </w:tcBorders>
            <w:gridSpan w:val="3"/>
            <w:vMerge w:val="continue"/>
          </w:tcPr>
          <w:p>
            <w:pPr>
              <w:spacing w:after="0"/>
              <w:rPr>
                <w:sz w:val="22"/>
                <w:szCs w:val="22"/>
                <w:color w:val="auto"/>
              </w:rPr>
            </w:pPr>
          </w:p>
        </w:tc>
        <w:tc>
          <w:tcPr>
            <w:tcW w:w="1360" w:type="dxa"/>
            <w:vAlign w:val="bottom"/>
            <w:tcBorders>
              <w:bottom w:val="single" w:sz="8" w:color="646466"/>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2000" w:type="dxa"/>
            <w:vAlign w:val="bottom"/>
            <w:tcBorders>
              <w:bottom w:val="single" w:sz="8" w:color="646466"/>
            </w:tcBorders>
            <w:gridSpan w:val="2"/>
          </w:tcPr>
          <w:p>
            <w:pPr>
              <w:jc w:val="center"/>
              <w:spacing w:after="0"/>
              <w:rPr>
                <w:sz w:val="20"/>
                <w:szCs w:val="20"/>
                <w:color w:val="auto"/>
              </w:rPr>
            </w:pPr>
            <w:r>
              <w:rPr>
                <w:rFonts w:ascii="Arial" w:cs="Arial" w:eastAsia="Arial" w:hAnsi="Arial"/>
                <w:sz w:val="20"/>
                <w:szCs w:val="20"/>
                <w:b w:val="1"/>
                <w:bCs w:val="1"/>
                <w:color w:val="3A5575"/>
                <w:w w:val="97"/>
              </w:rPr>
              <w:t>($)</w:t>
            </w:r>
          </w:p>
        </w:tc>
        <w:tc>
          <w:tcPr>
            <w:tcW w:w="1400" w:type="dxa"/>
            <w:vAlign w:val="bottom"/>
            <w:tcBorders>
              <w:bottom w:val="single" w:sz="8" w:color="646466"/>
            </w:tcBorders>
          </w:tcPr>
          <w:p>
            <w:pPr>
              <w:jc w:val="center"/>
              <w:ind w:right="22"/>
              <w:spacing w:after="0"/>
              <w:rPr>
                <w:sz w:val="20"/>
                <w:szCs w:val="20"/>
                <w:color w:val="auto"/>
              </w:rPr>
            </w:pPr>
            <w:r>
              <w:rPr>
                <w:rFonts w:ascii="Arial" w:cs="Arial" w:eastAsia="Arial" w:hAnsi="Arial"/>
                <w:sz w:val="20"/>
                <w:szCs w:val="20"/>
                <w:b w:val="1"/>
                <w:bCs w:val="1"/>
                <w:color w:val="3A5575"/>
                <w:w w:val="97"/>
              </w:rPr>
              <w:t>($)</w:t>
            </w:r>
          </w:p>
        </w:tc>
        <w:tc>
          <w:tcPr>
            <w:tcW w:w="1460" w:type="dxa"/>
            <w:vAlign w:val="bottom"/>
            <w:tcBorders>
              <w:bottom w:val="single" w:sz="8" w:color="646466"/>
            </w:tcBorders>
          </w:tcPr>
          <w:p>
            <w:pPr>
              <w:jc w:val="center"/>
              <w:ind w:left="2"/>
              <w:spacing w:after="0"/>
              <w:rPr>
                <w:sz w:val="20"/>
                <w:szCs w:val="20"/>
                <w:color w:val="auto"/>
              </w:rPr>
            </w:pPr>
            <w:r>
              <w:rPr>
                <w:rFonts w:ascii="Arial" w:cs="Arial" w:eastAsia="Arial" w:hAnsi="Arial"/>
                <w:sz w:val="20"/>
                <w:szCs w:val="20"/>
                <w:b w:val="1"/>
                <w:bCs w:val="1"/>
                <w:color w:val="3A5575"/>
                <w:w w:val="97"/>
              </w:rPr>
              <w:t>($)</w:t>
            </w:r>
          </w:p>
        </w:tc>
        <w:tc>
          <w:tcPr>
            <w:tcW w:w="16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10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40" w:type="dxa"/>
            <w:vAlign w:val="bottom"/>
            <w:gridSpan w:val="2"/>
            <w:shd w:val="clear" w:color="auto" w:fill="E3E5EB"/>
          </w:tcPr>
          <w:p>
            <w:pPr>
              <w:spacing w:after="0" w:line="213" w:lineRule="exact"/>
              <w:rPr>
                <w:sz w:val="20"/>
                <w:szCs w:val="20"/>
                <w:color w:val="auto"/>
              </w:rPr>
            </w:pPr>
            <w:r>
              <w:rPr>
                <w:rFonts w:ascii="Arial" w:cs="Arial" w:eastAsia="Arial" w:hAnsi="Arial"/>
                <w:sz w:val="20"/>
                <w:szCs w:val="20"/>
                <w:color w:val="auto"/>
              </w:rPr>
              <w:t>Performance Shares</w:t>
            </w:r>
          </w:p>
        </w:tc>
        <w:tc>
          <w:tcPr>
            <w:tcW w:w="1360" w:type="dxa"/>
            <w:vAlign w:val="bottom"/>
            <w:shd w:val="clear" w:color="auto" w:fill="E3E5EB"/>
          </w:tcPr>
          <w:p>
            <w:pPr>
              <w:jc w:val="right"/>
              <w:ind w:right="162"/>
              <w:spacing w:after="0" w:line="213" w:lineRule="exact"/>
              <w:rPr>
                <w:sz w:val="20"/>
                <w:szCs w:val="20"/>
                <w:color w:val="auto"/>
              </w:rPr>
            </w:pPr>
            <w:r>
              <w:rPr>
                <w:rFonts w:ascii="Arial" w:cs="Arial" w:eastAsia="Arial" w:hAnsi="Arial"/>
                <w:sz w:val="20"/>
                <w:szCs w:val="20"/>
                <w:color w:val="auto"/>
              </w:rPr>
              <w:t>1,437,842</w:t>
            </w:r>
          </w:p>
        </w:tc>
        <w:tc>
          <w:tcPr>
            <w:tcW w:w="1020" w:type="dxa"/>
            <w:vAlign w:val="bottom"/>
            <w:shd w:val="clear" w:color="auto" w:fill="E3E5EB"/>
          </w:tcPr>
          <w:p>
            <w:pPr>
              <w:jc w:val="right"/>
              <w:spacing w:after="0" w:line="213" w:lineRule="exact"/>
              <w:rPr>
                <w:sz w:val="20"/>
                <w:szCs w:val="20"/>
                <w:color w:val="auto"/>
              </w:rPr>
            </w:pPr>
            <w:r>
              <w:rPr>
                <w:rFonts w:ascii="Arial" w:cs="Arial" w:eastAsia="Arial" w:hAnsi="Arial"/>
                <w:sz w:val="20"/>
                <w:szCs w:val="20"/>
                <w:color w:val="auto"/>
              </w:rPr>
              <w:t>1,014,192</w:t>
            </w:r>
          </w:p>
        </w:tc>
        <w:tc>
          <w:tcPr>
            <w:tcW w:w="980" w:type="dxa"/>
            <w:vAlign w:val="bottom"/>
            <w:shd w:val="clear" w:color="auto" w:fill="E3E5EB"/>
          </w:tcPr>
          <w:p>
            <w:pPr>
              <w:spacing w:after="0"/>
              <w:rPr>
                <w:sz w:val="18"/>
                <w:szCs w:val="18"/>
                <w:color w:val="auto"/>
              </w:rPr>
            </w:pPr>
          </w:p>
        </w:tc>
        <w:tc>
          <w:tcPr>
            <w:tcW w:w="1400" w:type="dxa"/>
            <w:vAlign w:val="bottom"/>
            <w:shd w:val="clear" w:color="auto" w:fill="E3E5EB"/>
          </w:tcPr>
          <w:p>
            <w:pPr>
              <w:jc w:val="right"/>
              <w:ind w:right="302"/>
              <w:spacing w:after="0" w:line="213" w:lineRule="exact"/>
              <w:rPr>
                <w:sz w:val="20"/>
                <w:szCs w:val="20"/>
                <w:color w:val="auto"/>
              </w:rPr>
            </w:pPr>
            <w:r>
              <w:rPr>
                <w:rFonts w:ascii="Arial" w:cs="Arial" w:eastAsia="Arial" w:hAnsi="Arial"/>
                <w:sz w:val="20"/>
                <w:szCs w:val="20"/>
                <w:color w:val="auto"/>
              </w:rPr>
              <w:t>520,614</w:t>
            </w:r>
          </w:p>
        </w:tc>
        <w:tc>
          <w:tcPr>
            <w:tcW w:w="1460" w:type="dxa"/>
            <w:vAlign w:val="bottom"/>
            <w:shd w:val="clear" w:color="auto" w:fill="E3E5EB"/>
          </w:tcPr>
          <w:p>
            <w:pPr>
              <w:jc w:val="center"/>
              <w:ind w:left="22"/>
              <w:spacing w:after="0" w:line="213"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60" w:type="dxa"/>
            <w:vAlign w:val="bottom"/>
          </w:tcPr>
          <w:p>
            <w:pPr>
              <w:spacing w:after="0" w:line="221" w:lineRule="exact"/>
              <w:rPr>
                <w:sz w:val="20"/>
                <w:szCs w:val="20"/>
                <w:color w:val="auto"/>
              </w:rPr>
            </w:pPr>
            <w:r>
              <w:rPr>
                <w:rFonts w:ascii="Arial" w:cs="Arial" w:eastAsia="Arial" w:hAnsi="Arial"/>
                <w:sz w:val="20"/>
                <w:szCs w:val="20"/>
                <w:color w:val="auto"/>
              </w:rPr>
              <w:t>RSUs</w:t>
            </w:r>
          </w:p>
        </w:tc>
        <w:tc>
          <w:tcPr>
            <w:tcW w:w="1180" w:type="dxa"/>
            <w:vAlign w:val="bottom"/>
          </w:tcPr>
          <w:p>
            <w:pPr>
              <w:spacing w:after="0"/>
              <w:rPr>
                <w:sz w:val="19"/>
                <w:szCs w:val="19"/>
                <w:color w:val="auto"/>
              </w:rPr>
            </w:pPr>
          </w:p>
        </w:tc>
        <w:tc>
          <w:tcPr>
            <w:tcW w:w="136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989,215</w:t>
            </w:r>
          </w:p>
        </w:tc>
        <w:tc>
          <w:tcPr>
            <w:tcW w:w="1020" w:type="dxa"/>
            <w:vAlign w:val="bottom"/>
          </w:tcPr>
          <w:p>
            <w:pPr>
              <w:jc w:val="right"/>
              <w:spacing w:after="0" w:line="221" w:lineRule="exact"/>
              <w:rPr>
                <w:sz w:val="20"/>
                <w:szCs w:val="20"/>
                <w:color w:val="auto"/>
              </w:rPr>
            </w:pPr>
            <w:r>
              <w:rPr>
                <w:rFonts w:ascii="Arial" w:cs="Arial" w:eastAsia="Arial" w:hAnsi="Arial"/>
                <w:sz w:val="20"/>
                <w:szCs w:val="20"/>
                <w:color w:val="auto"/>
              </w:rPr>
              <w:t>866,583</w:t>
            </w:r>
          </w:p>
        </w:tc>
        <w:tc>
          <w:tcPr>
            <w:tcW w:w="980" w:type="dxa"/>
            <w:vAlign w:val="bottom"/>
          </w:tcPr>
          <w:p>
            <w:pPr>
              <w:spacing w:after="0"/>
              <w:rPr>
                <w:sz w:val="19"/>
                <w:szCs w:val="19"/>
                <w:color w:val="auto"/>
              </w:rPr>
            </w:pPr>
          </w:p>
        </w:tc>
        <w:tc>
          <w:tcPr>
            <w:tcW w:w="1400" w:type="dxa"/>
            <w:vAlign w:val="bottom"/>
          </w:tcPr>
          <w:p>
            <w:pPr>
              <w:jc w:val="right"/>
              <w:ind w:right="302"/>
              <w:spacing w:after="0" w:line="221" w:lineRule="exact"/>
              <w:rPr>
                <w:sz w:val="20"/>
                <w:szCs w:val="20"/>
                <w:color w:val="auto"/>
              </w:rPr>
            </w:pPr>
            <w:r>
              <w:rPr>
                <w:rFonts w:ascii="Arial" w:cs="Arial" w:eastAsia="Arial" w:hAnsi="Arial"/>
                <w:sz w:val="20"/>
                <w:szCs w:val="20"/>
                <w:color w:val="auto"/>
              </w:rPr>
              <w:t>256,377</w:t>
            </w:r>
          </w:p>
        </w:tc>
        <w:tc>
          <w:tcPr>
            <w:tcW w:w="1460" w:type="dxa"/>
            <w:vAlign w:val="bottom"/>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shd w:val="clear" w:color="auto" w:fill="E3E5EB"/>
          </w:tcPr>
          <w:p>
            <w:pPr>
              <w:spacing w:after="0" w:line="221" w:lineRule="exact"/>
              <w:rPr>
                <w:sz w:val="20"/>
                <w:szCs w:val="20"/>
                <w:color w:val="auto"/>
              </w:rPr>
            </w:pPr>
            <w:r>
              <w:rPr>
                <w:rFonts w:ascii="Arial" w:cs="Arial" w:eastAsia="Arial" w:hAnsi="Arial"/>
                <w:sz w:val="20"/>
                <w:szCs w:val="20"/>
                <w:color w:val="auto"/>
              </w:rPr>
              <w:t>Severance Benefits</w:t>
            </w:r>
          </w:p>
        </w:tc>
        <w:tc>
          <w:tcPr>
            <w:tcW w:w="1360" w:type="dxa"/>
            <w:vAlign w:val="bottom"/>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2,758,593</w:t>
            </w:r>
          </w:p>
        </w:tc>
        <w:tc>
          <w:tcPr>
            <w:tcW w:w="1020" w:type="dxa"/>
            <w:vAlign w:val="bottom"/>
            <w:shd w:val="clear" w:color="auto" w:fill="E3E5EB"/>
          </w:tcPr>
          <w:p>
            <w:pPr>
              <w:jc w:val="right"/>
              <w:spacing w:after="0" w:line="221" w:lineRule="exact"/>
              <w:rPr>
                <w:sz w:val="20"/>
                <w:szCs w:val="20"/>
                <w:color w:val="auto"/>
              </w:rPr>
            </w:pPr>
            <w:r>
              <w:rPr>
                <w:rFonts w:ascii="Arial" w:cs="Arial" w:eastAsia="Arial" w:hAnsi="Arial"/>
                <w:sz w:val="20"/>
                <w:szCs w:val="20"/>
                <w:color w:val="auto"/>
              </w:rPr>
              <w:t>0</w:t>
            </w:r>
          </w:p>
        </w:tc>
        <w:tc>
          <w:tcPr>
            <w:tcW w:w="980" w:type="dxa"/>
            <w:vAlign w:val="bottom"/>
            <w:shd w:val="clear" w:color="auto" w:fill="E3E5EB"/>
          </w:tcPr>
          <w:p>
            <w:pPr>
              <w:spacing w:after="0"/>
              <w:rPr>
                <w:sz w:val="19"/>
                <w:szCs w:val="19"/>
                <w:color w:val="auto"/>
              </w:rPr>
            </w:pPr>
          </w:p>
        </w:tc>
        <w:tc>
          <w:tcPr>
            <w:tcW w:w="1400" w:type="dxa"/>
            <w:vAlign w:val="bottom"/>
            <w:shd w:val="clear" w:color="auto" w:fill="E3E5EB"/>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140" w:type="dxa"/>
            <w:vAlign w:val="bottom"/>
            <w:gridSpan w:val="2"/>
          </w:tcPr>
          <w:p>
            <w:pPr>
              <w:spacing w:after="0" w:line="191" w:lineRule="exact"/>
              <w:rPr>
                <w:sz w:val="20"/>
                <w:szCs w:val="20"/>
                <w:color w:val="auto"/>
              </w:rPr>
            </w:pPr>
            <w:r>
              <w:rPr>
                <w:rFonts w:ascii="Arial" w:cs="Arial" w:eastAsia="Arial" w:hAnsi="Arial"/>
                <w:sz w:val="20"/>
                <w:szCs w:val="20"/>
                <w:color w:val="auto"/>
              </w:rPr>
              <w:t>Present Value of</w:t>
            </w:r>
          </w:p>
        </w:tc>
        <w:tc>
          <w:tcPr>
            <w:tcW w:w="136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tcPr>
          <w:p>
            <w:pPr>
              <w:ind w:left="180"/>
              <w:spacing w:after="0" w:line="221" w:lineRule="exact"/>
              <w:rPr>
                <w:sz w:val="20"/>
                <w:szCs w:val="20"/>
                <w:color w:val="auto"/>
              </w:rPr>
            </w:pPr>
            <w:r>
              <w:rPr>
                <w:rFonts w:ascii="Arial" w:cs="Arial" w:eastAsia="Arial" w:hAnsi="Arial"/>
                <w:sz w:val="20"/>
                <w:szCs w:val="20"/>
                <w:color w:val="auto"/>
              </w:rPr>
              <w:t>Medical, Dental, and</w:t>
            </w:r>
          </w:p>
        </w:tc>
        <w:tc>
          <w:tcPr>
            <w:tcW w:w="13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4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tcPr>
          <w:p>
            <w:pPr>
              <w:ind w:left="180"/>
              <w:spacing w:after="0" w:line="221" w:lineRule="exact"/>
              <w:rPr>
                <w:sz w:val="20"/>
                <w:szCs w:val="20"/>
                <w:color w:val="auto"/>
              </w:rPr>
            </w:pPr>
            <w:r>
              <w:rPr>
                <w:rFonts w:ascii="Arial" w:cs="Arial" w:eastAsia="Arial" w:hAnsi="Arial"/>
                <w:sz w:val="20"/>
                <w:szCs w:val="20"/>
                <w:color w:val="auto"/>
              </w:rPr>
              <w:t>Life Insurance</w:t>
            </w:r>
          </w:p>
        </w:tc>
        <w:tc>
          <w:tcPr>
            <w:tcW w:w="13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4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tcPr>
          <w:p>
            <w:pPr>
              <w:ind w:left="180"/>
              <w:spacing w:after="0"/>
              <w:rPr>
                <w:sz w:val="20"/>
                <w:szCs w:val="20"/>
                <w:color w:val="auto"/>
              </w:rPr>
            </w:pPr>
            <w:r>
              <w:rPr>
                <w:rFonts w:ascii="Arial" w:cs="Arial" w:eastAsia="Arial" w:hAnsi="Arial"/>
                <w:sz w:val="20"/>
                <w:szCs w:val="20"/>
                <w:color w:val="auto"/>
              </w:rPr>
              <w:t>Benefits</w:t>
            </w:r>
          </w:p>
        </w:tc>
        <w:tc>
          <w:tcPr>
            <w:tcW w:w="1180" w:type="dxa"/>
            <w:vAlign w:val="bottom"/>
          </w:tcPr>
          <w:p>
            <w:pPr>
              <w:spacing w:after="0"/>
              <w:rPr>
                <w:sz w:val="21"/>
                <w:szCs w:val="21"/>
                <w:color w:val="auto"/>
              </w:rPr>
            </w:pPr>
          </w:p>
        </w:tc>
        <w:tc>
          <w:tcPr>
            <w:tcW w:w="1360" w:type="dxa"/>
            <w:vAlign w:val="bottom"/>
          </w:tcPr>
          <w:p>
            <w:pPr>
              <w:jc w:val="right"/>
              <w:ind w:right="162"/>
              <w:spacing w:after="0"/>
              <w:rPr>
                <w:sz w:val="20"/>
                <w:szCs w:val="20"/>
                <w:color w:val="auto"/>
              </w:rPr>
            </w:pPr>
            <w:r>
              <w:rPr>
                <w:rFonts w:ascii="Arial" w:cs="Arial" w:eastAsia="Arial" w:hAnsi="Arial"/>
                <w:sz w:val="20"/>
                <w:szCs w:val="20"/>
                <w:color w:val="auto"/>
              </w:rPr>
              <w:t>26,815</w:t>
            </w:r>
          </w:p>
        </w:tc>
        <w:tc>
          <w:tcPr>
            <w:tcW w:w="1020" w:type="dxa"/>
            <w:vAlign w:val="bottom"/>
          </w:tcPr>
          <w:p>
            <w:pPr>
              <w:jc w:val="right"/>
              <w:spacing w:after="0"/>
              <w:rPr>
                <w:sz w:val="20"/>
                <w:szCs w:val="20"/>
                <w:color w:val="auto"/>
              </w:rPr>
            </w:pPr>
            <w:r>
              <w:rPr>
                <w:rFonts w:ascii="Arial" w:cs="Arial" w:eastAsia="Arial" w:hAnsi="Arial"/>
                <w:sz w:val="20"/>
                <w:szCs w:val="20"/>
                <w:color w:val="auto"/>
              </w:rPr>
              <w:t>0</w:t>
            </w:r>
          </w:p>
        </w:tc>
        <w:tc>
          <w:tcPr>
            <w:tcW w:w="980" w:type="dxa"/>
            <w:vAlign w:val="bottom"/>
          </w:tcPr>
          <w:p>
            <w:pPr>
              <w:spacing w:after="0"/>
              <w:rPr>
                <w:sz w:val="21"/>
                <w:szCs w:val="21"/>
                <w:color w:val="auto"/>
              </w:rPr>
            </w:pPr>
          </w:p>
        </w:tc>
        <w:tc>
          <w:tcPr>
            <w:tcW w:w="1400" w:type="dxa"/>
            <w:vAlign w:val="bottom"/>
          </w:tcPr>
          <w:p>
            <w:pPr>
              <w:jc w:val="right"/>
              <w:ind w:right="302"/>
              <w:spacing w:after="0"/>
              <w:rPr>
                <w:sz w:val="20"/>
                <w:szCs w:val="20"/>
                <w:color w:val="auto"/>
              </w:rPr>
            </w:pPr>
            <w:r>
              <w:rPr>
                <w:rFonts w:ascii="Arial" w:cs="Arial" w:eastAsia="Arial" w:hAnsi="Arial"/>
                <w:sz w:val="20"/>
                <w:szCs w:val="20"/>
                <w:color w:val="auto"/>
              </w:rPr>
              <w:t>0</w:t>
            </w:r>
          </w:p>
        </w:tc>
        <w:tc>
          <w:tcPr>
            <w:tcW w:w="1460" w:type="dxa"/>
            <w:vAlign w:val="bottom"/>
          </w:tcPr>
          <w:p>
            <w:pPr>
              <w:jc w:val="center"/>
              <w:ind w:left="22"/>
              <w:spacing w:after="0"/>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40" w:type="dxa"/>
            <w:vAlign w:val="bottom"/>
            <w:gridSpan w:val="2"/>
            <w:shd w:val="clear" w:color="auto" w:fill="E3E5EB"/>
          </w:tcPr>
          <w:p>
            <w:pPr>
              <w:spacing w:after="0" w:line="221" w:lineRule="exact"/>
              <w:rPr>
                <w:sz w:val="20"/>
                <w:szCs w:val="20"/>
                <w:color w:val="auto"/>
              </w:rPr>
            </w:pPr>
            <w:r>
              <w:rPr>
                <w:rFonts w:ascii="Arial" w:cs="Arial" w:eastAsia="Arial" w:hAnsi="Arial"/>
                <w:sz w:val="20"/>
                <w:szCs w:val="20"/>
                <w:color w:val="auto"/>
              </w:rPr>
              <w:t>Outplacement Services</w:t>
            </w:r>
          </w:p>
        </w:tc>
        <w:tc>
          <w:tcPr>
            <w:tcW w:w="1360" w:type="dxa"/>
            <w:vAlign w:val="bottom"/>
            <w:shd w:val="clear" w:color="auto" w:fill="E3E5EB"/>
          </w:tcPr>
          <w:p>
            <w:pPr>
              <w:jc w:val="right"/>
              <w:ind w:right="162"/>
              <w:spacing w:after="0" w:line="221" w:lineRule="exact"/>
              <w:rPr>
                <w:sz w:val="20"/>
                <w:szCs w:val="20"/>
                <w:color w:val="auto"/>
              </w:rPr>
            </w:pPr>
            <w:r>
              <w:rPr>
                <w:rFonts w:ascii="Arial" w:cs="Arial" w:eastAsia="Arial" w:hAnsi="Arial"/>
                <w:sz w:val="20"/>
                <w:szCs w:val="20"/>
                <w:color w:val="auto"/>
              </w:rPr>
              <w:t>10,000</w:t>
            </w:r>
          </w:p>
        </w:tc>
        <w:tc>
          <w:tcPr>
            <w:tcW w:w="1020" w:type="dxa"/>
            <w:vAlign w:val="bottom"/>
            <w:shd w:val="clear" w:color="auto" w:fill="E3E5EB"/>
          </w:tcPr>
          <w:p>
            <w:pPr>
              <w:jc w:val="right"/>
              <w:spacing w:after="0" w:line="221" w:lineRule="exact"/>
              <w:rPr>
                <w:sz w:val="20"/>
                <w:szCs w:val="20"/>
                <w:color w:val="auto"/>
              </w:rPr>
            </w:pPr>
            <w:r>
              <w:rPr>
                <w:rFonts w:ascii="Arial" w:cs="Arial" w:eastAsia="Arial" w:hAnsi="Arial"/>
                <w:sz w:val="20"/>
                <w:szCs w:val="20"/>
                <w:color w:val="auto"/>
              </w:rPr>
              <w:t>0</w:t>
            </w:r>
          </w:p>
        </w:tc>
        <w:tc>
          <w:tcPr>
            <w:tcW w:w="980" w:type="dxa"/>
            <w:vAlign w:val="bottom"/>
            <w:shd w:val="clear" w:color="auto" w:fill="E3E5EB"/>
          </w:tcPr>
          <w:p>
            <w:pPr>
              <w:spacing w:after="0"/>
              <w:rPr>
                <w:sz w:val="19"/>
                <w:szCs w:val="19"/>
                <w:color w:val="auto"/>
              </w:rPr>
            </w:pPr>
          </w:p>
        </w:tc>
        <w:tc>
          <w:tcPr>
            <w:tcW w:w="1400" w:type="dxa"/>
            <w:vAlign w:val="bottom"/>
            <w:shd w:val="clear" w:color="auto" w:fill="E3E5EB"/>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shd w:val="clear" w:color="auto" w:fill="E3E5EB"/>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140" w:type="dxa"/>
            <w:vAlign w:val="bottom"/>
            <w:gridSpan w:val="2"/>
          </w:tcPr>
          <w:p>
            <w:pPr>
              <w:spacing w:after="0" w:line="191" w:lineRule="exact"/>
              <w:rPr>
                <w:sz w:val="20"/>
                <w:szCs w:val="20"/>
                <w:color w:val="auto"/>
              </w:rPr>
            </w:pPr>
            <w:r>
              <w:rPr>
                <w:rFonts w:ascii="Arial" w:cs="Arial" w:eastAsia="Arial" w:hAnsi="Arial"/>
                <w:sz w:val="20"/>
                <w:szCs w:val="20"/>
                <w:color w:val="auto"/>
                <w:w w:val="97"/>
              </w:rPr>
              <w:t>Falck DCP Discretionary</w:t>
            </w:r>
          </w:p>
        </w:tc>
        <w:tc>
          <w:tcPr>
            <w:tcW w:w="136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0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60" w:type="dxa"/>
            <w:vAlign w:val="bottom"/>
          </w:tcPr>
          <w:p>
            <w:pPr>
              <w:ind w:left="180"/>
              <w:spacing w:after="0" w:line="221" w:lineRule="exact"/>
              <w:rPr>
                <w:sz w:val="20"/>
                <w:szCs w:val="20"/>
                <w:color w:val="auto"/>
              </w:rPr>
            </w:pPr>
            <w:r>
              <w:rPr>
                <w:rFonts w:ascii="Arial" w:cs="Arial" w:eastAsia="Arial" w:hAnsi="Arial"/>
                <w:sz w:val="20"/>
                <w:szCs w:val="20"/>
                <w:color w:val="auto"/>
              </w:rPr>
              <w:t>Credits</w:t>
            </w:r>
          </w:p>
        </w:tc>
        <w:tc>
          <w:tcPr>
            <w:tcW w:w="1180" w:type="dxa"/>
            <w:vAlign w:val="bottom"/>
          </w:tcPr>
          <w:p>
            <w:pPr>
              <w:spacing w:after="0"/>
              <w:rPr>
                <w:sz w:val="19"/>
                <w:szCs w:val="19"/>
                <w:color w:val="auto"/>
              </w:rPr>
            </w:pPr>
          </w:p>
        </w:tc>
        <w:tc>
          <w:tcPr>
            <w:tcW w:w="1360" w:type="dxa"/>
            <w:vAlign w:val="bottom"/>
          </w:tcPr>
          <w:p>
            <w:pPr>
              <w:jc w:val="right"/>
              <w:ind w:right="162"/>
              <w:spacing w:after="0" w:line="221" w:lineRule="exact"/>
              <w:rPr>
                <w:sz w:val="20"/>
                <w:szCs w:val="20"/>
                <w:color w:val="auto"/>
              </w:rPr>
            </w:pPr>
            <w:r>
              <w:rPr>
                <w:rFonts w:ascii="Arial" w:cs="Arial" w:eastAsia="Arial" w:hAnsi="Arial"/>
                <w:sz w:val="20"/>
                <w:szCs w:val="20"/>
                <w:color w:val="auto"/>
              </w:rPr>
              <w:t>107,500</w:t>
            </w:r>
          </w:p>
        </w:tc>
        <w:tc>
          <w:tcPr>
            <w:tcW w:w="1020" w:type="dxa"/>
            <w:vAlign w:val="bottom"/>
          </w:tcPr>
          <w:p>
            <w:pPr>
              <w:jc w:val="right"/>
              <w:spacing w:after="0" w:line="221" w:lineRule="exact"/>
              <w:rPr>
                <w:sz w:val="20"/>
                <w:szCs w:val="20"/>
                <w:color w:val="auto"/>
              </w:rPr>
            </w:pPr>
            <w:r>
              <w:rPr>
                <w:rFonts w:ascii="Arial" w:cs="Arial" w:eastAsia="Arial" w:hAnsi="Arial"/>
                <w:sz w:val="20"/>
                <w:szCs w:val="20"/>
                <w:color w:val="auto"/>
              </w:rPr>
              <w:t>107,500</w:t>
            </w:r>
          </w:p>
        </w:tc>
        <w:tc>
          <w:tcPr>
            <w:tcW w:w="980" w:type="dxa"/>
            <w:vAlign w:val="bottom"/>
          </w:tcPr>
          <w:p>
            <w:pPr>
              <w:ind w:left="60"/>
              <w:spacing w:after="0" w:line="221" w:lineRule="exact"/>
              <w:rPr>
                <w:sz w:val="20"/>
                <w:szCs w:val="20"/>
                <w:color w:val="auto"/>
              </w:rPr>
            </w:pPr>
            <w:r>
              <w:rPr>
                <w:rFonts w:ascii="Arial" w:cs="Arial" w:eastAsia="Arial" w:hAnsi="Arial"/>
                <w:sz w:val="20"/>
                <w:szCs w:val="20"/>
                <w:color w:val="auto"/>
              </w:rPr>
              <w:t>(Death)</w:t>
            </w:r>
          </w:p>
        </w:tc>
        <w:tc>
          <w:tcPr>
            <w:tcW w:w="1400" w:type="dxa"/>
            <w:vAlign w:val="bottom"/>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Arial" w:cs="Arial" w:eastAsia="Arial" w:hAnsi="Arial"/>
                <w:sz w:val="20"/>
                <w:szCs w:val="20"/>
                <w:color w:val="auto"/>
              </w:rPr>
              <w:t>0</w:t>
            </w:r>
          </w:p>
        </w:tc>
        <w:tc>
          <w:tcPr>
            <w:tcW w:w="980" w:type="dxa"/>
            <w:vAlign w:val="bottom"/>
          </w:tcPr>
          <w:p>
            <w:pPr>
              <w:ind w:left="60"/>
              <w:spacing w:after="0"/>
              <w:rPr>
                <w:sz w:val="20"/>
                <w:szCs w:val="20"/>
                <w:color w:val="auto"/>
              </w:rPr>
            </w:pPr>
            <w:r>
              <w:rPr>
                <w:rFonts w:ascii="Arial" w:cs="Arial" w:eastAsia="Arial" w:hAnsi="Arial"/>
                <w:sz w:val="20"/>
                <w:szCs w:val="20"/>
                <w:color w:val="auto"/>
                <w:w w:val="96"/>
              </w:rPr>
              <w:t>(Disability)</w:t>
            </w:r>
          </w:p>
        </w:tc>
        <w:tc>
          <w:tcPr>
            <w:tcW w:w="140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1"/>
        </w:trPr>
        <w:tc>
          <w:tcPr>
            <w:tcW w:w="10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60" w:type="dxa"/>
            <w:vAlign w:val="bottom"/>
            <w:shd w:val="clear" w:color="auto" w:fill="E3E5EB"/>
          </w:tcPr>
          <w:p>
            <w:pPr>
              <w:spacing w:after="0" w:line="191" w:lineRule="exact"/>
              <w:rPr>
                <w:sz w:val="20"/>
                <w:szCs w:val="20"/>
                <w:color w:val="auto"/>
              </w:rPr>
            </w:pPr>
            <w:r>
              <w:rPr>
                <w:rFonts w:ascii="Arial" w:cs="Arial" w:eastAsia="Arial" w:hAnsi="Arial"/>
                <w:sz w:val="20"/>
                <w:szCs w:val="20"/>
                <w:color w:val="auto"/>
              </w:rPr>
              <w:t>TOTAL:</w:t>
            </w:r>
          </w:p>
        </w:tc>
        <w:tc>
          <w:tcPr>
            <w:tcW w:w="1180" w:type="dxa"/>
            <w:vAlign w:val="bottom"/>
            <w:shd w:val="clear" w:color="auto" w:fill="E3E5EB"/>
          </w:tcPr>
          <w:p>
            <w:pPr>
              <w:spacing w:after="0"/>
              <w:rPr>
                <w:sz w:val="16"/>
                <w:szCs w:val="16"/>
                <w:color w:val="auto"/>
              </w:rPr>
            </w:pPr>
          </w:p>
        </w:tc>
        <w:tc>
          <w:tcPr>
            <w:tcW w:w="1360" w:type="dxa"/>
            <w:vAlign w:val="bottom"/>
            <w:shd w:val="clear" w:color="auto" w:fill="E3E5EB"/>
          </w:tcPr>
          <w:p>
            <w:pPr>
              <w:jc w:val="right"/>
              <w:ind w:right="162"/>
              <w:spacing w:after="0" w:line="191" w:lineRule="exact"/>
              <w:rPr>
                <w:sz w:val="20"/>
                <w:szCs w:val="20"/>
                <w:color w:val="auto"/>
              </w:rPr>
            </w:pPr>
            <w:r>
              <w:rPr>
                <w:rFonts w:ascii="Arial" w:cs="Arial" w:eastAsia="Arial" w:hAnsi="Arial"/>
                <w:sz w:val="20"/>
                <w:szCs w:val="20"/>
                <w:color w:val="auto"/>
              </w:rPr>
              <w:t>5,329,965</w:t>
            </w:r>
          </w:p>
        </w:tc>
        <w:tc>
          <w:tcPr>
            <w:tcW w:w="1020" w:type="dxa"/>
            <w:vAlign w:val="bottom"/>
            <w:shd w:val="clear" w:color="auto" w:fill="E3E5EB"/>
          </w:tcPr>
          <w:p>
            <w:pPr>
              <w:jc w:val="right"/>
              <w:spacing w:after="0" w:line="191" w:lineRule="exact"/>
              <w:rPr>
                <w:sz w:val="20"/>
                <w:szCs w:val="20"/>
                <w:color w:val="auto"/>
              </w:rPr>
            </w:pPr>
            <w:r>
              <w:rPr>
                <w:rFonts w:ascii="Arial" w:cs="Arial" w:eastAsia="Arial" w:hAnsi="Arial"/>
                <w:sz w:val="20"/>
                <w:szCs w:val="20"/>
                <w:color w:val="auto"/>
              </w:rPr>
              <w:t>1,988,275</w:t>
            </w:r>
          </w:p>
        </w:tc>
        <w:tc>
          <w:tcPr>
            <w:tcW w:w="980" w:type="dxa"/>
            <w:vAlign w:val="bottom"/>
            <w:shd w:val="clear" w:color="auto" w:fill="E3E5EB"/>
          </w:tcPr>
          <w:p>
            <w:pPr>
              <w:ind w:left="60"/>
              <w:spacing w:after="0" w:line="191" w:lineRule="exact"/>
              <w:rPr>
                <w:sz w:val="20"/>
                <w:szCs w:val="20"/>
                <w:color w:val="auto"/>
              </w:rPr>
            </w:pPr>
            <w:r>
              <w:rPr>
                <w:rFonts w:ascii="Arial" w:cs="Arial" w:eastAsia="Arial" w:hAnsi="Arial"/>
                <w:sz w:val="20"/>
                <w:szCs w:val="20"/>
                <w:color w:val="auto"/>
              </w:rPr>
              <w:t>(Death)</w:t>
            </w:r>
          </w:p>
        </w:tc>
        <w:tc>
          <w:tcPr>
            <w:tcW w:w="1400" w:type="dxa"/>
            <w:vAlign w:val="bottom"/>
            <w:shd w:val="clear" w:color="auto" w:fill="E3E5EB"/>
          </w:tcPr>
          <w:p>
            <w:pPr>
              <w:jc w:val="right"/>
              <w:ind w:right="302"/>
              <w:spacing w:after="0" w:line="191" w:lineRule="exact"/>
              <w:rPr>
                <w:sz w:val="20"/>
                <w:szCs w:val="20"/>
                <w:color w:val="auto"/>
              </w:rPr>
            </w:pPr>
            <w:r>
              <w:rPr>
                <w:rFonts w:ascii="Arial" w:cs="Arial" w:eastAsia="Arial" w:hAnsi="Arial"/>
                <w:sz w:val="20"/>
                <w:szCs w:val="20"/>
                <w:color w:val="auto"/>
              </w:rPr>
              <w:t>776,991</w:t>
            </w:r>
          </w:p>
        </w:tc>
        <w:tc>
          <w:tcPr>
            <w:tcW w:w="1460" w:type="dxa"/>
            <w:vAlign w:val="bottom"/>
            <w:shd w:val="clear" w:color="auto" w:fill="E3E5EB"/>
          </w:tcPr>
          <w:p>
            <w:pPr>
              <w:jc w:val="center"/>
              <w:ind w:left="22"/>
              <w:spacing w:after="0" w:line="19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1"/>
        </w:trPr>
        <w:tc>
          <w:tcPr>
            <w:tcW w:w="10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60" w:type="dxa"/>
            <w:vAlign w:val="bottom"/>
            <w:tcBorders>
              <w:bottom w:val="single" w:sz="8" w:color="888992"/>
            </w:tcBorders>
            <w:shd w:val="clear" w:color="auto" w:fill="E3E5EB"/>
          </w:tcPr>
          <w:p>
            <w:pPr>
              <w:spacing w:after="0"/>
              <w:rPr>
                <w:sz w:val="21"/>
                <w:szCs w:val="21"/>
                <w:color w:val="auto"/>
              </w:rPr>
            </w:pPr>
          </w:p>
        </w:tc>
        <w:tc>
          <w:tcPr>
            <w:tcW w:w="1180" w:type="dxa"/>
            <w:vAlign w:val="bottom"/>
            <w:tcBorders>
              <w:bottom w:val="single" w:sz="8" w:color="888992"/>
            </w:tcBorders>
            <w:shd w:val="clear" w:color="auto" w:fill="E3E5EB"/>
          </w:tcPr>
          <w:p>
            <w:pPr>
              <w:spacing w:after="0"/>
              <w:rPr>
                <w:sz w:val="21"/>
                <w:szCs w:val="21"/>
                <w:color w:val="auto"/>
              </w:rPr>
            </w:pPr>
          </w:p>
        </w:tc>
        <w:tc>
          <w:tcPr>
            <w:tcW w:w="1360" w:type="dxa"/>
            <w:vAlign w:val="bottom"/>
            <w:tcBorders>
              <w:bottom w:val="single" w:sz="8" w:color="888992"/>
            </w:tcBorders>
            <w:shd w:val="clear" w:color="auto" w:fill="E3E5EB"/>
          </w:tcPr>
          <w:p>
            <w:pPr>
              <w:spacing w:after="0"/>
              <w:rPr>
                <w:sz w:val="21"/>
                <w:szCs w:val="21"/>
                <w:color w:val="auto"/>
              </w:rPr>
            </w:pPr>
          </w:p>
        </w:tc>
        <w:tc>
          <w:tcPr>
            <w:tcW w:w="1020" w:type="dxa"/>
            <w:vAlign w:val="bottom"/>
            <w:tcBorders>
              <w:bottom w:val="single" w:sz="8" w:color="888992"/>
            </w:tcBorders>
            <w:shd w:val="clear" w:color="auto" w:fill="E3E5EB"/>
          </w:tcPr>
          <w:p>
            <w:pPr>
              <w:jc w:val="right"/>
              <w:spacing w:after="0"/>
              <w:rPr>
                <w:sz w:val="20"/>
                <w:szCs w:val="20"/>
                <w:color w:val="auto"/>
              </w:rPr>
            </w:pPr>
            <w:r>
              <w:rPr>
                <w:rFonts w:ascii="Arial" w:cs="Arial" w:eastAsia="Arial" w:hAnsi="Arial"/>
                <w:sz w:val="20"/>
                <w:szCs w:val="20"/>
                <w:color w:val="auto"/>
              </w:rPr>
              <w:t>1,880,775</w:t>
            </w:r>
          </w:p>
        </w:tc>
        <w:tc>
          <w:tcPr>
            <w:tcW w:w="980" w:type="dxa"/>
            <w:vAlign w:val="bottom"/>
            <w:tcBorders>
              <w:bottom w:val="single" w:sz="8" w:color="888992"/>
            </w:tcBorders>
            <w:shd w:val="clear" w:color="auto" w:fill="E3E5EB"/>
          </w:tcPr>
          <w:p>
            <w:pPr>
              <w:ind w:left="60"/>
              <w:spacing w:after="0"/>
              <w:rPr>
                <w:sz w:val="20"/>
                <w:szCs w:val="20"/>
                <w:color w:val="auto"/>
              </w:rPr>
            </w:pPr>
            <w:r>
              <w:rPr>
                <w:rFonts w:ascii="Arial" w:cs="Arial" w:eastAsia="Arial" w:hAnsi="Arial"/>
                <w:sz w:val="20"/>
                <w:szCs w:val="20"/>
                <w:color w:val="auto"/>
                <w:w w:val="96"/>
              </w:rPr>
              <w:t>(Disability)</w:t>
            </w:r>
          </w:p>
        </w:tc>
        <w:tc>
          <w:tcPr>
            <w:tcW w:w="1400" w:type="dxa"/>
            <w:vAlign w:val="bottom"/>
            <w:tcBorders>
              <w:bottom w:val="single" w:sz="8" w:color="888992"/>
            </w:tcBorders>
            <w:shd w:val="clear" w:color="auto" w:fill="E3E5EB"/>
          </w:tcPr>
          <w:p>
            <w:pPr>
              <w:spacing w:after="0"/>
              <w:rPr>
                <w:sz w:val="21"/>
                <w:szCs w:val="21"/>
                <w:color w:val="auto"/>
              </w:rPr>
            </w:pPr>
          </w:p>
        </w:tc>
        <w:tc>
          <w:tcPr>
            <w:tcW w:w="1460" w:type="dxa"/>
            <w:vAlign w:val="bottom"/>
            <w:tcBorders>
              <w:bottom w:val="single" w:sz="8" w:color="888992"/>
            </w:tcBorders>
            <w:shd w:val="clear" w:color="auto" w:fill="E3E5EB"/>
          </w:tcPr>
          <w:p>
            <w:pPr>
              <w:spacing w:after="0"/>
              <w:rPr>
                <w:sz w:val="21"/>
                <w:szCs w:val="21"/>
                <w:color w:val="auto"/>
              </w:rPr>
            </w:pP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04"/>
        </w:trPr>
        <w:tc>
          <w:tcPr>
            <w:tcW w:w="1460" w:type="dxa"/>
            <w:vAlign w:val="bottom"/>
            <w:gridSpan w:val="2"/>
          </w:tcPr>
          <w:p>
            <w:pPr>
              <w:jc w:val="right"/>
              <w:ind w:right="1140"/>
              <w:spacing w:after="0"/>
              <w:rPr>
                <w:sz w:val="20"/>
                <w:szCs w:val="20"/>
                <w:color w:val="auto"/>
              </w:rPr>
            </w:pPr>
            <w:r>
              <w:rPr>
                <w:rFonts w:ascii="Arial" w:cs="Arial" w:eastAsia="Arial" w:hAnsi="Arial"/>
                <w:sz w:val="16"/>
                <w:szCs w:val="16"/>
                <w:b w:val="1"/>
                <w:bCs w:val="1"/>
                <w:color w:val="auto"/>
              </w:rPr>
              <w:t>86</w:t>
            </w:r>
          </w:p>
        </w:tc>
        <w:tc>
          <w:tcPr>
            <w:tcW w:w="980" w:type="dxa"/>
            <w:vAlign w:val="bottom"/>
            <w:gridSpan w:val="2"/>
            <w:vMerge w:val="restart"/>
          </w:tcPr>
          <w:p>
            <w:pPr>
              <w:jc w:val="right"/>
              <w:ind w:right="42"/>
              <w:spacing w:after="0"/>
              <w:rPr>
                <w:sz w:val="20"/>
                <w:szCs w:val="20"/>
                <w:color w:val="auto"/>
              </w:rPr>
            </w:pPr>
            <w:r>
              <w:rPr>
                <w:rFonts w:ascii="Arial" w:cs="Arial" w:eastAsia="Arial" w:hAnsi="Arial"/>
                <w:sz w:val="16"/>
                <w:szCs w:val="16"/>
                <w:b w:val="1"/>
                <w:bCs w:val="1"/>
                <w:color w:val="3A5575"/>
              </w:rPr>
              <w:t>|</w:t>
            </w:r>
          </w:p>
        </w:tc>
        <w:tc>
          <w:tcPr>
            <w:tcW w:w="2540" w:type="dxa"/>
            <w:vAlign w:val="bottom"/>
            <w:gridSpan w:val="2"/>
          </w:tcPr>
          <w:p>
            <w:pPr>
              <w:jc w:val="right"/>
              <w:ind w:right="782"/>
              <w:spacing w:after="0"/>
              <w:rPr>
                <w:sz w:val="20"/>
                <w:szCs w:val="20"/>
                <w:color w:val="auto"/>
              </w:rPr>
            </w:pPr>
            <w:r>
              <w:rPr>
                <w:rFonts w:ascii="Arial" w:cs="Arial" w:eastAsia="Arial" w:hAnsi="Arial"/>
                <w:sz w:val="16"/>
                <w:szCs w:val="16"/>
                <w:color w:val="auto"/>
              </w:rPr>
              <w:t>2016 Proxy Statement</w:t>
            </w:r>
          </w:p>
        </w:tc>
        <w:tc>
          <w:tcPr>
            <w:tcW w:w="10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3"/>
        </w:trPr>
        <w:tc>
          <w:tcPr>
            <w:tcW w:w="100" w:type="dxa"/>
            <w:vAlign w:val="bottom"/>
          </w:tcPr>
          <w:p>
            <w:pPr>
              <w:spacing w:after="0"/>
              <w:rPr>
                <w:sz w:val="5"/>
                <w:szCs w:val="5"/>
                <w:color w:val="auto"/>
              </w:rPr>
            </w:pPr>
          </w:p>
        </w:tc>
        <w:tc>
          <w:tcPr>
            <w:tcW w:w="1360" w:type="dxa"/>
            <w:vAlign w:val="bottom"/>
          </w:tcPr>
          <w:p>
            <w:pPr>
              <w:spacing w:after="0"/>
              <w:rPr>
                <w:sz w:val="5"/>
                <w:szCs w:val="5"/>
                <w:color w:val="auto"/>
              </w:rPr>
            </w:pPr>
          </w:p>
        </w:tc>
        <w:tc>
          <w:tcPr>
            <w:tcW w:w="980" w:type="dxa"/>
            <w:vAlign w:val="bottom"/>
            <w:gridSpan w:val="2"/>
            <w:vMerge w:val="continue"/>
          </w:tcPr>
          <w:p>
            <w:pPr>
              <w:spacing w:after="0"/>
              <w:rPr>
                <w:sz w:val="5"/>
                <w:szCs w:val="5"/>
                <w:color w:val="auto"/>
              </w:rPr>
            </w:pPr>
          </w:p>
        </w:tc>
        <w:tc>
          <w:tcPr>
            <w:tcW w:w="1180" w:type="dxa"/>
            <w:vAlign w:val="bottom"/>
          </w:tcPr>
          <w:p>
            <w:pPr>
              <w:spacing w:after="0"/>
              <w:rPr>
                <w:sz w:val="5"/>
                <w:szCs w:val="5"/>
                <w:color w:val="auto"/>
              </w:rPr>
            </w:pPr>
          </w:p>
        </w:tc>
        <w:tc>
          <w:tcPr>
            <w:tcW w:w="1360" w:type="dxa"/>
            <w:vAlign w:val="bottom"/>
          </w:tcPr>
          <w:p>
            <w:pPr>
              <w:spacing w:after="0"/>
              <w:rPr>
                <w:sz w:val="5"/>
                <w:szCs w:val="5"/>
                <w:color w:val="auto"/>
              </w:rPr>
            </w:pPr>
          </w:p>
        </w:tc>
        <w:tc>
          <w:tcPr>
            <w:tcW w:w="1020" w:type="dxa"/>
            <w:vAlign w:val="bottom"/>
          </w:tcPr>
          <w:p>
            <w:pPr>
              <w:spacing w:after="0"/>
              <w:rPr>
                <w:sz w:val="5"/>
                <w:szCs w:val="5"/>
                <w:color w:val="auto"/>
              </w:rPr>
            </w:pPr>
          </w:p>
        </w:tc>
        <w:tc>
          <w:tcPr>
            <w:tcW w:w="980" w:type="dxa"/>
            <w:vAlign w:val="bottom"/>
          </w:tcPr>
          <w:p>
            <w:pPr>
              <w:spacing w:after="0"/>
              <w:rPr>
                <w:sz w:val="5"/>
                <w:szCs w:val="5"/>
                <w:color w:val="auto"/>
              </w:rPr>
            </w:pPr>
          </w:p>
        </w:tc>
        <w:tc>
          <w:tcPr>
            <w:tcW w:w="1400" w:type="dxa"/>
            <w:vAlign w:val="bottom"/>
          </w:tcPr>
          <w:p>
            <w:pPr>
              <w:spacing w:after="0"/>
              <w:rPr>
                <w:sz w:val="5"/>
                <w:szCs w:val="5"/>
                <w:color w:val="auto"/>
              </w:rPr>
            </w:pPr>
          </w:p>
        </w:tc>
        <w:tc>
          <w:tcPr>
            <w:tcW w:w="1460" w:type="dxa"/>
            <w:vAlign w:val="bottom"/>
          </w:tcPr>
          <w:p>
            <w:pPr>
              <w:spacing w:after="0"/>
              <w:rPr>
                <w:sz w:val="5"/>
                <w:szCs w:val="5"/>
                <w:color w:val="auto"/>
              </w:rPr>
            </w:pPr>
          </w:p>
        </w:tc>
        <w:tc>
          <w:tcPr>
            <w:tcW w:w="16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00" w:type="dxa"/>
            <w:vAlign w:val="bottom"/>
          </w:tcPr>
          <w:p>
            <w:pPr>
              <w:spacing w:after="0"/>
              <w:rPr>
                <w:sz w:val="11"/>
                <w:szCs w:val="11"/>
                <w:color w:val="auto"/>
              </w:rPr>
            </w:pPr>
          </w:p>
        </w:tc>
        <w:tc>
          <w:tcPr>
            <w:tcW w:w="136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960" w:type="dxa"/>
            <w:vAlign w:val="bottom"/>
            <w:tcBorders>
              <w:bottom w:val="single" w:sz="8" w:color="808080"/>
            </w:tcBorders>
          </w:tcPr>
          <w:p>
            <w:pPr>
              <w:spacing w:after="0"/>
              <w:rPr>
                <w:sz w:val="11"/>
                <w:szCs w:val="11"/>
                <w:color w:val="auto"/>
              </w:rPr>
            </w:pPr>
          </w:p>
        </w:tc>
        <w:tc>
          <w:tcPr>
            <w:tcW w:w="1180" w:type="dxa"/>
            <w:vAlign w:val="bottom"/>
            <w:tcBorders>
              <w:bottom w:val="single" w:sz="8" w:color="808080"/>
            </w:tcBorders>
          </w:tcPr>
          <w:p>
            <w:pPr>
              <w:spacing w:after="0"/>
              <w:rPr>
                <w:sz w:val="11"/>
                <w:szCs w:val="11"/>
                <w:color w:val="auto"/>
              </w:rPr>
            </w:pPr>
          </w:p>
        </w:tc>
        <w:tc>
          <w:tcPr>
            <w:tcW w:w="1360" w:type="dxa"/>
            <w:vAlign w:val="bottom"/>
            <w:tcBorders>
              <w:bottom w:val="single" w:sz="8" w:color="808080"/>
            </w:tcBorders>
          </w:tcPr>
          <w:p>
            <w:pPr>
              <w:spacing w:after="0"/>
              <w:rPr>
                <w:sz w:val="11"/>
                <w:szCs w:val="11"/>
                <w:color w:val="auto"/>
              </w:rPr>
            </w:pPr>
          </w:p>
        </w:tc>
        <w:tc>
          <w:tcPr>
            <w:tcW w:w="1020" w:type="dxa"/>
            <w:vAlign w:val="bottom"/>
            <w:tcBorders>
              <w:bottom w:val="single" w:sz="8" w:color="808080"/>
            </w:tcBorders>
          </w:tcPr>
          <w:p>
            <w:pPr>
              <w:spacing w:after="0"/>
              <w:rPr>
                <w:sz w:val="11"/>
                <w:szCs w:val="11"/>
                <w:color w:val="auto"/>
              </w:rPr>
            </w:pPr>
          </w:p>
        </w:tc>
        <w:tc>
          <w:tcPr>
            <w:tcW w:w="980" w:type="dxa"/>
            <w:vAlign w:val="bottom"/>
            <w:tcBorders>
              <w:bottom w:val="single" w:sz="8" w:color="808080"/>
            </w:tcBorders>
          </w:tcPr>
          <w:p>
            <w:pPr>
              <w:spacing w:after="0"/>
              <w:rPr>
                <w:sz w:val="11"/>
                <w:szCs w:val="11"/>
                <w:color w:val="auto"/>
              </w:rPr>
            </w:pPr>
          </w:p>
        </w:tc>
        <w:tc>
          <w:tcPr>
            <w:tcW w:w="1400" w:type="dxa"/>
            <w:vAlign w:val="bottom"/>
            <w:tcBorders>
              <w:bottom w:val="single" w:sz="8" w:color="808080"/>
            </w:tcBorders>
          </w:tcPr>
          <w:p>
            <w:pPr>
              <w:spacing w:after="0"/>
              <w:rPr>
                <w:sz w:val="11"/>
                <w:szCs w:val="11"/>
                <w:color w:val="auto"/>
              </w:rPr>
            </w:pPr>
          </w:p>
        </w:tc>
        <w:tc>
          <w:tcPr>
            <w:tcW w:w="1460" w:type="dxa"/>
            <w:vAlign w:val="bottom"/>
            <w:tcBorders>
              <w:bottom w:val="single" w:sz="8" w:color="808080"/>
            </w:tcBorders>
          </w:tcPr>
          <w:p>
            <w:pPr>
              <w:spacing w:after="0"/>
              <w:rPr>
                <w:sz w:val="11"/>
                <w:szCs w:val="11"/>
                <w:color w:val="auto"/>
              </w:rPr>
            </w:pPr>
          </w:p>
        </w:tc>
        <w:tc>
          <w:tcPr>
            <w:tcW w:w="16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7310120</wp:posOffset>
            </wp:positionH>
            <wp:positionV relativeFrom="paragraph">
              <wp:posOffset>-13335</wp:posOffset>
            </wp:positionV>
            <wp:extent cx="5080" cy="762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5080" cy="7620"/>
                    </a:xfrm>
                    <a:prstGeom prst="rect">
                      <a:avLst/>
                    </a:prstGeom>
                    <a:noFill/>
                  </pic:spPr>
                </pic:pic>
              </a:graphicData>
            </a:graphic>
          </wp:anchor>
        </w:drawing>
        <w:drawing>
          <wp:anchor simplePos="0" relativeHeight="251657728" behindDoc="1" locked="0" layoutInCell="0" allowOverlap="1">
            <wp:simplePos x="0" y="0"/>
            <wp:positionH relativeFrom="column">
              <wp:posOffset>58420</wp:posOffset>
            </wp:positionH>
            <wp:positionV relativeFrom="paragraph">
              <wp:posOffset>-13335</wp:posOffset>
            </wp:positionV>
            <wp:extent cx="12700" cy="762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380365</wp:posOffset>
            </wp:positionH>
            <wp:positionV relativeFrom="paragraph">
              <wp:posOffset>-290195</wp:posOffset>
            </wp:positionV>
            <wp:extent cx="841375" cy="16383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95" w:name="page96"/>
    <w:bookmarkEnd w:id="95"/>
    <w:p>
      <w:pPr>
        <w:ind w:left="100"/>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25"/>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340" w:type="dxa"/>
            <w:vAlign w:val="bottom"/>
            <w:tcBorders>
              <w:bottom w:val="single" w:sz="8" w:color="3A5575"/>
            </w:tcBorders>
            <w:gridSpan w:val="2"/>
            <w:shd w:val="clear" w:color="auto" w:fill="3A5575"/>
          </w:tcPr>
          <w:p>
            <w:pPr>
              <w:ind w:left="60"/>
              <w:spacing w:after="0"/>
              <w:rPr>
                <w:sz w:val="20"/>
                <w:szCs w:val="20"/>
                <w:color w:val="auto"/>
              </w:rPr>
            </w:pPr>
            <w:r>
              <w:rPr>
                <w:rFonts w:ascii="Arial" w:cs="Arial" w:eastAsia="Arial" w:hAnsi="Arial"/>
                <w:sz w:val="13"/>
                <w:szCs w:val="13"/>
                <w:b w:val="1"/>
                <w:bCs w:val="1"/>
                <w:color w:val="FFFFFE"/>
              </w:rPr>
              <w:t>EXECUTIVE COMPENSATION</w:t>
            </w:r>
          </w:p>
        </w:tc>
        <w:tc>
          <w:tcPr>
            <w:tcW w:w="0" w:type="dxa"/>
            <w:vAlign w:val="bottom"/>
          </w:tcPr>
          <w:p>
            <w:pPr>
              <w:spacing w:after="0"/>
              <w:rPr>
                <w:sz w:val="1"/>
                <w:szCs w:val="1"/>
                <w:color w:val="auto"/>
              </w:rPr>
            </w:pPr>
          </w:p>
        </w:tc>
      </w:tr>
      <w:tr>
        <w:trPr>
          <w:trHeight w:val="305"/>
        </w:trPr>
        <w:tc>
          <w:tcPr>
            <w:tcW w:w="4080" w:type="dxa"/>
            <w:vAlign w:val="bottom"/>
            <w:gridSpan w:val="3"/>
          </w:tcPr>
          <w:p>
            <w:pPr>
              <w:spacing w:after="0"/>
              <w:rPr>
                <w:sz w:val="20"/>
                <w:szCs w:val="20"/>
                <w:color w:val="auto"/>
              </w:rPr>
            </w:pPr>
            <w:r>
              <w:rPr>
                <w:rFonts w:ascii="Arial" w:cs="Arial" w:eastAsia="Arial" w:hAnsi="Arial"/>
                <w:sz w:val="20"/>
                <w:szCs w:val="20"/>
                <w:b w:val="1"/>
                <w:bCs w:val="1"/>
                <w:i w:val="1"/>
                <w:iCs w:val="1"/>
                <w:color w:val="auto"/>
              </w:rPr>
              <w:t>Mark A. Schiavoni:</w:t>
            </w:r>
          </w:p>
        </w:tc>
        <w:tc>
          <w:tcPr>
            <w:tcW w:w="15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04"/>
        </w:trPr>
        <w:tc>
          <w:tcPr>
            <w:tcW w:w="1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300" w:type="dxa"/>
            <w:vAlign w:val="bottom"/>
            <w:vMerge w:val="restart"/>
          </w:tcPr>
          <w:p>
            <w:pPr>
              <w:jc w:val="center"/>
              <w:spacing w:after="0"/>
              <w:rPr>
                <w:sz w:val="20"/>
                <w:szCs w:val="20"/>
                <w:color w:val="auto"/>
              </w:rPr>
            </w:pPr>
            <w:r>
              <w:rPr>
                <w:rFonts w:ascii="Arial" w:cs="Arial" w:eastAsia="Arial" w:hAnsi="Arial"/>
                <w:sz w:val="20"/>
                <w:szCs w:val="20"/>
                <w:b w:val="1"/>
                <w:bCs w:val="1"/>
                <w:color w:val="3A5575"/>
                <w:w w:val="97"/>
              </w:rPr>
              <w:t>DEATH OR</w:t>
            </w:r>
          </w:p>
        </w:tc>
        <w:tc>
          <w:tcPr>
            <w:tcW w:w="1500" w:type="dxa"/>
            <w:vAlign w:val="bottom"/>
          </w:tcPr>
          <w:p>
            <w:pPr>
              <w:spacing w:after="0"/>
              <w:rPr>
                <w:sz w:val="24"/>
                <w:szCs w:val="24"/>
                <w:color w:val="auto"/>
              </w:rPr>
            </w:pPr>
          </w:p>
        </w:tc>
        <w:tc>
          <w:tcPr>
            <w:tcW w:w="3140" w:type="dxa"/>
            <w:vAlign w:val="bottom"/>
            <w:gridSpan w:val="3"/>
          </w:tcPr>
          <w:p>
            <w:pPr>
              <w:jc w:val="center"/>
              <w:ind w:right="1580"/>
              <w:spacing w:after="0"/>
              <w:rPr>
                <w:sz w:val="20"/>
                <w:szCs w:val="20"/>
                <w:color w:val="auto"/>
              </w:rPr>
            </w:pPr>
            <w:r>
              <w:rPr>
                <w:rFonts w:ascii="Arial" w:cs="Arial" w:eastAsia="Arial" w:hAnsi="Arial"/>
                <w:sz w:val="20"/>
                <w:szCs w:val="20"/>
                <w:b w:val="1"/>
                <w:bCs w:val="1"/>
                <w:color w:val="3A5575"/>
                <w:w w:val="97"/>
              </w:rPr>
              <w:t>ALL OTHER</w:t>
            </w: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500" w:type="dxa"/>
            <w:vAlign w:val="bottom"/>
            <w:vMerge w:val="restart"/>
          </w:tcPr>
          <w:p>
            <w:pPr>
              <w:jc w:val="right"/>
              <w:ind w:right="62"/>
              <w:spacing w:after="0"/>
              <w:rPr>
                <w:sz w:val="20"/>
                <w:szCs w:val="20"/>
                <w:color w:val="auto"/>
              </w:rPr>
            </w:pPr>
            <w:r>
              <w:rPr>
                <w:rFonts w:ascii="Arial" w:cs="Arial" w:eastAsia="Arial" w:hAnsi="Arial"/>
                <w:sz w:val="20"/>
                <w:szCs w:val="20"/>
                <w:b w:val="1"/>
                <w:bCs w:val="1"/>
                <w:color w:val="3A5575"/>
              </w:rPr>
              <w:t>CHANGE OF</w:t>
            </w:r>
          </w:p>
        </w:tc>
        <w:tc>
          <w:tcPr>
            <w:tcW w:w="1300" w:type="dxa"/>
            <w:vAlign w:val="bottom"/>
            <w:vMerge w:val="continue"/>
          </w:tcPr>
          <w:p>
            <w:pPr>
              <w:spacing w:after="0"/>
              <w:rPr>
                <w:sz w:val="19"/>
                <w:szCs w:val="19"/>
                <w:color w:val="auto"/>
              </w:rPr>
            </w:pPr>
          </w:p>
        </w:tc>
        <w:tc>
          <w:tcPr>
            <w:tcW w:w="1500" w:type="dxa"/>
            <w:vAlign w:val="bottom"/>
            <w:vMerge w:val="restart"/>
          </w:tcPr>
          <w:p>
            <w:pPr>
              <w:jc w:val="right"/>
              <w:ind w:right="22"/>
              <w:spacing w:after="0"/>
              <w:rPr>
                <w:sz w:val="20"/>
                <w:szCs w:val="20"/>
                <w:color w:val="auto"/>
              </w:rPr>
            </w:pPr>
            <w:r>
              <w:rPr>
                <w:rFonts w:ascii="Arial" w:cs="Arial" w:eastAsia="Arial" w:hAnsi="Arial"/>
                <w:sz w:val="20"/>
                <w:szCs w:val="20"/>
                <w:b w:val="1"/>
                <w:bCs w:val="1"/>
                <w:color w:val="3A5575"/>
              </w:rPr>
              <w:t>RETIREMENT</w:t>
            </w:r>
          </w:p>
        </w:tc>
        <w:tc>
          <w:tcPr>
            <w:tcW w:w="3140" w:type="dxa"/>
            <w:vAlign w:val="bottom"/>
            <w:gridSpan w:val="3"/>
          </w:tcPr>
          <w:p>
            <w:pPr>
              <w:jc w:val="center"/>
              <w:ind w:right="1580"/>
              <w:spacing w:after="0" w:line="221" w:lineRule="exact"/>
              <w:rPr>
                <w:sz w:val="20"/>
                <w:szCs w:val="20"/>
                <w:color w:val="auto"/>
              </w:rPr>
            </w:pPr>
            <w:r>
              <w:rPr>
                <w:rFonts w:ascii="Arial" w:cs="Arial" w:eastAsia="Arial" w:hAnsi="Arial"/>
                <w:sz w:val="20"/>
                <w:szCs w:val="20"/>
                <w:b w:val="1"/>
                <w:bCs w:val="1"/>
                <w:color w:val="3A5575"/>
                <w:w w:val="97"/>
              </w:rPr>
              <w:t>TERMINATION</w:t>
            </w: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62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COMPONENT OF PAY</w:t>
            </w:r>
          </w:p>
        </w:tc>
        <w:tc>
          <w:tcPr>
            <w:tcW w:w="1500" w:type="dxa"/>
            <w:vAlign w:val="bottom"/>
            <w:vMerge w:val="continue"/>
          </w:tcPr>
          <w:p>
            <w:pPr>
              <w:spacing w:after="0"/>
              <w:rPr>
                <w:sz w:val="19"/>
                <w:szCs w:val="19"/>
                <w:color w:val="auto"/>
              </w:rPr>
            </w:pPr>
          </w:p>
        </w:tc>
        <w:tc>
          <w:tcPr>
            <w:tcW w:w="1300" w:type="dxa"/>
            <w:vAlign w:val="bottom"/>
          </w:tcPr>
          <w:p>
            <w:pPr>
              <w:jc w:val="center"/>
              <w:spacing w:after="0" w:line="221" w:lineRule="exact"/>
              <w:rPr>
                <w:sz w:val="20"/>
                <w:szCs w:val="20"/>
                <w:color w:val="auto"/>
              </w:rPr>
            </w:pPr>
            <w:r>
              <w:rPr>
                <w:rFonts w:ascii="Arial" w:cs="Arial" w:eastAsia="Arial" w:hAnsi="Arial"/>
                <w:sz w:val="20"/>
                <w:szCs w:val="20"/>
                <w:b w:val="1"/>
                <w:bCs w:val="1"/>
                <w:color w:val="3A5575"/>
                <w:w w:val="98"/>
              </w:rPr>
              <w:t>DISABILITY</w:t>
            </w:r>
          </w:p>
        </w:tc>
        <w:tc>
          <w:tcPr>
            <w:tcW w:w="1500" w:type="dxa"/>
            <w:vAlign w:val="bottom"/>
            <w:vMerge w:val="continue"/>
          </w:tcPr>
          <w:p>
            <w:pPr>
              <w:spacing w:after="0"/>
              <w:rPr>
                <w:sz w:val="19"/>
                <w:szCs w:val="19"/>
                <w:color w:val="auto"/>
              </w:rPr>
            </w:pPr>
          </w:p>
        </w:tc>
        <w:tc>
          <w:tcPr>
            <w:tcW w:w="3140" w:type="dxa"/>
            <w:vAlign w:val="bottom"/>
            <w:gridSpan w:val="3"/>
          </w:tcPr>
          <w:p>
            <w:pPr>
              <w:jc w:val="center"/>
              <w:ind w:right="1580"/>
              <w:spacing w:after="0" w:line="221" w:lineRule="exact"/>
              <w:rPr>
                <w:sz w:val="20"/>
                <w:szCs w:val="20"/>
                <w:color w:val="auto"/>
              </w:rPr>
            </w:pPr>
            <w:r>
              <w:rPr>
                <w:rFonts w:ascii="Arial" w:cs="Arial" w:eastAsia="Arial" w:hAnsi="Arial"/>
                <w:sz w:val="20"/>
                <w:szCs w:val="20"/>
                <w:b w:val="1"/>
                <w:bCs w:val="1"/>
                <w:color w:val="3A5575"/>
                <w:w w:val="99"/>
              </w:rPr>
              <w:t>EVENTS</w:t>
            </w:r>
          </w:p>
        </w:tc>
        <w:tc>
          <w:tcPr>
            <w:tcW w:w="0" w:type="dxa"/>
            <w:vAlign w:val="bottom"/>
          </w:tcPr>
          <w:p>
            <w:pPr>
              <w:spacing w:after="0"/>
              <w:rPr>
                <w:sz w:val="1"/>
                <w:szCs w:val="1"/>
                <w:color w:val="auto"/>
              </w:rPr>
            </w:pPr>
          </w:p>
        </w:tc>
      </w:tr>
      <w:tr>
        <w:trPr>
          <w:trHeight w:val="255"/>
        </w:trPr>
        <w:tc>
          <w:tcPr>
            <w:tcW w:w="1460" w:type="dxa"/>
            <w:vAlign w:val="bottom"/>
          </w:tcPr>
          <w:p>
            <w:pPr>
              <w:spacing w:after="0"/>
              <w:rPr>
                <w:sz w:val="22"/>
                <w:szCs w:val="22"/>
                <w:color w:val="auto"/>
              </w:rPr>
            </w:pPr>
          </w:p>
        </w:tc>
        <w:tc>
          <w:tcPr>
            <w:tcW w:w="2620" w:type="dxa"/>
            <w:vAlign w:val="bottom"/>
            <w:tcBorders>
              <w:bottom w:val="single" w:sz="8" w:color="646466"/>
            </w:tcBorders>
            <w:gridSpan w:val="2"/>
            <w:vMerge w:val="continue"/>
          </w:tcPr>
          <w:p>
            <w:pPr>
              <w:spacing w:after="0"/>
              <w:rPr>
                <w:sz w:val="22"/>
                <w:szCs w:val="22"/>
                <w:color w:val="auto"/>
              </w:rPr>
            </w:pPr>
          </w:p>
        </w:tc>
        <w:tc>
          <w:tcPr>
            <w:tcW w:w="1500" w:type="dxa"/>
            <w:vAlign w:val="bottom"/>
            <w:tcBorders>
              <w:bottom w:val="single" w:sz="8" w:color="646466"/>
            </w:tcBorders>
          </w:tcPr>
          <w:p>
            <w:pPr>
              <w:jc w:val="right"/>
              <w:ind w:right="2"/>
              <w:spacing w:after="0"/>
              <w:rPr>
                <w:sz w:val="20"/>
                <w:szCs w:val="20"/>
                <w:color w:val="auto"/>
              </w:rPr>
            </w:pPr>
            <w:r>
              <w:rPr>
                <w:rFonts w:ascii="Arial" w:cs="Arial" w:eastAsia="Arial" w:hAnsi="Arial"/>
                <w:sz w:val="20"/>
                <w:szCs w:val="20"/>
                <w:b w:val="1"/>
                <w:bCs w:val="1"/>
                <w:color w:val="3A5575"/>
              </w:rPr>
              <w:t>CONTROL ($)</w:t>
            </w:r>
          </w:p>
        </w:tc>
        <w:tc>
          <w:tcPr>
            <w:tcW w:w="1300" w:type="dxa"/>
            <w:vAlign w:val="bottom"/>
            <w:tcBorders>
              <w:bottom w:val="single" w:sz="8" w:color="646466"/>
            </w:tcBorders>
          </w:tcPr>
          <w:p>
            <w:pPr>
              <w:jc w:val="center"/>
              <w:spacing w:after="0"/>
              <w:rPr>
                <w:sz w:val="20"/>
                <w:szCs w:val="20"/>
                <w:color w:val="auto"/>
              </w:rPr>
            </w:pPr>
            <w:r>
              <w:rPr>
                <w:rFonts w:ascii="Arial" w:cs="Arial" w:eastAsia="Arial" w:hAnsi="Arial"/>
                <w:sz w:val="20"/>
                <w:szCs w:val="20"/>
                <w:b w:val="1"/>
                <w:bCs w:val="1"/>
                <w:color w:val="3A5575"/>
                <w:w w:val="97"/>
              </w:rPr>
              <w:t>($)</w:t>
            </w:r>
          </w:p>
        </w:tc>
        <w:tc>
          <w:tcPr>
            <w:tcW w:w="1500" w:type="dxa"/>
            <w:vAlign w:val="bottom"/>
            <w:tcBorders>
              <w:bottom w:val="single" w:sz="8" w:color="646466"/>
            </w:tcBorders>
          </w:tcPr>
          <w:p>
            <w:pPr>
              <w:jc w:val="right"/>
              <w:ind w:right="542"/>
              <w:spacing w:after="0"/>
              <w:rPr>
                <w:sz w:val="20"/>
                <w:szCs w:val="20"/>
                <w:color w:val="auto"/>
              </w:rPr>
            </w:pPr>
            <w:r>
              <w:rPr>
                <w:rFonts w:ascii="Arial" w:cs="Arial" w:eastAsia="Arial" w:hAnsi="Arial"/>
                <w:sz w:val="20"/>
                <w:szCs w:val="20"/>
                <w:b w:val="1"/>
                <w:bCs w:val="1"/>
                <w:color w:val="3A5575"/>
              </w:rPr>
              <w:t>($)</w:t>
            </w:r>
          </w:p>
        </w:tc>
        <w:tc>
          <w:tcPr>
            <w:tcW w:w="1460" w:type="dxa"/>
            <w:vAlign w:val="bottom"/>
            <w:tcBorders>
              <w:bottom w:val="single" w:sz="8" w:color="646466"/>
            </w:tcBorders>
            <w:gridSpan w:val="2"/>
          </w:tcPr>
          <w:p>
            <w:pPr>
              <w:jc w:val="center"/>
              <w:ind w:left="2"/>
              <w:spacing w:after="0"/>
              <w:rPr>
                <w:sz w:val="20"/>
                <w:szCs w:val="20"/>
                <w:color w:val="auto"/>
              </w:rPr>
            </w:pPr>
            <w:r>
              <w:rPr>
                <w:rFonts w:ascii="Arial" w:cs="Arial" w:eastAsia="Arial" w:hAnsi="Arial"/>
                <w:sz w:val="20"/>
                <w:szCs w:val="20"/>
                <w:b w:val="1"/>
                <w:bCs w:val="1"/>
                <w:color w:val="3A5575"/>
                <w:w w:val="97"/>
              </w:rPr>
              <w:t>($)</w:t>
            </w:r>
          </w:p>
        </w:tc>
        <w:tc>
          <w:tcPr>
            <w:tcW w:w="16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14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Performance Shares</w:t>
            </w:r>
          </w:p>
        </w:tc>
        <w:tc>
          <w:tcPr>
            <w:tcW w:w="1500" w:type="dxa"/>
            <w:vAlign w:val="bottom"/>
            <w:shd w:val="clear" w:color="auto" w:fill="E3E5EB"/>
          </w:tcPr>
          <w:p>
            <w:pPr>
              <w:jc w:val="right"/>
              <w:ind w:right="182"/>
              <w:spacing w:after="0" w:line="213" w:lineRule="exact"/>
              <w:rPr>
                <w:sz w:val="20"/>
                <w:szCs w:val="20"/>
                <w:color w:val="auto"/>
              </w:rPr>
            </w:pPr>
            <w:r>
              <w:rPr>
                <w:rFonts w:ascii="Arial" w:cs="Arial" w:eastAsia="Arial" w:hAnsi="Arial"/>
                <w:sz w:val="20"/>
                <w:szCs w:val="20"/>
                <w:color w:val="auto"/>
              </w:rPr>
              <w:t>1,578,186</w:t>
            </w:r>
          </w:p>
        </w:tc>
        <w:tc>
          <w:tcPr>
            <w:tcW w:w="1300" w:type="dxa"/>
            <w:vAlign w:val="bottom"/>
            <w:shd w:val="clear" w:color="auto" w:fill="E3E5EB"/>
          </w:tcPr>
          <w:p>
            <w:pPr>
              <w:jc w:val="right"/>
              <w:ind w:right="122"/>
              <w:spacing w:after="0" w:line="213" w:lineRule="exact"/>
              <w:rPr>
                <w:sz w:val="20"/>
                <w:szCs w:val="20"/>
                <w:color w:val="auto"/>
              </w:rPr>
            </w:pPr>
            <w:r>
              <w:rPr>
                <w:rFonts w:ascii="Arial" w:cs="Arial" w:eastAsia="Arial" w:hAnsi="Arial"/>
                <w:sz w:val="20"/>
                <w:szCs w:val="20"/>
                <w:color w:val="auto"/>
              </w:rPr>
              <w:t>1,169,121</w:t>
            </w:r>
          </w:p>
        </w:tc>
        <w:tc>
          <w:tcPr>
            <w:tcW w:w="1500" w:type="dxa"/>
            <w:vAlign w:val="bottom"/>
            <w:shd w:val="clear" w:color="auto" w:fill="E3E5EB"/>
          </w:tcPr>
          <w:p>
            <w:pPr>
              <w:jc w:val="right"/>
              <w:ind w:right="302"/>
              <w:spacing w:after="0" w:line="213" w:lineRule="exact"/>
              <w:rPr>
                <w:sz w:val="20"/>
                <w:szCs w:val="20"/>
                <w:color w:val="auto"/>
              </w:rPr>
            </w:pPr>
            <w:r>
              <w:rPr>
                <w:rFonts w:ascii="Arial" w:cs="Arial" w:eastAsia="Arial" w:hAnsi="Arial"/>
                <w:sz w:val="20"/>
                <w:szCs w:val="20"/>
                <w:color w:val="auto"/>
              </w:rPr>
              <w:t>572,159</w:t>
            </w:r>
          </w:p>
        </w:tc>
        <w:tc>
          <w:tcPr>
            <w:tcW w:w="1460" w:type="dxa"/>
            <w:vAlign w:val="bottom"/>
            <w:gridSpan w:val="2"/>
            <w:shd w:val="clear" w:color="auto" w:fill="E3E5EB"/>
          </w:tcPr>
          <w:p>
            <w:pPr>
              <w:jc w:val="center"/>
              <w:ind w:left="22"/>
              <w:spacing w:after="0" w:line="213"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Pr>
          <w:p>
            <w:pPr>
              <w:spacing w:after="0" w:line="221" w:lineRule="exact"/>
              <w:rPr>
                <w:sz w:val="20"/>
                <w:szCs w:val="20"/>
                <w:color w:val="auto"/>
              </w:rPr>
            </w:pPr>
            <w:r>
              <w:rPr>
                <w:rFonts w:ascii="Arial" w:cs="Arial" w:eastAsia="Arial" w:hAnsi="Arial"/>
                <w:sz w:val="20"/>
                <w:szCs w:val="20"/>
                <w:color w:val="auto"/>
              </w:rPr>
              <w:t>RSUs</w:t>
            </w:r>
          </w:p>
        </w:tc>
        <w:tc>
          <w:tcPr>
            <w:tcW w:w="1500" w:type="dxa"/>
            <w:vAlign w:val="bottom"/>
          </w:tcPr>
          <w:p>
            <w:pPr>
              <w:jc w:val="right"/>
              <w:ind w:right="182"/>
              <w:spacing w:after="0" w:line="221" w:lineRule="exact"/>
              <w:rPr>
                <w:sz w:val="20"/>
                <w:szCs w:val="20"/>
                <w:color w:val="auto"/>
              </w:rPr>
            </w:pPr>
            <w:r>
              <w:rPr>
                <w:rFonts w:ascii="Arial" w:cs="Arial" w:eastAsia="Arial" w:hAnsi="Arial"/>
                <w:sz w:val="20"/>
                <w:szCs w:val="20"/>
                <w:color w:val="auto"/>
              </w:rPr>
              <w:t>1,051,554</w:t>
            </w:r>
          </w:p>
        </w:tc>
        <w:tc>
          <w:tcPr>
            <w:tcW w:w="1300" w:type="dxa"/>
            <w:vAlign w:val="bottom"/>
          </w:tcPr>
          <w:p>
            <w:pPr>
              <w:jc w:val="right"/>
              <w:ind w:right="122"/>
              <w:spacing w:after="0" w:line="221" w:lineRule="exact"/>
              <w:rPr>
                <w:sz w:val="20"/>
                <w:szCs w:val="20"/>
                <w:color w:val="auto"/>
              </w:rPr>
            </w:pPr>
            <w:r>
              <w:rPr>
                <w:rFonts w:ascii="Arial" w:cs="Arial" w:eastAsia="Arial" w:hAnsi="Arial"/>
                <w:sz w:val="20"/>
                <w:szCs w:val="20"/>
                <w:color w:val="auto"/>
              </w:rPr>
              <w:t>981,458</w:t>
            </w:r>
          </w:p>
        </w:tc>
        <w:tc>
          <w:tcPr>
            <w:tcW w:w="1500" w:type="dxa"/>
            <w:vAlign w:val="bottom"/>
          </w:tcPr>
          <w:p>
            <w:pPr>
              <w:jc w:val="right"/>
              <w:ind w:right="302"/>
              <w:spacing w:after="0" w:line="221" w:lineRule="exact"/>
              <w:rPr>
                <w:sz w:val="20"/>
                <w:szCs w:val="20"/>
                <w:color w:val="auto"/>
              </w:rPr>
            </w:pPr>
            <w:r>
              <w:rPr>
                <w:rFonts w:ascii="Arial" w:cs="Arial" w:eastAsia="Arial" w:hAnsi="Arial"/>
                <w:sz w:val="20"/>
                <w:szCs w:val="20"/>
                <w:color w:val="auto"/>
              </w:rPr>
              <w:t>281,422</w:t>
            </w:r>
          </w:p>
        </w:tc>
        <w:tc>
          <w:tcPr>
            <w:tcW w:w="1460" w:type="dxa"/>
            <w:vAlign w:val="bottom"/>
            <w:gridSpan w:val="2"/>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Severance Benefits</w:t>
            </w:r>
          </w:p>
        </w:tc>
        <w:tc>
          <w:tcPr>
            <w:tcW w:w="1500" w:type="dxa"/>
            <w:vAlign w:val="bottom"/>
            <w:shd w:val="clear" w:color="auto" w:fill="E3E5EB"/>
          </w:tcPr>
          <w:p>
            <w:pPr>
              <w:jc w:val="right"/>
              <w:ind w:right="182"/>
              <w:spacing w:after="0" w:line="221" w:lineRule="exact"/>
              <w:rPr>
                <w:sz w:val="20"/>
                <w:szCs w:val="20"/>
                <w:color w:val="auto"/>
              </w:rPr>
            </w:pPr>
            <w:r>
              <w:rPr>
                <w:rFonts w:ascii="Arial" w:cs="Arial" w:eastAsia="Arial" w:hAnsi="Arial"/>
                <w:sz w:val="20"/>
                <w:szCs w:val="20"/>
                <w:color w:val="auto"/>
              </w:rPr>
              <w:t>3,069,956</w:t>
            </w:r>
          </w:p>
        </w:tc>
        <w:tc>
          <w:tcPr>
            <w:tcW w:w="1300" w:type="dxa"/>
            <w:vAlign w:val="bottom"/>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0</w:t>
            </w:r>
          </w:p>
        </w:tc>
        <w:tc>
          <w:tcPr>
            <w:tcW w:w="1500" w:type="dxa"/>
            <w:vAlign w:val="bottom"/>
            <w:shd w:val="clear" w:color="auto" w:fill="E3E5EB"/>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gridSpan w:val="2"/>
            <w:shd w:val="clear" w:color="auto" w:fill="E3E5EB"/>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1"/>
        </w:trPr>
        <w:tc>
          <w:tcPr>
            <w:tcW w:w="14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0" w:type="dxa"/>
            <w:vAlign w:val="bottom"/>
          </w:tcPr>
          <w:p>
            <w:pPr>
              <w:spacing w:after="0" w:line="191" w:lineRule="exact"/>
              <w:rPr>
                <w:sz w:val="20"/>
                <w:szCs w:val="20"/>
                <w:color w:val="auto"/>
              </w:rPr>
            </w:pPr>
            <w:r>
              <w:rPr>
                <w:rFonts w:ascii="Arial" w:cs="Arial" w:eastAsia="Arial" w:hAnsi="Arial"/>
                <w:sz w:val="20"/>
                <w:szCs w:val="20"/>
                <w:color w:val="auto"/>
              </w:rPr>
              <w:t>Present Value of Medical,</w:t>
            </w:r>
          </w:p>
        </w:tc>
        <w:tc>
          <w:tcPr>
            <w:tcW w:w="150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150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Pr>
          <w:p>
            <w:pPr>
              <w:ind w:left="180"/>
              <w:spacing w:after="0" w:line="221" w:lineRule="exact"/>
              <w:rPr>
                <w:sz w:val="20"/>
                <w:szCs w:val="20"/>
                <w:color w:val="auto"/>
              </w:rPr>
            </w:pPr>
            <w:r>
              <w:rPr>
                <w:rFonts w:ascii="Arial" w:cs="Arial" w:eastAsia="Arial" w:hAnsi="Arial"/>
                <w:sz w:val="20"/>
                <w:szCs w:val="20"/>
                <w:color w:val="auto"/>
              </w:rPr>
              <w:t>Dental, and Life Insurance</w:t>
            </w:r>
          </w:p>
        </w:tc>
        <w:tc>
          <w:tcPr>
            <w:tcW w:w="150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1"/>
        </w:trPr>
        <w:tc>
          <w:tcPr>
            <w:tcW w:w="14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0" w:type="dxa"/>
            <w:vAlign w:val="bottom"/>
          </w:tcPr>
          <w:p>
            <w:pPr>
              <w:ind w:left="180"/>
              <w:spacing w:after="0"/>
              <w:rPr>
                <w:sz w:val="20"/>
                <w:szCs w:val="20"/>
                <w:color w:val="auto"/>
              </w:rPr>
            </w:pPr>
            <w:r>
              <w:rPr>
                <w:rFonts w:ascii="Arial" w:cs="Arial" w:eastAsia="Arial" w:hAnsi="Arial"/>
                <w:sz w:val="20"/>
                <w:szCs w:val="20"/>
                <w:color w:val="auto"/>
              </w:rPr>
              <w:t>Benefits</w:t>
            </w:r>
          </w:p>
        </w:tc>
        <w:tc>
          <w:tcPr>
            <w:tcW w:w="1500" w:type="dxa"/>
            <w:vAlign w:val="bottom"/>
          </w:tcPr>
          <w:p>
            <w:pPr>
              <w:jc w:val="right"/>
              <w:ind w:right="182"/>
              <w:spacing w:after="0"/>
              <w:rPr>
                <w:sz w:val="20"/>
                <w:szCs w:val="20"/>
                <w:color w:val="auto"/>
              </w:rPr>
            </w:pPr>
            <w:r>
              <w:rPr>
                <w:rFonts w:ascii="Arial" w:cs="Arial" w:eastAsia="Arial" w:hAnsi="Arial"/>
                <w:sz w:val="20"/>
                <w:szCs w:val="20"/>
                <w:color w:val="auto"/>
              </w:rPr>
              <w:t>35,606</w:t>
            </w:r>
          </w:p>
        </w:tc>
        <w:tc>
          <w:tcPr>
            <w:tcW w:w="1300" w:type="dxa"/>
            <w:vAlign w:val="bottom"/>
          </w:tcPr>
          <w:p>
            <w:pPr>
              <w:jc w:val="right"/>
              <w:ind w:right="122"/>
              <w:spacing w:after="0"/>
              <w:rPr>
                <w:sz w:val="20"/>
                <w:szCs w:val="20"/>
                <w:color w:val="auto"/>
              </w:rPr>
            </w:pPr>
            <w:r>
              <w:rPr>
                <w:rFonts w:ascii="Arial" w:cs="Arial" w:eastAsia="Arial" w:hAnsi="Arial"/>
                <w:sz w:val="20"/>
                <w:szCs w:val="20"/>
                <w:color w:val="auto"/>
              </w:rPr>
              <w:t>0</w:t>
            </w:r>
          </w:p>
        </w:tc>
        <w:tc>
          <w:tcPr>
            <w:tcW w:w="1500" w:type="dxa"/>
            <w:vAlign w:val="bottom"/>
          </w:tcPr>
          <w:p>
            <w:pPr>
              <w:jc w:val="right"/>
              <w:ind w:right="302"/>
              <w:spacing w:after="0"/>
              <w:rPr>
                <w:sz w:val="20"/>
                <w:szCs w:val="20"/>
                <w:color w:val="auto"/>
              </w:rPr>
            </w:pPr>
            <w:r>
              <w:rPr>
                <w:rFonts w:ascii="Arial" w:cs="Arial" w:eastAsia="Arial" w:hAnsi="Arial"/>
                <w:sz w:val="20"/>
                <w:szCs w:val="20"/>
                <w:color w:val="auto"/>
              </w:rPr>
              <w:t>0</w:t>
            </w:r>
          </w:p>
        </w:tc>
        <w:tc>
          <w:tcPr>
            <w:tcW w:w="1460" w:type="dxa"/>
            <w:vAlign w:val="bottom"/>
            <w:gridSpan w:val="2"/>
          </w:tcPr>
          <w:p>
            <w:pPr>
              <w:jc w:val="center"/>
              <w:ind w:left="22"/>
              <w:spacing w:after="0"/>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shd w:val="clear" w:color="auto" w:fill="E3E5EB"/>
          </w:tcPr>
          <w:p>
            <w:pPr>
              <w:spacing w:after="0" w:line="221" w:lineRule="exact"/>
              <w:rPr>
                <w:sz w:val="20"/>
                <w:szCs w:val="20"/>
                <w:color w:val="auto"/>
              </w:rPr>
            </w:pPr>
            <w:r>
              <w:rPr>
                <w:rFonts w:ascii="Arial" w:cs="Arial" w:eastAsia="Arial" w:hAnsi="Arial"/>
                <w:sz w:val="20"/>
                <w:szCs w:val="20"/>
                <w:color w:val="auto"/>
              </w:rPr>
              <w:t>Outplacement Services</w:t>
            </w:r>
          </w:p>
        </w:tc>
        <w:tc>
          <w:tcPr>
            <w:tcW w:w="1500" w:type="dxa"/>
            <w:vAlign w:val="bottom"/>
            <w:shd w:val="clear" w:color="auto" w:fill="E3E5EB"/>
          </w:tcPr>
          <w:p>
            <w:pPr>
              <w:jc w:val="right"/>
              <w:ind w:right="182"/>
              <w:spacing w:after="0" w:line="221" w:lineRule="exact"/>
              <w:rPr>
                <w:sz w:val="20"/>
                <w:szCs w:val="20"/>
                <w:color w:val="auto"/>
              </w:rPr>
            </w:pPr>
            <w:r>
              <w:rPr>
                <w:rFonts w:ascii="Arial" w:cs="Arial" w:eastAsia="Arial" w:hAnsi="Arial"/>
                <w:sz w:val="20"/>
                <w:szCs w:val="20"/>
                <w:color w:val="auto"/>
              </w:rPr>
              <w:t>10,000</w:t>
            </w:r>
          </w:p>
        </w:tc>
        <w:tc>
          <w:tcPr>
            <w:tcW w:w="1300" w:type="dxa"/>
            <w:vAlign w:val="bottom"/>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0</w:t>
            </w:r>
          </w:p>
        </w:tc>
        <w:tc>
          <w:tcPr>
            <w:tcW w:w="1500" w:type="dxa"/>
            <w:vAlign w:val="bottom"/>
            <w:shd w:val="clear" w:color="auto" w:fill="E3E5EB"/>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gridSpan w:val="2"/>
            <w:shd w:val="clear" w:color="auto" w:fill="E3E5EB"/>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Pr>
          <w:p>
            <w:pPr>
              <w:spacing w:after="0" w:line="221" w:lineRule="exact"/>
              <w:rPr>
                <w:sz w:val="20"/>
                <w:szCs w:val="20"/>
                <w:color w:val="auto"/>
              </w:rPr>
            </w:pPr>
            <w:r>
              <w:rPr>
                <w:rFonts w:ascii="Arial" w:cs="Arial" w:eastAsia="Arial" w:hAnsi="Arial"/>
                <w:sz w:val="20"/>
                <w:szCs w:val="20"/>
                <w:color w:val="auto"/>
              </w:rPr>
              <w:t>Excise Tax Gross-Up</w:t>
            </w:r>
          </w:p>
        </w:tc>
        <w:tc>
          <w:tcPr>
            <w:tcW w:w="1500" w:type="dxa"/>
            <w:vAlign w:val="bottom"/>
          </w:tcPr>
          <w:p>
            <w:pPr>
              <w:jc w:val="right"/>
              <w:ind w:right="182"/>
              <w:spacing w:after="0" w:line="221" w:lineRule="exact"/>
              <w:rPr>
                <w:sz w:val="20"/>
                <w:szCs w:val="20"/>
                <w:color w:val="auto"/>
              </w:rPr>
            </w:pPr>
            <w:r>
              <w:rPr>
                <w:rFonts w:ascii="Arial" w:cs="Arial" w:eastAsia="Arial" w:hAnsi="Arial"/>
                <w:sz w:val="20"/>
                <w:szCs w:val="20"/>
                <w:color w:val="auto"/>
              </w:rPr>
              <w:t>2,219,270</w:t>
            </w:r>
          </w:p>
        </w:tc>
        <w:tc>
          <w:tcPr>
            <w:tcW w:w="1300" w:type="dxa"/>
            <w:vAlign w:val="bottom"/>
          </w:tcPr>
          <w:p>
            <w:pPr>
              <w:jc w:val="right"/>
              <w:ind w:right="122"/>
              <w:spacing w:after="0" w:line="221" w:lineRule="exact"/>
              <w:rPr>
                <w:sz w:val="20"/>
                <w:szCs w:val="20"/>
                <w:color w:val="auto"/>
              </w:rPr>
            </w:pPr>
            <w:r>
              <w:rPr>
                <w:rFonts w:ascii="Arial" w:cs="Arial" w:eastAsia="Arial" w:hAnsi="Arial"/>
                <w:sz w:val="20"/>
                <w:szCs w:val="20"/>
                <w:color w:val="auto"/>
              </w:rPr>
              <w:t>0</w:t>
            </w:r>
          </w:p>
        </w:tc>
        <w:tc>
          <w:tcPr>
            <w:tcW w:w="1500" w:type="dxa"/>
            <w:vAlign w:val="bottom"/>
          </w:tcPr>
          <w:p>
            <w:pPr>
              <w:jc w:val="right"/>
              <w:ind w:right="302"/>
              <w:spacing w:after="0" w:line="221" w:lineRule="exact"/>
              <w:rPr>
                <w:sz w:val="20"/>
                <w:szCs w:val="20"/>
                <w:color w:val="auto"/>
              </w:rPr>
            </w:pPr>
            <w:r>
              <w:rPr>
                <w:rFonts w:ascii="Arial" w:cs="Arial" w:eastAsia="Arial" w:hAnsi="Arial"/>
                <w:sz w:val="20"/>
                <w:szCs w:val="20"/>
                <w:color w:val="auto"/>
              </w:rPr>
              <w:t>0</w:t>
            </w:r>
          </w:p>
        </w:tc>
        <w:tc>
          <w:tcPr>
            <w:tcW w:w="1460" w:type="dxa"/>
            <w:vAlign w:val="bottom"/>
            <w:gridSpan w:val="2"/>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0" w:type="dxa"/>
            <w:vAlign w:val="bottom"/>
            <w:tcBorders>
              <w:bottom w:val="single" w:sz="8" w:color="888992"/>
            </w:tcBorders>
            <w:shd w:val="clear" w:color="auto" w:fill="E3E5EB"/>
          </w:tcPr>
          <w:p>
            <w:pPr>
              <w:spacing w:after="0" w:line="221" w:lineRule="exact"/>
              <w:rPr>
                <w:sz w:val="20"/>
                <w:szCs w:val="20"/>
                <w:color w:val="auto"/>
              </w:rPr>
            </w:pPr>
            <w:r>
              <w:rPr>
                <w:rFonts w:ascii="Arial" w:cs="Arial" w:eastAsia="Arial" w:hAnsi="Arial"/>
                <w:sz w:val="20"/>
                <w:szCs w:val="20"/>
                <w:color w:val="auto"/>
              </w:rPr>
              <w:t>TOTAL:</w:t>
            </w:r>
          </w:p>
        </w:tc>
        <w:tc>
          <w:tcPr>
            <w:tcW w:w="1500" w:type="dxa"/>
            <w:vAlign w:val="bottom"/>
            <w:tcBorders>
              <w:bottom w:val="single" w:sz="8" w:color="888992"/>
            </w:tcBorders>
            <w:shd w:val="clear" w:color="auto" w:fill="E3E5EB"/>
          </w:tcPr>
          <w:p>
            <w:pPr>
              <w:jc w:val="right"/>
              <w:ind w:right="182"/>
              <w:spacing w:after="0" w:line="221" w:lineRule="exact"/>
              <w:rPr>
                <w:sz w:val="20"/>
                <w:szCs w:val="20"/>
                <w:color w:val="auto"/>
              </w:rPr>
            </w:pPr>
            <w:r>
              <w:rPr>
                <w:rFonts w:ascii="Arial" w:cs="Arial" w:eastAsia="Arial" w:hAnsi="Arial"/>
                <w:sz w:val="20"/>
                <w:szCs w:val="20"/>
                <w:color w:val="auto"/>
              </w:rPr>
              <w:t>7,964,572</w:t>
            </w:r>
          </w:p>
        </w:tc>
        <w:tc>
          <w:tcPr>
            <w:tcW w:w="1300" w:type="dxa"/>
            <w:vAlign w:val="bottom"/>
            <w:tcBorders>
              <w:bottom w:val="single" w:sz="8" w:color="888992"/>
            </w:tcBorders>
            <w:shd w:val="clear" w:color="auto" w:fill="E3E5EB"/>
          </w:tcPr>
          <w:p>
            <w:pPr>
              <w:jc w:val="right"/>
              <w:ind w:right="122"/>
              <w:spacing w:after="0" w:line="221" w:lineRule="exact"/>
              <w:rPr>
                <w:sz w:val="20"/>
                <w:szCs w:val="20"/>
                <w:color w:val="auto"/>
              </w:rPr>
            </w:pPr>
            <w:r>
              <w:rPr>
                <w:rFonts w:ascii="Arial" w:cs="Arial" w:eastAsia="Arial" w:hAnsi="Arial"/>
                <w:sz w:val="20"/>
                <w:szCs w:val="20"/>
                <w:color w:val="auto"/>
              </w:rPr>
              <w:t>2,150,579</w:t>
            </w:r>
          </w:p>
        </w:tc>
        <w:tc>
          <w:tcPr>
            <w:tcW w:w="1500" w:type="dxa"/>
            <w:vAlign w:val="bottom"/>
            <w:tcBorders>
              <w:bottom w:val="single" w:sz="8" w:color="888992"/>
            </w:tcBorders>
            <w:shd w:val="clear" w:color="auto" w:fill="E3E5EB"/>
          </w:tcPr>
          <w:p>
            <w:pPr>
              <w:jc w:val="right"/>
              <w:ind w:right="302"/>
              <w:spacing w:after="0" w:line="221" w:lineRule="exact"/>
              <w:rPr>
                <w:sz w:val="20"/>
                <w:szCs w:val="20"/>
                <w:color w:val="auto"/>
              </w:rPr>
            </w:pPr>
            <w:r>
              <w:rPr>
                <w:rFonts w:ascii="Arial" w:cs="Arial" w:eastAsia="Arial" w:hAnsi="Arial"/>
                <w:sz w:val="20"/>
                <w:szCs w:val="20"/>
                <w:color w:val="auto"/>
              </w:rPr>
              <w:t>853,581</w:t>
            </w:r>
          </w:p>
        </w:tc>
        <w:tc>
          <w:tcPr>
            <w:tcW w:w="1460" w:type="dxa"/>
            <w:vAlign w:val="bottom"/>
            <w:tcBorders>
              <w:bottom w:val="single" w:sz="8" w:color="888992"/>
            </w:tcBorders>
            <w:gridSpan w:val="2"/>
            <w:shd w:val="clear" w:color="auto" w:fill="E3E5EB"/>
          </w:tcPr>
          <w:p>
            <w:pPr>
              <w:jc w:val="center"/>
              <w:ind w:left="22"/>
              <w:spacing w:after="0" w:line="221" w:lineRule="exact"/>
              <w:rPr>
                <w:sz w:val="20"/>
                <w:szCs w:val="20"/>
                <w:color w:val="auto"/>
              </w:rPr>
            </w:pPr>
            <w:r>
              <w:rPr>
                <w:rFonts w:ascii="Arial" w:cs="Arial" w:eastAsia="Arial" w:hAnsi="Arial"/>
                <w:sz w:val="20"/>
                <w:szCs w:val="20"/>
                <w:color w:val="auto"/>
                <w:w w:val="89"/>
              </w:rPr>
              <w:t>0</w:t>
            </w:r>
          </w:p>
        </w:tc>
        <w:tc>
          <w:tcPr>
            <w:tcW w:w="16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215900</wp:posOffset>
            </wp:positionV>
            <wp:extent cx="7232650" cy="89281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232650" cy="892810"/>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jc w:val="center"/>
        <w:ind w:right="100"/>
        <w:spacing w:after="0" w:line="301" w:lineRule="auto"/>
        <w:rPr>
          <w:sz w:val="20"/>
          <w:szCs w:val="20"/>
          <w:color w:val="auto"/>
        </w:rPr>
      </w:pPr>
      <w:r>
        <w:rPr>
          <w:rFonts w:ascii="Arial" w:cs="Arial" w:eastAsia="Arial" w:hAnsi="Arial"/>
          <w:sz w:val="39"/>
          <w:szCs w:val="39"/>
          <w:b w:val="1"/>
          <w:bCs w:val="1"/>
          <w:color w:val="3A5575"/>
        </w:rPr>
        <w:t>Human Resources Committee Interlocks and Insider Participation</w:t>
      </w:r>
    </w:p>
    <w:p>
      <w:pPr>
        <w:spacing w:after="0" w:line="238" w:lineRule="exact"/>
        <w:rPr>
          <w:sz w:val="20"/>
          <w:szCs w:val="20"/>
          <w:color w:val="auto"/>
        </w:rPr>
      </w:pPr>
    </w:p>
    <w:p>
      <w:pPr>
        <w:ind w:right="220"/>
        <w:spacing w:after="0" w:line="242" w:lineRule="auto"/>
        <w:rPr>
          <w:sz w:val="20"/>
          <w:szCs w:val="20"/>
          <w:color w:val="auto"/>
        </w:rPr>
      </w:pPr>
      <w:r>
        <w:rPr>
          <w:rFonts w:ascii="Arial" w:cs="Arial" w:eastAsia="Arial" w:hAnsi="Arial"/>
          <w:sz w:val="20"/>
          <w:szCs w:val="20"/>
          <w:color w:val="auto"/>
        </w:rPr>
        <w:t>The members of the Human Resources Committee in 2015 were Ms. Munro, Drs. Cortese and Herberger and Messrs. Fox and Lopez. None of the members of the Human Resources Committee is or has been an officer or employee of the Company or any of its subsidiaries and no executive officer of the Company served on the compensation committee or board of any company that employed, or had as an officer, any member of the Human Resources Committee or the Board.</w:t>
      </w:r>
    </w:p>
    <w:p>
      <w:pPr>
        <w:spacing w:after="0" w:line="232" w:lineRule="exact"/>
        <w:rPr>
          <w:sz w:val="20"/>
          <w:szCs w:val="20"/>
          <w:color w:val="auto"/>
        </w:rPr>
      </w:pPr>
    </w:p>
    <w:p>
      <w:pPr>
        <w:ind w:left="7480"/>
        <w:spacing w:after="0"/>
        <w:tabs>
          <w:tab w:leader="none" w:pos="932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99695</wp:posOffset>
            </wp:positionV>
            <wp:extent cx="7263765" cy="2032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520"/>
          </w:cols>
          <w:pgMar w:left="240" w:top="110" w:right="139" w:bottom="1440" w:gutter="0" w:footer="0" w:header="0"/>
        </w:sectPr>
      </w:pPr>
    </w:p>
    <w:bookmarkStart w:id="96" w:name="page97"/>
    <w:bookmarkEnd w:id="96"/>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39"/>
          <w:szCs w:val="39"/>
          <w:b w:val="1"/>
          <w:bCs w:val="1"/>
          <w:color w:val="3A5575"/>
        </w:rPr>
        <w:t>Directors' Compensation</w:t>
      </w:r>
    </w:p>
    <w:p>
      <w:pPr>
        <w:spacing w:after="0" w:line="200" w:lineRule="exact"/>
        <w:rPr>
          <w:sz w:val="20"/>
          <w:szCs w:val="20"/>
          <w:color w:val="auto"/>
        </w:rPr>
      </w:pPr>
    </w:p>
    <w:p>
      <w:pPr>
        <w:spacing w:after="0" w:line="260" w:lineRule="exact"/>
        <w:rPr>
          <w:sz w:val="20"/>
          <w:szCs w:val="20"/>
          <w:color w:val="auto"/>
        </w:rPr>
      </w:pPr>
    </w:p>
    <w:p>
      <w:pPr>
        <w:spacing w:after="0"/>
        <w:rPr>
          <w:sz w:val="20"/>
          <w:szCs w:val="20"/>
          <w:color w:val="auto"/>
        </w:rPr>
      </w:pPr>
      <w:r>
        <w:rPr>
          <w:rFonts w:ascii="Arial" w:cs="Arial" w:eastAsia="Arial" w:hAnsi="Arial"/>
          <w:sz w:val="20"/>
          <w:szCs w:val="20"/>
          <w:color w:val="auto"/>
        </w:rPr>
        <w:t>Compensation of the directors for 2015 was as follows:</w:t>
      </w:r>
    </w:p>
    <w:p>
      <w:pPr>
        <w:spacing w:after="0" w:line="200" w:lineRule="exact"/>
        <w:rPr>
          <w:sz w:val="20"/>
          <w:szCs w:val="20"/>
          <w:color w:val="auto"/>
        </w:rPr>
      </w:pPr>
    </w:p>
    <w:p>
      <w:pPr>
        <w:spacing w:after="0" w:line="341" w:lineRule="exact"/>
        <w:rPr>
          <w:sz w:val="20"/>
          <w:szCs w:val="20"/>
          <w:color w:val="auto"/>
        </w:rPr>
      </w:pPr>
    </w:p>
    <w:tbl>
      <w:tblPr>
        <w:tblLayout w:type="fixed"/>
        <w:tblInd w:w="1460" w:type="dxa"/>
        <w:tblCellMar>
          <w:top w:w="0" w:type="dxa"/>
          <w:left w:w="0" w:type="dxa"/>
          <w:bottom w:w="0" w:type="dxa"/>
          <w:right w:w="0" w:type="dxa"/>
        </w:tblCellMar>
      </w:tblP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7"/>
              </w:rPr>
              <w:t>CHANGE IN</w:t>
            </w:r>
          </w:p>
        </w:tc>
        <w:tc>
          <w:tcPr>
            <w:tcW w:w="1420" w:type="dxa"/>
            <w:vAlign w:val="bottom"/>
          </w:tcPr>
          <w:p>
            <w:pPr>
              <w:spacing w:after="0"/>
              <w:rPr>
                <w:sz w:val="16"/>
                <w:szCs w:val="16"/>
                <w:color w:val="auto"/>
              </w:rPr>
            </w:pPr>
          </w:p>
        </w:tc>
        <w:tc>
          <w:tcPr>
            <w:tcW w:w="64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9"/>
              </w:rPr>
              <w:t>PENSION</w:t>
            </w:r>
          </w:p>
        </w:tc>
        <w:tc>
          <w:tcPr>
            <w:tcW w:w="1420" w:type="dxa"/>
            <w:vAlign w:val="bottom"/>
          </w:tcPr>
          <w:p>
            <w:pPr>
              <w:spacing w:after="0"/>
              <w:rPr>
                <w:sz w:val="16"/>
                <w:szCs w:val="16"/>
                <w:color w:val="auto"/>
              </w:rPr>
            </w:pPr>
          </w:p>
        </w:tc>
        <w:tc>
          <w:tcPr>
            <w:tcW w:w="64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8"/>
              </w:rPr>
              <w:t>VALUE AND</w:t>
            </w:r>
          </w:p>
        </w:tc>
        <w:tc>
          <w:tcPr>
            <w:tcW w:w="1420" w:type="dxa"/>
            <w:vAlign w:val="bottom"/>
          </w:tcPr>
          <w:p>
            <w:pPr>
              <w:spacing w:after="0"/>
              <w:rPr>
                <w:sz w:val="16"/>
                <w:szCs w:val="16"/>
                <w:color w:val="auto"/>
              </w:rPr>
            </w:pPr>
          </w:p>
        </w:tc>
        <w:tc>
          <w:tcPr>
            <w:tcW w:w="64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8"/>
              </w:rPr>
              <w:t>NONQUALIFIED</w:t>
            </w:r>
          </w:p>
        </w:tc>
        <w:tc>
          <w:tcPr>
            <w:tcW w:w="1420" w:type="dxa"/>
            <w:vAlign w:val="bottom"/>
          </w:tcPr>
          <w:p>
            <w:pPr>
              <w:spacing w:after="0"/>
              <w:rPr>
                <w:sz w:val="16"/>
                <w:szCs w:val="16"/>
                <w:color w:val="auto"/>
              </w:rPr>
            </w:pPr>
          </w:p>
        </w:tc>
        <w:tc>
          <w:tcPr>
            <w:tcW w:w="640" w:type="dxa"/>
            <w:vAlign w:val="bottom"/>
          </w:tcPr>
          <w:p>
            <w:pPr>
              <w:spacing w:after="0"/>
              <w:rPr>
                <w:sz w:val="16"/>
                <w:szCs w:val="16"/>
                <w:color w:val="auto"/>
              </w:rPr>
            </w:pPr>
          </w:p>
        </w:tc>
      </w:tr>
      <w:tr>
        <w:trPr>
          <w:trHeight w:val="203"/>
        </w:trPr>
        <w:tc>
          <w:tcPr>
            <w:tcW w:w="20" w:type="dxa"/>
            <w:vAlign w:val="bottom"/>
          </w:tcPr>
          <w:p>
            <w:pPr>
              <w:spacing w:after="0"/>
              <w:rPr>
                <w:sz w:val="17"/>
                <w:szCs w:val="17"/>
                <w:color w:val="auto"/>
              </w:rPr>
            </w:pPr>
          </w:p>
        </w:tc>
        <w:tc>
          <w:tcPr>
            <w:tcW w:w="2500" w:type="dxa"/>
            <w:vAlign w:val="bottom"/>
          </w:tcPr>
          <w:p>
            <w:pPr>
              <w:spacing w:after="0"/>
              <w:rPr>
                <w:sz w:val="17"/>
                <w:szCs w:val="17"/>
                <w:color w:val="auto"/>
              </w:rPr>
            </w:pPr>
          </w:p>
        </w:tc>
        <w:tc>
          <w:tcPr>
            <w:tcW w:w="1760" w:type="dxa"/>
            <w:vAlign w:val="bottom"/>
          </w:tcPr>
          <w:p>
            <w:pPr>
              <w:jc w:val="center"/>
              <w:ind w:left="380"/>
              <w:spacing w:after="0"/>
              <w:rPr>
                <w:sz w:val="20"/>
                <w:szCs w:val="20"/>
                <w:color w:val="auto"/>
              </w:rPr>
            </w:pPr>
            <w:r>
              <w:rPr>
                <w:rFonts w:ascii="Arial" w:cs="Arial" w:eastAsia="Arial" w:hAnsi="Arial"/>
                <w:sz w:val="16"/>
                <w:szCs w:val="16"/>
                <w:b w:val="1"/>
                <w:bCs w:val="1"/>
                <w:color w:val="3A5575"/>
              </w:rPr>
              <w:t>FEES EARNED</w:t>
            </w:r>
          </w:p>
        </w:tc>
        <w:tc>
          <w:tcPr>
            <w:tcW w:w="820" w:type="dxa"/>
            <w:vAlign w:val="bottom"/>
          </w:tcPr>
          <w:p>
            <w:pPr>
              <w:spacing w:after="0"/>
              <w:rPr>
                <w:sz w:val="17"/>
                <w:szCs w:val="17"/>
                <w:color w:val="auto"/>
              </w:rPr>
            </w:pP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9"/>
              </w:rPr>
              <w:t>DEFERRED</w:t>
            </w:r>
          </w:p>
        </w:tc>
        <w:tc>
          <w:tcPr>
            <w:tcW w:w="1420" w:type="dxa"/>
            <w:vAlign w:val="bottom"/>
          </w:tcPr>
          <w:p>
            <w:pPr>
              <w:spacing w:after="0"/>
              <w:rPr>
                <w:sz w:val="17"/>
                <w:szCs w:val="17"/>
                <w:color w:val="auto"/>
              </w:rPr>
            </w:pPr>
          </w:p>
        </w:tc>
        <w:tc>
          <w:tcPr>
            <w:tcW w:w="640" w:type="dxa"/>
            <w:vAlign w:val="bottom"/>
          </w:tcPr>
          <w:p>
            <w:pPr>
              <w:spacing w:after="0"/>
              <w:rPr>
                <w:sz w:val="17"/>
                <w:szCs w:val="17"/>
                <w:color w:val="auto"/>
              </w:rPr>
            </w:pPr>
          </w:p>
        </w:tc>
      </w:t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jc w:val="center"/>
              <w:ind w:left="380"/>
              <w:spacing w:after="0"/>
              <w:rPr>
                <w:sz w:val="20"/>
                <w:szCs w:val="20"/>
                <w:color w:val="auto"/>
              </w:rPr>
            </w:pPr>
            <w:r>
              <w:rPr>
                <w:rFonts w:ascii="Arial" w:cs="Arial" w:eastAsia="Arial" w:hAnsi="Arial"/>
                <w:sz w:val="16"/>
                <w:szCs w:val="16"/>
                <w:b w:val="1"/>
                <w:bCs w:val="1"/>
                <w:color w:val="3A5575"/>
                <w:w w:val="98"/>
              </w:rPr>
              <w:t>OR PAID</w:t>
            </w:r>
          </w:p>
        </w:tc>
        <w:tc>
          <w:tcPr>
            <w:tcW w:w="820" w:type="dxa"/>
            <w:vAlign w:val="bottom"/>
          </w:tcPr>
          <w:p>
            <w:pPr>
              <w:jc w:val="center"/>
              <w:spacing w:after="0"/>
              <w:rPr>
                <w:sz w:val="20"/>
                <w:szCs w:val="20"/>
                <w:color w:val="auto"/>
              </w:rPr>
            </w:pPr>
            <w:r>
              <w:rPr>
                <w:rFonts w:ascii="Arial" w:cs="Arial" w:eastAsia="Arial" w:hAnsi="Arial"/>
                <w:sz w:val="16"/>
                <w:szCs w:val="16"/>
                <w:b w:val="1"/>
                <w:bCs w:val="1"/>
                <w:color w:val="3A5575"/>
                <w:w w:val="99"/>
              </w:rPr>
              <w:t>STOCK</w:t>
            </w: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7"/>
              </w:rPr>
              <w:t>COMPENSATION</w:t>
            </w: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rPr>
              <w:t>ALL OTHER</w:t>
            </w:r>
          </w:p>
        </w:tc>
        <w:tc>
          <w:tcPr>
            <w:tcW w:w="640" w:type="dxa"/>
            <w:vAlign w:val="bottom"/>
          </w:tcPr>
          <w:p>
            <w:pPr>
              <w:spacing w:after="0"/>
              <w:rPr>
                <w:sz w:val="16"/>
                <w:szCs w:val="16"/>
                <w:color w:val="auto"/>
              </w:rPr>
            </w:pPr>
          </w:p>
        </w:tc>
      </w:tr>
      <w:tr>
        <w:trPr>
          <w:trHeight w:val="184"/>
        </w:trPr>
        <w:tc>
          <w:tcPr>
            <w:tcW w:w="20" w:type="dxa"/>
            <w:vAlign w:val="bottom"/>
          </w:tcPr>
          <w:p>
            <w:pPr>
              <w:spacing w:after="0"/>
              <w:rPr>
                <w:sz w:val="16"/>
                <w:szCs w:val="16"/>
                <w:color w:val="auto"/>
              </w:rPr>
            </w:pPr>
          </w:p>
        </w:tc>
        <w:tc>
          <w:tcPr>
            <w:tcW w:w="2500" w:type="dxa"/>
            <w:vAlign w:val="bottom"/>
          </w:tcPr>
          <w:p>
            <w:pPr>
              <w:spacing w:after="0"/>
              <w:rPr>
                <w:sz w:val="16"/>
                <w:szCs w:val="16"/>
                <w:color w:val="auto"/>
              </w:rPr>
            </w:pPr>
          </w:p>
        </w:tc>
        <w:tc>
          <w:tcPr>
            <w:tcW w:w="1760" w:type="dxa"/>
            <w:vAlign w:val="bottom"/>
          </w:tcPr>
          <w:p>
            <w:pPr>
              <w:jc w:val="center"/>
              <w:ind w:left="380"/>
              <w:spacing w:after="0"/>
              <w:rPr>
                <w:sz w:val="20"/>
                <w:szCs w:val="20"/>
                <w:color w:val="auto"/>
              </w:rPr>
            </w:pPr>
            <w:r>
              <w:rPr>
                <w:rFonts w:ascii="Arial" w:cs="Arial" w:eastAsia="Arial" w:hAnsi="Arial"/>
                <w:sz w:val="16"/>
                <w:szCs w:val="16"/>
                <w:b w:val="1"/>
                <w:bCs w:val="1"/>
                <w:color w:val="3A5575"/>
              </w:rPr>
              <w:t>IN CASH</w:t>
            </w:r>
          </w:p>
        </w:tc>
        <w:tc>
          <w:tcPr>
            <w:tcW w:w="820" w:type="dxa"/>
            <w:vAlign w:val="bottom"/>
          </w:tcPr>
          <w:p>
            <w:pPr>
              <w:jc w:val="center"/>
              <w:spacing w:after="0"/>
              <w:rPr>
                <w:sz w:val="20"/>
                <w:szCs w:val="20"/>
                <w:color w:val="auto"/>
              </w:rPr>
            </w:pPr>
            <w:r>
              <w:rPr>
                <w:rFonts w:ascii="Arial" w:cs="Arial" w:eastAsia="Arial" w:hAnsi="Arial"/>
                <w:sz w:val="16"/>
                <w:szCs w:val="16"/>
                <w:b w:val="1"/>
                <w:bCs w:val="1"/>
                <w:color w:val="3A5575"/>
                <w:w w:val="97"/>
              </w:rPr>
              <w:t>AWARDS</w:t>
            </w: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9"/>
              </w:rPr>
              <w:t>EARNINGS</w:t>
            </w:r>
          </w:p>
        </w:tc>
        <w:tc>
          <w:tcPr>
            <w:tcW w:w="1420" w:type="dxa"/>
            <w:vAlign w:val="bottom"/>
          </w:tcPr>
          <w:p>
            <w:pPr>
              <w:jc w:val="center"/>
              <w:spacing w:after="0"/>
              <w:rPr>
                <w:sz w:val="20"/>
                <w:szCs w:val="20"/>
                <w:color w:val="auto"/>
              </w:rPr>
            </w:pPr>
            <w:r>
              <w:rPr>
                <w:rFonts w:ascii="Arial" w:cs="Arial" w:eastAsia="Arial" w:hAnsi="Arial"/>
                <w:sz w:val="16"/>
                <w:szCs w:val="16"/>
                <w:b w:val="1"/>
                <w:bCs w:val="1"/>
                <w:color w:val="3A5575"/>
                <w:w w:val="97"/>
              </w:rPr>
              <w:t>COMPENSATION</w:t>
            </w:r>
          </w:p>
        </w:tc>
        <w:tc>
          <w:tcPr>
            <w:tcW w:w="640" w:type="dxa"/>
            <w:vAlign w:val="bottom"/>
          </w:tcPr>
          <w:p>
            <w:pPr>
              <w:jc w:val="right"/>
              <w:spacing w:after="0"/>
              <w:rPr>
                <w:sz w:val="20"/>
                <w:szCs w:val="20"/>
                <w:color w:val="auto"/>
              </w:rPr>
            </w:pPr>
            <w:r>
              <w:rPr>
                <w:rFonts w:ascii="Arial" w:cs="Arial" w:eastAsia="Arial" w:hAnsi="Arial"/>
                <w:sz w:val="16"/>
                <w:szCs w:val="16"/>
                <w:b w:val="1"/>
                <w:bCs w:val="1"/>
                <w:color w:val="3A5575"/>
              </w:rPr>
              <w:t>TOTAL</w:t>
            </w:r>
          </w:p>
        </w:tc>
      </w:tr>
      <w:tr>
        <w:trPr>
          <w:trHeight w:val="221"/>
        </w:trPr>
        <w:tc>
          <w:tcPr>
            <w:tcW w:w="2520" w:type="dxa"/>
            <w:vAlign w:val="bottom"/>
            <w:tcBorders>
              <w:bottom w:val="single" w:sz="8" w:color="395775"/>
            </w:tcBorders>
            <w:gridSpan w:val="2"/>
          </w:tcPr>
          <w:p>
            <w:pPr>
              <w:spacing w:after="0"/>
              <w:rPr>
                <w:sz w:val="20"/>
                <w:szCs w:val="20"/>
                <w:color w:val="auto"/>
              </w:rPr>
            </w:pPr>
            <w:r>
              <w:rPr>
                <w:rFonts w:ascii="Arial" w:cs="Arial" w:eastAsia="Arial" w:hAnsi="Arial"/>
                <w:sz w:val="16"/>
                <w:szCs w:val="16"/>
                <w:b w:val="1"/>
                <w:bCs w:val="1"/>
                <w:color w:val="3A5575"/>
              </w:rPr>
              <w:t>NAME</w:t>
            </w:r>
          </w:p>
        </w:tc>
        <w:tc>
          <w:tcPr>
            <w:tcW w:w="1760" w:type="dxa"/>
            <w:vAlign w:val="bottom"/>
            <w:tcBorders>
              <w:bottom w:val="single" w:sz="8" w:color="395775"/>
            </w:tcBorders>
          </w:tcPr>
          <w:p>
            <w:pPr>
              <w:jc w:val="center"/>
              <w:ind w:left="360"/>
              <w:spacing w:after="0"/>
              <w:rPr>
                <w:sz w:val="20"/>
                <w:szCs w:val="20"/>
                <w:color w:val="auto"/>
              </w:rPr>
            </w:pPr>
            <w:r>
              <w:rPr>
                <w:rFonts w:ascii="Arial" w:cs="Arial" w:eastAsia="Arial" w:hAnsi="Arial"/>
                <w:sz w:val="16"/>
                <w:szCs w:val="16"/>
                <w:b w:val="1"/>
                <w:bCs w:val="1"/>
                <w:color w:val="3A5575"/>
              </w:rPr>
              <w:t>($)</w:t>
            </w:r>
          </w:p>
        </w:tc>
        <w:tc>
          <w:tcPr>
            <w:tcW w:w="820" w:type="dxa"/>
            <w:vAlign w:val="bottom"/>
            <w:tcBorders>
              <w:bottom w:val="single" w:sz="8" w:color="395775"/>
            </w:tcBorders>
          </w:tcPr>
          <w:p>
            <w:pPr>
              <w:jc w:val="center"/>
              <w:spacing w:after="0" w:line="221" w:lineRule="exact"/>
              <w:rPr>
                <w:sz w:val="20"/>
                <w:szCs w:val="20"/>
                <w:color w:val="auto"/>
              </w:rPr>
            </w:pPr>
            <w:r>
              <w:rPr>
                <w:rFonts w:ascii="Arial" w:cs="Arial" w:eastAsia="Arial" w:hAnsi="Arial"/>
                <w:sz w:val="15"/>
                <w:szCs w:val="15"/>
                <w:b w:val="1"/>
                <w:bCs w:val="1"/>
                <w:color w:val="3A5575"/>
                <w:w w:val="92"/>
              </w:rPr>
              <w:t>($)</w:t>
            </w:r>
            <w:r>
              <w:rPr>
                <w:rFonts w:ascii="Arial" w:cs="Arial" w:eastAsia="Arial" w:hAnsi="Arial"/>
                <w:sz w:val="25"/>
                <w:szCs w:val="25"/>
                <w:b w:val="1"/>
                <w:bCs w:val="1"/>
                <w:color w:val="3A5575"/>
                <w:w w:val="92"/>
                <w:vertAlign w:val="superscript"/>
              </w:rPr>
              <w:t>(1)</w:t>
            </w:r>
          </w:p>
        </w:tc>
        <w:tc>
          <w:tcPr>
            <w:tcW w:w="1420" w:type="dxa"/>
            <w:vAlign w:val="bottom"/>
            <w:tcBorders>
              <w:bottom w:val="single" w:sz="8" w:color="395775"/>
            </w:tcBorders>
          </w:tcPr>
          <w:p>
            <w:pPr>
              <w:jc w:val="center"/>
              <w:spacing w:after="0" w:line="221" w:lineRule="exact"/>
              <w:rPr>
                <w:sz w:val="20"/>
                <w:szCs w:val="20"/>
                <w:color w:val="auto"/>
              </w:rPr>
            </w:pPr>
            <w:r>
              <w:rPr>
                <w:rFonts w:ascii="Arial" w:cs="Arial" w:eastAsia="Arial" w:hAnsi="Arial"/>
                <w:sz w:val="15"/>
                <w:szCs w:val="15"/>
                <w:b w:val="1"/>
                <w:bCs w:val="1"/>
                <w:color w:val="3A5575"/>
                <w:w w:val="92"/>
              </w:rPr>
              <w:t>($)</w:t>
            </w:r>
            <w:r>
              <w:rPr>
                <w:rFonts w:ascii="Arial" w:cs="Arial" w:eastAsia="Arial" w:hAnsi="Arial"/>
                <w:sz w:val="25"/>
                <w:szCs w:val="25"/>
                <w:b w:val="1"/>
                <w:bCs w:val="1"/>
                <w:color w:val="3A5575"/>
                <w:w w:val="92"/>
                <w:vertAlign w:val="superscript"/>
              </w:rPr>
              <w:t>(2)</w:t>
            </w:r>
          </w:p>
        </w:tc>
        <w:tc>
          <w:tcPr>
            <w:tcW w:w="1420" w:type="dxa"/>
            <w:vAlign w:val="bottom"/>
            <w:tcBorders>
              <w:bottom w:val="single" w:sz="8" w:color="395775"/>
            </w:tcBorders>
          </w:tcPr>
          <w:p>
            <w:pPr>
              <w:jc w:val="center"/>
              <w:spacing w:after="0"/>
              <w:rPr>
                <w:sz w:val="20"/>
                <w:szCs w:val="20"/>
                <w:color w:val="auto"/>
              </w:rPr>
            </w:pPr>
            <w:r>
              <w:rPr>
                <w:rFonts w:ascii="Arial" w:cs="Arial" w:eastAsia="Arial" w:hAnsi="Arial"/>
                <w:sz w:val="16"/>
                <w:szCs w:val="16"/>
                <w:b w:val="1"/>
                <w:bCs w:val="1"/>
                <w:color w:val="3A5575"/>
              </w:rPr>
              <w:t>($)</w:t>
            </w:r>
          </w:p>
        </w:tc>
        <w:tc>
          <w:tcPr>
            <w:tcW w:w="640" w:type="dxa"/>
            <w:vAlign w:val="bottom"/>
            <w:tcBorders>
              <w:bottom w:val="single" w:sz="8" w:color="395775"/>
            </w:tcBorders>
          </w:tcPr>
          <w:p>
            <w:pPr>
              <w:jc w:val="right"/>
              <w:ind w:right="120"/>
              <w:spacing w:after="0"/>
              <w:rPr>
                <w:sz w:val="20"/>
                <w:szCs w:val="20"/>
                <w:color w:val="auto"/>
              </w:rPr>
            </w:pPr>
            <w:r>
              <w:rPr>
                <w:rFonts w:ascii="Arial" w:cs="Arial" w:eastAsia="Arial" w:hAnsi="Arial"/>
                <w:sz w:val="16"/>
                <w:szCs w:val="16"/>
                <w:b w:val="1"/>
                <w:bCs w:val="1"/>
                <w:color w:val="3A5575"/>
              </w:rPr>
              <w:t>($)</w:t>
            </w:r>
          </w:p>
        </w:tc>
      </w:tr>
      <w:tr>
        <w:trPr>
          <w:trHeight w:val="213"/>
        </w:trPr>
        <w:tc>
          <w:tcPr>
            <w:tcW w:w="20" w:type="dxa"/>
            <w:vAlign w:val="bottom"/>
          </w:tcPr>
          <w:p>
            <w:pPr>
              <w:spacing w:after="0"/>
              <w:rPr>
                <w:sz w:val="18"/>
                <w:szCs w:val="18"/>
                <w:color w:val="auto"/>
              </w:rPr>
            </w:pPr>
          </w:p>
        </w:tc>
        <w:tc>
          <w:tcPr>
            <w:tcW w:w="2500" w:type="dxa"/>
            <w:vAlign w:val="bottom"/>
            <w:tcBorders>
              <w:bottom w:val="single" w:sz="8" w:color="646466"/>
            </w:tcBorders>
            <w:shd w:val="clear" w:color="auto" w:fill="E3E5EB"/>
          </w:tcPr>
          <w:p>
            <w:pPr>
              <w:spacing w:after="0" w:line="213" w:lineRule="exact"/>
              <w:rPr>
                <w:sz w:val="20"/>
                <w:szCs w:val="20"/>
                <w:color w:val="auto"/>
              </w:rPr>
            </w:pPr>
            <w:r>
              <w:rPr>
                <w:rFonts w:ascii="Arial" w:cs="Arial" w:eastAsia="Arial" w:hAnsi="Arial"/>
                <w:sz w:val="15"/>
                <w:szCs w:val="15"/>
                <w:color w:val="auto"/>
              </w:rPr>
              <w:t>Donald E. Brandt</w:t>
            </w:r>
            <w:r>
              <w:rPr>
                <w:rFonts w:ascii="Arial" w:cs="Arial" w:eastAsia="Arial" w:hAnsi="Arial"/>
                <w:sz w:val="24"/>
                <w:szCs w:val="24"/>
                <w:color w:val="auto"/>
                <w:vertAlign w:val="superscript"/>
              </w:rPr>
              <w:t>(3)</w:t>
            </w:r>
          </w:p>
        </w:tc>
        <w:tc>
          <w:tcPr>
            <w:tcW w:w="1760" w:type="dxa"/>
            <w:vAlign w:val="bottom"/>
            <w:tcBorders>
              <w:bottom w:val="single" w:sz="8" w:color="646466"/>
            </w:tcBorders>
            <w:shd w:val="clear" w:color="auto" w:fill="E3E5EB"/>
          </w:tcPr>
          <w:p>
            <w:pPr>
              <w:jc w:val="right"/>
              <w:spacing w:after="0"/>
              <w:rPr>
                <w:sz w:val="20"/>
                <w:szCs w:val="20"/>
                <w:color w:val="auto"/>
              </w:rPr>
            </w:pPr>
            <w:r>
              <w:rPr>
                <w:rFonts w:ascii="Arial" w:cs="Arial" w:eastAsia="Arial" w:hAnsi="Arial"/>
                <w:sz w:val="16"/>
                <w:szCs w:val="16"/>
                <w:color w:val="auto"/>
              </w:rPr>
              <w:t>0</w:t>
            </w:r>
          </w:p>
        </w:tc>
        <w:tc>
          <w:tcPr>
            <w:tcW w:w="820" w:type="dxa"/>
            <w:vAlign w:val="bottom"/>
            <w:tcBorders>
              <w:bottom w:val="single" w:sz="8" w:color="646466"/>
            </w:tcBorders>
            <w:shd w:val="clear" w:color="auto" w:fill="E3E5EB"/>
          </w:tcPr>
          <w:p>
            <w:pPr>
              <w:jc w:val="right"/>
              <w:spacing w:after="0"/>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shd w:val="clear" w:color="auto" w:fill="E3E5EB"/>
          </w:tcPr>
          <w:p>
            <w:pPr>
              <w:jc w:val="right"/>
              <w:spacing w:after="0"/>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shd w:val="clear" w:color="auto" w:fill="E3E5EB"/>
          </w:tcPr>
          <w:p>
            <w:pPr>
              <w:jc w:val="center"/>
              <w:spacing w:after="0"/>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rPr>
                <w:sz w:val="20"/>
                <w:szCs w:val="20"/>
                <w:color w:val="auto"/>
              </w:rPr>
            </w:pPr>
            <w:r>
              <w:rPr>
                <w:rFonts w:ascii="Arial" w:cs="Arial" w:eastAsia="Arial" w:hAnsi="Arial"/>
                <w:sz w:val="16"/>
                <w:szCs w:val="16"/>
                <w:color w:val="auto"/>
              </w:rPr>
              <w:t>0</w:t>
            </w:r>
          </w:p>
        </w:tc>
      </w:tr>
      <w:tr>
        <w:trPr>
          <w:trHeight w:val="213"/>
        </w:trPr>
        <w:tc>
          <w:tcPr>
            <w:tcW w:w="20" w:type="dxa"/>
            <w:vAlign w:val="bottom"/>
            <w:tcBorders>
              <w:bottom w:val="single" w:sz="8" w:color="646466"/>
            </w:tcBorders>
          </w:tcPr>
          <w:p>
            <w:pPr>
              <w:spacing w:after="0"/>
              <w:rPr>
                <w:sz w:val="18"/>
                <w:szCs w:val="18"/>
                <w:color w:val="auto"/>
              </w:rPr>
            </w:pPr>
          </w:p>
        </w:tc>
        <w:tc>
          <w:tcPr>
            <w:tcW w:w="2500" w:type="dxa"/>
            <w:vAlign w:val="bottom"/>
            <w:tcBorders>
              <w:bottom w:val="single" w:sz="8" w:color="646466"/>
            </w:tcBorders>
          </w:tcPr>
          <w:p>
            <w:pPr>
              <w:spacing w:after="0" w:line="213" w:lineRule="exact"/>
              <w:rPr>
                <w:sz w:val="20"/>
                <w:szCs w:val="20"/>
                <w:color w:val="auto"/>
              </w:rPr>
            </w:pPr>
            <w:r>
              <w:rPr>
                <w:rFonts w:ascii="Arial" w:cs="Arial" w:eastAsia="Arial" w:hAnsi="Arial"/>
                <w:sz w:val="15"/>
                <w:szCs w:val="15"/>
                <w:color w:val="auto"/>
              </w:rPr>
              <w:t>Susan Clark-Johnson</w:t>
            </w:r>
            <w:r>
              <w:rPr>
                <w:rFonts w:ascii="Arial" w:cs="Arial" w:eastAsia="Arial" w:hAnsi="Arial"/>
                <w:sz w:val="24"/>
                <w:szCs w:val="24"/>
                <w:color w:val="auto"/>
                <w:vertAlign w:val="superscript"/>
              </w:rPr>
              <w:t>(4)</w:t>
            </w:r>
          </w:p>
        </w:tc>
        <w:tc>
          <w:tcPr>
            <w:tcW w:w="1760" w:type="dxa"/>
            <w:vAlign w:val="bottom"/>
            <w:tcBorders>
              <w:bottom w:val="single" w:sz="8" w:color="646466"/>
            </w:tcBorders>
          </w:tcPr>
          <w:p>
            <w:pPr>
              <w:jc w:val="right"/>
              <w:spacing w:after="0"/>
              <w:rPr>
                <w:sz w:val="20"/>
                <w:szCs w:val="20"/>
                <w:color w:val="auto"/>
              </w:rPr>
            </w:pPr>
            <w:r>
              <w:rPr>
                <w:rFonts w:ascii="Arial" w:cs="Arial" w:eastAsia="Arial" w:hAnsi="Arial"/>
                <w:sz w:val="16"/>
                <w:szCs w:val="16"/>
                <w:color w:val="auto"/>
              </w:rPr>
              <w:t>7,917</w:t>
            </w:r>
          </w:p>
        </w:tc>
        <w:tc>
          <w:tcPr>
            <w:tcW w:w="820" w:type="dxa"/>
            <w:vAlign w:val="bottom"/>
            <w:tcBorders>
              <w:bottom w:val="single" w:sz="8" w:color="646466"/>
            </w:tcBorders>
          </w:tcPr>
          <w:p>
            <w:pPr>
              <w:jc w:val="right"/>
              <w:spacing w:after="0"/>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tcPr>
          <w:p>
            <w:pPr>
              <w:jc w:val="right"/>
              <w:spacing w:after="0"/>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tcPr>
          <w:p>
            <w:pPr>
              <w:jc w:val="center"/>
              <w:spacing w:after="0"/>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tcPr>
          <w:p>
            <w:pPr>
              <w:jc w:val="right"/>
              <w:spacing w:after="0"/>
              <w:rPr>
                <w:sz w:val="20"/>
                <w:szCs w:val="20"/>
                <w:color w:val="auto"/>
              </w:rPr>
            </w:pPr>
            <w:r>
              <w:rPr>
                <w:rFonts w:ascii="Arial" w:cs="Arial" w:eastAsia="Arial" w:hAnsi="Arial"/>
                <w:sz w:val="16"/>
                <w:szCs w:val="16"/>
                <w:color w:val="auto"/>
              </w:rPr>
              <w:t>7,917</w:t>
            </w:r>
          </w:p>
        </w:tc>
      </w:tr>
      <w:tr>
        <w:trPr>
          <w:trHeight w:val="176"/>
        </w:trPr>
        <w:tc>
          <w:tcPr>
            <w:tcW w:w="20" w:type="dxa"/>
            <w:vAlign w:val="bottom"/>
          </w:tcPr>
          <w:p>
            <w:pPr>
              <w:spacing w:after="0"/>
              <w:rPr>
                <w:sz w:val="15"/>
                <w:szCs w:val="15"/>
                <w:color w:val="auto"/>
              </w:rPr>
            </w:pPr>
          </w:p>
        </w:tc>
        <w:tc>
          <w:tcPr>
            <w:tcW w:w="2500" w:type="dxa"/>
            <w:vAlign w:val="bottom"/>
            <w:tcBorders>
              <w:bottom w:val="single" w:sz="8" w:color="646466"/>
            </w:tcBorders>
            <w:shd w:val="clear" w:color="auto" w:fill="E3E5EB"/>
          </w:tcPr>
          <w:p>
            <w:pPr>
              <w:spacing w:after="0" w:line="176" w:lineRule="exact"/>
              <w:rPr>
                <w:sz w:val="20"/>
                <w:szCs w:val="20"/>
                <w:color w:val="auto"/>
              </w:rPr>
            </w:pPr>
            <w:r>
              <w:rPr>
                <w:rFonts w:ascii="Arial" w:cs="Arial" w:eastAsia="Arial" w:hAnsi="Arial"/>
                <w:sz w:val="16"/>
                <w:szCs w:val="16"/>
                <w:color w:val="auto"/>
              </w:rPr>
              <w:t>Denis A. Cortese, M.D.</w:t>
            </w:r>
          </w:p>
        </w:tc>
        <w:tc>
          <w:tcPr>
            <w:tcW w:w="176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95,000</w:t>
            </w:r>
          </w:p>
        </w:tc>
        <w:tc>
          <w:tcPr>
            <w:tcW w:w="8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195,279</w:t>
            </w:r>
          </w:p>
        </w:tc>
      </w:tr>
      <w:tr>
        <w:trPr>
          <w:trHeight w:val="176"/>
        </w:trPr>
        <w:tc>
          <w:tcPr>
            <w:tcW w:w="20" w:type="dxa"/>
            <w:vAlign w:val="bottom"/>
            <w:tcBorders>
              <w:bottom w:val="single" w:sz="8" w:color="646466"/>
            </w:tcBorders>
          </w:tcPr>
          <w:p>
            <w:pPr>
              <w:spacing w:after="0"/>
              <w:rPr>
                <w:sz w:val="15"/>
                <w:szCs w:val="15"/>
                <w:color w:val="auto"/>
              </w:rPr>
            </w:pPr>
          </w:p>
        </w:tc>
        <w:tc>
          <w:tcPr>
            <w:tcW w:w="2500" w:type="dxa"/>
            <w:vAlign w:val="bottom"/>
            <w:tcBorders>
              <w:bottom w:val="single" w:sz="8" w:color="646466"/>
            </w:tcBorders>
          </w:tcPr>
          <w:p>
            <w:pPr>
              <w:spacing w:after="0" w:line="176" w:lineRule="exact"/>
              <w:rPr>
                <w:sz w:val="20"/>
                <w:szCs w:val="20"/>
                <w:color w:val="auto"/>
              </w:rPr>
            </w:pPr>
            <w:r>
              <w:rPr>
                <w:rFonts w:ascii="Arial" w:cs="Arial" w:eastAsia="Arial" w:hAnsi="Arial"/>
                <w:sz w:val="16"/>
                <w:szCs w:val="16"/>
                <w:color w:val="auto"/>
              </w:rPr>
              <w:t>Richard P. Fox</w:t>
            </w:r>
          </w:p>
        </w:tc>
        <w:tc>
          <w:tcPr>
            <w:tcW w:w="176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95,000</w:t>
            </w:r>
          </w:p>
        </w:tc>
        <w:tc>
          <w:tcPr>
            <w:tcW w:w="8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195,279</w:t>
            </w:r>
          </w:p>
        </w:tc>
      </w:tr>
      <w:tr>
        <w:trPr>
          <w:trHeight w:val="176"/>
        </w:trPr>
        <w:tc>
          <w:tcPr>
            <w:tcW w:w="20" w:type="dxa"/>
            <w:vAlign w:val="bottom"/>
          </w:tcPr>
          <w:p>
            <w:pPr>
              <w:spacing w:after="0"/>
              <w:rPr>
                <w:sz w:val="15"/>
                <w:szCs w:val="15"/>
                <w:color w:val="auto"/>
              </w:rPr>
            </w:pPr>
          </w:p>
        </w:tc>
        <w:tc>
          <w:tcPr>
            <w:tcW w:w="2500" w:type="dxa"/>
            <w:vAlign w:val="bottom"/>
            <w:tcBorders>
              <w:bottom w:val="single" w:sz="8" w:color="646466"/>
            </w:tcBorders>
            <w:shd w:val="clear" w:color="auto" w:fill="E3E5EB"/>
          </w:tcPr>
          <w:p>
            <w:pPr>
              <w:spacing w:after="0" w:line="176" w:lineRule="exact"/>
              <w:rPr>
                <w:sz w:val="20"/>
                <w:szCs w:val="20"/>
                <w:color w:val="auto"/>
              </w:rPr>
            </w:pPr>
            <w:r>
              <w:rPr>
                <w:rFonts w:ascii="Arial" w:cs="Arial" w:eastAsia="Arial" w:hAnsi="Arial"/>
                <w:sz w:val="16"/>
                <w:szCs w:val="16"/>
                <w:color w:val="auto"/>
              </w:rPr>
              <w:t>Michael L. Gallagher</w:t>
            </w:r>
          </w:p>
        </w:tc>
        <w:tc>
          <w:tcPr>
            <w:tcW w:w="176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107,500</w:t>
            </w:r>
          </w:p>
        </w:tc>
        <w:tc>
          <w:tcPr>
            <w:tcW w:w="8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94,560</w:t>
            </w:r>
          </w:p>
        </w:tc>
        <w:tc>
          <w:tcPr>
            <w:tcW w:w="1420" w:type="dxa"/>
            <w:vAlign w:val="bottom"/>
            <w:tcBorders>
              <w:bottom w:val="single" w:sz="8" w:color="646466"/>
            </w:tcBorders>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302,339</w:t>
            </w:r>
          </w:p>
        </w:tc>
      </w:tr>
      <w:tr>
        <w:trPr>
          <w:trHeight w:val="176"/>
        </w:trPr>
        <w:tc>
          <w:tcPr>
            <w:tcW w:w="20" w:type="dxa"/>
            <w:vAlign w:val="bottom"/>
            <w:tcBorders>
              <w:bottom w:val="single" w:sz="8" w:color="646466"/>
            </w:tcBorders>
          </w:tcPr>
          <w:p>
            <w:pPr>
              <w:spacing w:after="0"/>
              <w:rPr>
                <w:sz w:val="15"/>
                <w:szCs w:val="15"/>
                <w:color w:val="auto"/>
              </w:rPr>
            </w:pPr>
          </w:p>
        </w:tc>
        <w:tc>
          <w:tcPr>
            <w:tcW w:w="2500" w:type="dxa"/>
            <w:vAlign w:val="bottom"/>
            <w:tcBorders>
              <w:bottom w:val="single" w:sz="8" w:color="646466"/>
            </w:tcBorders>
          </w:tcPr>
          <w:p>
            <w:pPr>
              <w:spacing w:after="0" w:line="176" w:lineRule="exact"/>
              <w:rPr>
                <w:sz w:val="20"/>
                <w:szCs w:val="20"/>
                <w:color w:val="auto"/>
              </w:rPr>
            </w:pPr>
            <w:r>
              <w:rPr>
                <w:rFonts w:ascii="Arial" w:cs="Arial" w:eastAsia="Arial" w:hAnsi="Arial"/>
                <w:sz w:val="16"/>
                <w:szCs w:val="16"/>
                <w:color w:val="auto"/>
              </w:rPr>
              <w:t>Roy A. Herberger, Jr., Ph.D.</w:t>
            </w:r>
          </w:p>
        </w:tc>
        <w:tc>
          <w:tcPr>
            <w:tcW w:w="176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107,500</w:t>
            </w:r>
          </w:p>
        </w:tc>
        <w:tc>
          <w:tcPr>
            <w:tcW w:w="8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46,936</w:t>
            </w:r>
          </w:p>
        </w:tc>
        <w:tc>
          <w:tcPr>
            <w:tcW w:w="1420" w:type="dxa"/>
            <w:vAlign w:val="bottom"/>
            <w:tcBorders>
              <w:bottom w:val="single" w:sz="8" w:color="646466"/>
            </w:tcBorders>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254,715</w:t>
            </w:r>
          </w:p>
        </w:tc>
      </w:tr>
      <w:tr>
        <w:trPr>
          <w:trHeight w:val="176"/>
        </w:trPr>
        <w:tc>
          <w:tcPr>
            <w:tcW w:w="20" w:type="dxa"/>
            <w:vAlign w:val="bottom"/>
          </w:tcPr>
          <w:p>
            <w:pPr>
              <w:spacing w:after="0"/>
              <w:rPr>
                <w:sz w:val="15"/>
                <w:szCs w:val="15"/>
                <w:color w:val="auto"/>
              </w:rPr>
            </w:pPr>
          </w:p>
        </w:tc>
        <w:tc>
          <w:tcPr>
            <w:tcW w:w="2500" w:type="dxa"/>
            <w:vAlign w:val="bottom"/>
            <w:tcBorders>
              <w:bottom w:val="single" w:sz="8" w:color="646466"/>
            </w:tcBorders>
            <w:shd w:val="clear" w:color="auto" w:fill="E3E5EB"/>
          </w:tcPr>
          <w:p>
            <w:pPr>
              <w:spacing w:after="0" w:line="176" w:lineRule="exact"/>
              <w:rPr>
                <w:sz w:val="20"/>
                <w:szCs w:val="20"/>
                <w:color w:val="auto"/>
              </w:rPr>
            </w:pPr>
            <w:r>
              <w:rPr>
                <w:rFonts w:ascii="Arial" w:cs="Arial" w:eastAsia="Arial" w:hAnsi="Arial"/>
                <w:sz w:val="16"/>
                <w:szCs w:val="16"/>
                <w:color w:val="auto"/>
              </w:rPr>
              <w:t>Dale E. Klein, Ph.D.</w:t>
            </w:r>
          </w:p>
        </w:tc>
        <w:tc>
          <w:tcPr>
            <w:tcW w:w="176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95,000</w:t>
            </w:r>
          </w:p>
        </w:tc>
        <w:tc>
          <w:tcPr>
            <w:tcW w:w="8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195,279</w:t>
            </w:r>
          </w:p>
        </w:tc>
      </w:tr>
      <w:tr>
        <w:trPr>
          <w:trHeight w:val="176"/>
        </w:trPr>
        <w:tc>
          <w:tcPr>
            <w:tcW w:w="20" w:type="dxa"/>
            <w:vAlign w:val="bottom"/>
            <w:tcBorders>
              <w:bottom w:val="single" w:sz="8" w:color="646466"/>
            </w:tcBorders>
          </w:tcPr>
          <w:p>
            <w:pPr>
              <w:spacing w:after="0"/>
              <w:rPr>
                <w:sz w:val="15"/>
                <w:szCs w:val="15"/>
                <w:color w:val="auto"/>
              </w:rPr>
            </w:pPr>
          </w:p>
        </w:tc>
        <w:tc>
          <w:tcPr>
            <w:tcW w:w="2500" w:type="dxa"/>
            <w:vAlign w:val="bottom"/>
            <w:tcBorders>
              <w:bottom w:val="single" w:sz="8" w:color="646466"/>
            </w:tcBorders>
          </w:tcPr>
          <w:p>
            <w:pPr>
              <w:spacing w:after="0" w:line="176" w:lineRule="exact"/>
              <w:rPr>
                <w:sz w:val="20"/>
                <w:szCs w:val="20"/>
                <w:color w:val="auto"/>
              </w:rPr>
            </w:pPr>
            <w:r>
              <w:rPr>
                <w:rFonts w:ascii="Arial" w:cs="Arial" w:eastAsia="Arial" w:hAnsi="Arial"/>
                <w:sz w:val="16"/>
                <w:szCs w:val="16"/>
                <w:color w:val="auto"/>
              </w:rPr>
              <w:t>Humberto S. Lopez</w:t>
            </w:r>
          </w:p>
        </w:tc>
        <w:tc>
          <w:tcPr>
            <w:tcW w:w="176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107,500</w:t>
            </w:r>
          </w:p>
        </w:tc>
        <w:tc>
          <w:tcPr>
            <w:tcW w:w="8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107,624</w:t>
            </w:r>
          </w:p>
        </w:tc>
        <w:tc>
          <w:tcPr>
            <w:tcW w:w="1420" w:type="dxa"/>
            <w:vAlign w:val="bottom"/>
            <w:tcBorders>
              <w:bottom w:val="single" w:sz="8" w:color="646466"/>
            </w:tcBorders>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315,403</w:t>
            </w:r>
          </w:p>
        </w:tc>
      </w:tr>
      <w:tr>
        <w:trPr>
          <w:trHeight w:val="176"/>
        </w:trPr>
        <w:tc>
          <w:tcPr>
            <w:tcW w:w="20" w:type="dxa"/>
            <w:vAlign w:val="bottom"/>
          </w:tcPr>
          <w:p>
            <w:pPr>
              <w:spacing w:after="0"/>
              <w:rPr>
                <w:sz w:val="15"/>
                <w:szCs w:val="15"/>
                <w:color w:val="auto"/>
              </w:rPr>
            </w:pPr>
          </w:p>
        </w:tc>
        <w:tc>
          <w:tcPr>
            <w:tcW w:w="2500" w:type="dxa"/>
            <w:vAlign w:val="bottom"/>
            <w:tcBorders>
              <w:bottom w:val="single" w:sz="8" w:color="646466"/>
            </w:tcBorders>
            <w:shd w:val="clear" w:color="auto" w:fill="E3E5EB"/>
          </w:tcPr>
          <w:p>
            <w:pPr>
              <w:spacing w:after="0" w:line="176" w:lineRule="exact"/>
              <w:rPr>
                <w:sz w:val="20"/>
                <w:szCs w:val="20"/>
                <w:color w:val="auto"/>
              </w:rPr>
            </w:pPr>
            <w:r>
              <w:rPr>
                <w:rFonts w:ascii="Arial" w:cs="Arial" w:eastAsia="Arial" w:hAnsi="Arial"/>
                <w:sz w:val="16"/>
                <w:szCs w:val="16"/>
                <w:color w:val="auto"/>
              </w:rPr>
              <w:t>Kathryn L. Munro</w:t>
            </w:r>
          </w:p>
        </w:tc>
        <w:tc>
          <w:tcPr>
            <w:tcW w:w="176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115,000</w:t>
            </w:r>
          </w:p>
        </w:tc>
        <w:tc>
          <w:tcPr>
            <w:tcW w:w="8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19,970</w:t>
            </w:r>
          </w:p>
        </w:tc>
        <w:tc>
          <w:tcPr>
            <w:tcW w:w="1420" w:type="dxa"/>
            <w:vAlign w:val="bottom"/>
            <w:tcBorders>
              <w:bottom w:val="single" w:sz="8" w:color="646466"/>
            </w:tcBorders>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235,249</w:t>
            </w:r>
          </w:p>
        </w:tc>
      </w:tr>
      <w:tr>
        <w:trPr>
          <w:trHeight w:val="176"/>
        </w:trPr>
        <w:tc>
          <w:tcPr>
            <w:tcW w:w="20" w:type="dxa"/>
            <w:vAlign w:val="bottom"/>
            <w:tcBorders>
              <w:bottom w:val="single" w:sz="8" w:color="646466"/>
            </w:tcBorders>
          </w:tcPr>
          <w:p>
            <w:pPr>
              <w:spacing w:after="0"/>
              <w:rPr>
                <w:sz w:val="15"/>
                <w:szCs w:val="15"/>
                <w:color w:val="auto"/>
              </w:rPr>
            </w:pPr>
          </w:p>
        </w:tc>
        <w:tc>
          <w:tcPr>
            <w:tcW w:w="2500" w:type="dxa"/>
            <w:vAlign w:val="bottom"/>
            <w:tcBorders>
              <w:bottom w:val="single" w:sz="8" w:color="646466"/>
            </w:tcBorders>
          </w:tcPr>
          <w:p>
            <w:pPr>
              <w:spacing w:after="0" w:line="176" w:lineRule="exact"/>
              <w:rPr>
                <w:sz w:val="20"/>
                <w:szCs w:val="20"/>
                <w:color w:val="auto"/>
              </w:rPr>
            </w:pPr>
            <w:r>
              <w:rPr>
                <w:rFonts w:ascii="Arial" w:cs="Arial" w:eastAsia="Arial" w:hAnsi="Arial"/>
                <w:sz w:val="16"/>
                <w:szCs w:val="16"/>
                <w:color w:val="auto"/>
              </w:rPr>
              <w:t>Bruce J. Nordstrom</w:t>
            </w:r>
          </w:p>
        </w:tc>
        <w:tc>
          <w:tcPr>
            <w:tcW w:w="176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107,500</w:t>
            </w:r>
          </w:p>
        </w:tc>
        <w:tc>
          <w:tcPr>
            <w:tcW w:w="8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49,865</w:t>
            </w:r>
          </w:p>
        </w:tc>
        <w:tc>
          <w:tcPr>
            <w:tcW w:w="1420" w:type="dxa"/>
            <w:vAlign w:val="bottom"/>
            <w:tcBorders>
              <w:bottom w:val="single" w:sz="8" w:color="646466"/>
            </w:tcBorders>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tcPr>
          <w:p>
            <w:pPr>
              <w:jc w:val="right"/>
              <w:spacing w:after="0" w:line="176" w:lineRule="exact"/>
              <w:rPr>
                <w:sz w:val="20"/>
                <w:szCs w:val="20"/>
                <w:color w:val="auto"/>
              </w:rPr>
            </w:pPr>
            <w:r>
              <w:rPr>
                <w:rFonts w:ascii="Arial" w:cs="Arial" w:eastAsia="Arial" w:hAnsi="Arial"/>
                <w:sz w:val="16"/>
                <w:szCs w:val="16"/>
                <w:color w:val="auto"/>
              </w:rPr>
              <w:t>257,644</w:t>
            </w:r>
          </w:p>
        </w:tc>
      </w:tr>
      <w:tr>
        <w:trPr>
          <w:trHeight w:val="176"/>
        </w:trPr>
        <w:tc>
          <w:tcPr>
            <w:tcW w:w="20" w:type="dxa"/>
            <w:vAlign w:val="bottom"/>
          </w:tcPr>
          <w:p>
            <w:pPr>
              <w:spacing w:after="0"/>
              <w:rPr>
                <w:sz w:val="15"/>
                <w:szCs w:val="15"/>
                <w:color w:val="auto"/>
              </w:rPr>
            </w:pPr>
          </w:p>
        </w:tc>
        <w:tc>
          <w:tcPr>
            <w:tcW w:w="2500" w:type="dxa"/>
            <w:vAlign w:val="bottom"/>
            <w:tcBorders>
              <w:bottom w:val="single" w:sz="8" w:color="646466"/>
            </w:tcBorders>
            <w:shd w:val="clear" w:color="auto" w:fill="E3E5EB"/>
          </w:tcPr>
          <w:p>
            <w:pPr>
              <w:spacing w:after="0" w:line="176" w:lineRule="exact"/>
              <w:rPr>
                <w:sz w:val="20"/>
                <w:szCs w:val="20"/>
                <w:color w:val="auto"/>
              </w:rPr>
            </w:pPr>
            <w:r>
              <w:rPr>
                <w:rFonts w:ascii="Arial" w:cs="Arial" w:eastAsia="Arial" w:hAnsi="Arial"/>
                <w:sz w:val="16"/>
                <w:szCs w:val="16"/>
                <w:color w:val="auto"/>
              </w:rPr>
              <w:t>David P. Wagener</w:t>
            </w:r>
          </w:p>
        </w:tc>
        <w:tc>
          <w:tcPr>
            <w:tcW w:w="176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95,000</w:t>
            </w:r>
          </w:p>
        </w:tc>
        <w:tc>
          <w:tcPr>
            <w:tcW w:w="8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100,279</w:t>
            </w:r>
          </w:p>
        </w:tc>
        <w:tc>
          <w:tcPr>
            <w:tcW w:w="142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0</w:t>
            </w:r>
          </w:p>
        </w:tc>
        <w:tc>
          <w:tcPr>
            <w:tcW w:w="1420" w:type="dxa"/>
            <w:vAlign w:val="bottom"/>
            <w:tcBorders>
              <w:bottom w:val="single" w:sz="8" w:color="646466"/>
            </w:tcBorders>
            <w:shd w:val="clear" w:color="auto" w:fill="E3E5EB"/>
          </w:tcPr>
          <w:p>
            <w:pPr>
              <w:jc w:val="center"/>
              <w:spacing w:after="0" w:line="176" w:lineRule="exact"/>
              <w:rPr>
                <w:sz w:val="20"/>
                <w:szCs w:val="20"/>
                <w:color w:val="auto"/>
              </w:rPr>
            </w:pPr>
            <w:r>
              <w:rPr>
                <w:rFonts w:ascii="Arial" w:cs="Arial" w:eastAsia="Arial" w:hAnsi="Arial"/>
                <w:sz w:val="16"/>
                <w:szCs w:val="16"/>
                <w:color w:val="auto"/>
                <w:w w:val="89"/>
              </w:rPr>
              <w:t>0</w:t>
            </w:r>
          </w:p>
        </w:tc>
        <w:tc>
          <w:tcPr>
            <w:tcW w:w="640" w:type="dxa"/>
            <w:vAlign w:val="bottom"/>
            <w:tcBorders>
              <w:bottom w:val="single" w:sz="8" w:color="646466"/>
            </w:tcBorders>
            <w:shd w:val="clear" w:color="auto" w:fill="E3E5EB"/>
          </w:tcPr>
          <w:p>
            <w:pPr>
              <w:jc w:val="right"/>
              <w:spacing w:after="0" w:line="176" w:lineRule="exact"/>
              <w:rPr>
                <w:sz w:val="20"/>
                <w:szCs w:val="20"/>
                <w:color w:val="auto"/>
              </w:rPr>
            </w:pPr>
            <w:r>
              <w:rPr>
                <w:rFonts w:ascii="Arial" w:cs="Arial" w:eastAsia="Arial" w:hAnsi="Arial"/>
                <w:sz w:val="16"/>
                <w:szCs w:val="16"/>
                <w:color w:val="auto"/>
              </w:rPr>
              <w:t>195,279</w:t>
            </w:r>
          </w:p>
        </w:tc>
      </w:tr>
    </w:tbl>
    <w:p>
      <w:pPr>
        <w:spacing w:after="0" w:line="302" w:lineRule="exact"/>
        <w:rPr>
          <w:sz w:val="20"/>
          <w:szCs w:val="20"/>
          <w:color w:val="auto"/>
        </w:rPr>
      </w:pPr>
    </w:p>
    <w:p>
      <w:pPr>
        <w:ind w:left="1860" w:hanging="490"/>
        <w:spacing w:after="0" w:line="243" w:lineRule="auto"/>
        <w:tabs>
          <w:tab w:leader="none" w:pos="18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In accordance with FASB ASC Topic 718, this amount reflects the aggregate grant date fair value of the stock awards. On May 20, 2015, all of the directors at the time received a grant of either common stock or stock units ("SUs"), based on an election previously delivered to the Company. All directors received common stock except for Mr. Gallagher, Drs. Herberger and Klein, and Ms. Munro, who each received SUs. Under the terms of the SUs, Mr. Gallagher and Dr. Herberger will receive 50% of the SUs in cash and 50% of the SUs in common stock, and Dr. Klein and Ms. Munro will receive one share of common stock for each SU, in all cases, on the last business day of the month following the month in which they separate from service on the Board. The number of shares of common stock or SUs granted was 1,645, and the grant date fair value of each share of common stock or SU is $60.96, which was the closing stock price on May 20, 2015. As of December 31, 2015, the following directors had the following outstanding RSU or SU awards:</w:t>
      </w:r>
    </w:p>
    <w:p>
      <w:pPr>
        <w:spacing w:after="0" w:line="1" w:lineRule="exact"/>
        <w:rPr>
          <w:rFonts w:ascii="Arial" w:cs="Arial" w:eastAsia="Arial" w:hAnsi="Arial"/>
          <w:sz w:val="16"/>
          <w:szCs w:val="16"/>
          <w:color w:val="auto"/>
        </w:rPr>
      </w:pPr>
    </w:p>
    <w:p>
      <w:pPr>
        <w:ind w:left="1860"/>
        <w:spacing w:after="0"/>
        <w:rPr>
          <w:rFonts w:ascii="Arial" w:cs="Arial" w:eastAsia="Arial" w:hAnsi="Arial"/>
          <w:sz w:val="16"/>
          <w:szCs w:val="16"/>
          <w:color w:val="auto"/>
        </w:rPr>
      </w:pPr>
      <w:r>
        <w:rPr>
          <w:rFonts w:ascii="Arial" w:cs="Arial" w:eastAsia="Arial" w:hAnsi="Arial"/>
          <w:sz w:val="16"/>
          <w:szCs w:val="16"/>
          <w:color w:val="auto"/>
        </w:rPr>
        <w:t>Mr. Gallagher — 10,418; Dr. Herberger — 8,902; Dr. Klein — 10,469; and Ms. Munro — 8,424.</w:t>
      </w:r>
    </w:p>
    <w:p>
      <w:pPr>
        <w:spacing w:after="0" w:line="163" w:lineRule="exact"/>
        <w:rPr>
          <w:rFonts w:ascii="Arial" w:cs="Arial" w:eastAsia="Arial" w:hAnsi="Arial"/>
          <w:sz w:val="16"/>
          <w:szCs w:val="16"/>
          <w:color w:val="auto"/>
        </w:rPr>
      </w:pPr>
    </w:p>
    <w:p>
      <w:pPr>
        <w:ind w:left="1860" w:right="20" w:hanging="490"/>
        <w:spacing w:after="0" w:line="253" w:lineRule="auto"/>
        <w:tabs>
          <w:tab w:leader="none" w:pos="18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The Company does not have a pension plan for directors. The amount in this column consists solely of the above-market portion of annual interest accrued under a deferred compensation plan pursuant to which directors may defer all or a portion of their Board fees. See the discussion of the rates of interest applicable to the deferred compensation program under "Discussion of Nonqualified Deferred Compensation".</w:t>
      </w:r>
    </w:p>
    <w:p>
      <w:pPr>
        <w:spacing w:after="0" w:line="144" w:lineRule="exact"/>
        <w:rPr>
          <w:rFonts w:ascii="Arial" w:cs="Arial" w:eastAsia="Arial" w:hAnsi="Arial"/>
          <w:sz w:val="16"/>
          <w:szCs w:val="16"/>
          <w:color w:val="auto"/>
        </w:rPr>
      </w:pPr>
    </w:p>
    <w:p>
      <w:pPr>
        <w:ind w:left="1860" w:right="920" w:hanging="490"/>
        <w:spacing w:after="0" w:line="279" w:lineRule="auto"/>
        <w:tabs>
          <w:tab w:leader="none" w:pos="18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Mr. Brandt is a Named Executive Officer and his compensation is set forth in the Summary Compensation Table. Only non-management directors are compensated for Board service.</w:t>
      </w:r>
    </w:p>
    <w:p>
      <w:pPr>
        <w:spacing w:after="0" w:line="136" w:lineRule="exact"/>
        <w:rPr>
          <w:rFonts w:ascii="Arial" w:cs="Arial" w:eastAsia="Arial" w:hAnsi="Arial"/>
          <w:sz w:val="16"/>
          <w:szCs w:val="16"/>
          <w:color w:val="auto"/>
        </w:rPr>
      </w:pPr>
    </w:p>
    <w:p>
      <w:pPr>
        <w:ind w:left="1860" w:hanging="490"/>
        <w:spacing w:after="0"/>
        <w:tabs>
          <w:tab w:leader="none" w:pos="1860" w:val="left"/>
        </w:tabs>
        <w:numPr>
          <w:ilvl w:val="0"/>
          <w:numId w:val="97"/>
        </w:numPr>
        <w:rPr>
          <w:rFonts w:ascii="Arial" w:cs="Arial" w:eastAsia="Arial" w:hAnsi="Arial"/>
          <w:sz w:val="16"/>
          <w:szCs w:val="16"/>
          <w:color w:val="auto"/>
        </w:rPr>
      </w:pPr>
      <w:r>
        <w:rPr>
          <w:rFonts w:ascii="Arial" w:cs="Arial" w:eastAsia="Arial" w:hAnsi="Arial"/>
          <w:sz w:val="16"/>
          <w:szCs w:val="16"/>
          <w:color w:val="auto"/>
        </w:rPr>
        <w:t>Ms. Clark-Johnson passed away in January of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182245</wp:posOffset>
            </wp:positionV>
            <wp:extent cx="841375" cy="16383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8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88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97" w:name="page98"/>
    <w:bookmarkEnd w:id="97"/>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5731510</wp:posOffset>
            </wp:positionH>
            <wp:positionV relativeFrom="paragraph">
              <wp:posOffset>137795</wp:posOffset>
            </wp:positionV>
            <wp:extent cx="1526540" cy="15557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526540" cy="155575"/>
                    </a:xfrm>
                    <a:prstGeom prst="rect">
                      <a:avLst/>
                    </a:prstGeom>
                    <a:noFill/>
                  </pic:spPr>
                </pic:pic>
              </a:graphicData>
            </a:graphic>
          </wp:anchor>
        </w:drawing>
      </w:r>
    </w:p>
    <w:p>
      <w:pPr>
        <w:spacing w:after="0" w:line="232" w:lineRule="exact"/>
        <w:rPr>
          <w:sz w:val="20"/>
          <w:szCs w:val="20"/>
          <w:color w:val="auto"/>
        </w:rPr>
      </w:pPr>
    </w:p>
    <w:p>
      <w:pPr>
        <w:ind w:left="9080"/>
        <w:spacing w:after="0"/>
        <w:rPr>
          <w:sz w:val="20"/>
          <w:szCs w:val="20"/>
          <w:color w:val="auto"/>
        </w:rPr>
      </w:pPr>
      <w:r>
        <w:rPr>
          <w:rFonts w:ascii="Arial" w:cs="Arial" w:eastAsia="Arial" w:hAnsi="Arial"/>
          <w:sz w:val="13"/>
          <w:szCs w:val="13"/>
          <w:b w:val="1"/>
          <w:bCs w:val="1"/>
          <w:color w:val="FFFFFE"/>
        </w:rPr>
        <w:t>DIRECTORS'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Discussion of Directors'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60"/>
        <w:spacing w:after="0" w:line="265" w:lineRule="auto"/>
        <w:rPr>
          <w:sz w:val="20"/>
          <w:szCs w:val="20"/>
          <w:color w:val="auto"/>
        </w:rPr>
      </w:pPr>
      <w:r>
        <w:rPr>
          <w:rFonts w:ascii="Arial" w:cs="Arial" w:eastAsia="Arial" w:hAnsi="Arial"/>
          <w:sz w:val="20"/>
          <w:szCs w:val="20"/>
          <w:color w:val="auto"/>
        </w:rPr>
        <w:t>The Human Resources Committee makes recommendations to the Board for compensation, equity participation, and other benefits for directors. The director compensation program consists of the following components:</w:t>
      </w:r>
    </w:p>
    <w:p>
      <w:pPr>
        <w:spacing w:after="0" w:line="200" w:lineRule="exact"/>
        <w:rPr>
          <w:sz w:val="20"/>
          <w:szCs w:val="20"/>
          <w:color w:val="auto"/>
        </w:rPr>
      </w:pPr>
    </w:p>
    <w:p>
      <w:pPr>
        <w:spacing w:after="0" w:line="260" w:lineRule="exact"/>
        <w:rPr>
          <w:sz w:val="20"/>
          <w:szCs w:val="20"/>
          <w:color w:val="auto"/>
        </w:rPr>
      </w:pPr>
    </w:p>
    <w:tbl>
      <w:tblPr>
        <w:tblLayout w:type="fixed"/>
        <w:tblInd w:w="1460" w:type="dxa"/>
        <w:tblCellMar>
          <w:top w:w="0" w:type="dxa"/>
          <w:left w:w="0" w:type="dxa"/>
          <w:bottom w:w="0" w:type="dxa"/>
          <w:right w:w="0" w:type="dxa"/>
        </w:tblCellMar>
      </w:tblPr>
      <w:tr>
        <w:trPr>
          <w:trHeight w:val="230"/>
        </w:trPr>
        <w:tc>
          <w:tcPr>
            <w:tcW w:w="626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COMPENSATION COMPONENT</w:t>
            </w:r>
          </w:p>
        </w:tc>
        <w:tc>
          <w:tcPr>
            <w:tcW w:w="2320" w:type="dxa"/>
            <w:vAlign w:val="bottom"/>
          </w:tcPr>
          <w:p>
            <w:pPr>
              <w:jc w:val="center"/>
              <w:ind w:left="82"/>
              <w:spacing w:after="0"/>
              <w:rPr>
                <w:sz w:val="20"/>
                <w:szCs w:val="20"/>
                <w:color w:val="auto"/>
              </w:rPr>
            </w:pPr>
            <w:r>
              <w:rPr>
                <w:rFonts w:ascii="Arial" w:cs="Arial" w:eastAsia="Arial" w:hAnsi="Arial"/>
                <w:sz w:val="20"/>
                <w:szCs w:val="20"/>
                <w:b w:val="1"/>
                <w:bCs w:val="1"/>
                <w:color w:val="3A5575"/>
                <w:w w:val="97"/>
              </w:rPr>
              <w:t>AMOUNT</w:t>
            </w:r>
          </w:p>
        </w:tc>
        <w:tc>
          <w:tcPr>
            <w:tcW w:w="0" w:type="dxa"/>
            <w:vAlign w:val="bottom"/>
          </w:tcPr>
          <w:p>
            <w:pPr>
              <w:spacing w:after="0"/>
              <w:rPr>
                <w:sz w:val="1"/>
                <w:szCs w:val="1"/>
                <w:color w:val="auto"/>
              </w:rPr>
            </w:pPr>
          </w:p>
        </w:tc>
      </w:tr>
      <w:tr>
        <w:trPr>
          <w:trHeight w:val="255"/>
        </w:trPr>
        <w:tc>
          <w:tcPr>
            <w:tcW w:w="6260" w:type="dxa"/>
            <w:vAlign w:val="bottom"/>
            <w:tcBorders>
              <w:bottom w:val="single" w:sz="8" w:color="395775"/>
            </w:tcBorders>
            <w:gridSpan w:val="2"/>
            <w:vMerge w:val="continue"/>
          </w:tcPr>
          <w:p>
            <w:pPr>
              <w:spacing w:after="0"/>
              <w:rPr>
                <w:sz w:val="22"/>
                <w:szCs w:val="22"/>
                <w:color w:val="auto"/>
              </w:rPr>
            </w:pPr>
          </w:p>
        </w:tc>
        <w:tc>
          <w:tcPr>
            <w:tcW w:w="2320" w:type="dxa"/>
            <w:vAlign w:val="bottom"/>
            <w:tcBorders>
              <w:bottom w:val="single" w:sz="8" w:color="395775"/>
            </w:tcBorders>
          </w:tcPr>
          <w:p>
            <w:pPr>
              <w:jc w:val="center"/>
              <w:ind w:left="102"/>
              <w:spacing w:after="0"/>
              <w:rPr>
                <w:sz w:val="20"/>
                <w:szCs w:val="20"/>
                <w:color w:val="auto"/>
              </w:rPr>
            </w:pPr>
            <w:r>
              <w:rPr>
                <w:rFonts w:ascii="Arial" w:cs="Arial" w:eastAsia="Arial" w:hAnsi="Arial"/>
                <w:sz w:val="20"/>
                <w:szCs w:val="20"/>
                <w:b w:val="1"/>
                <w:bCs w:val="1"/>
                <w:color w:val="3A5575"/>
                <w:w w:val="97"/>
              </w:rPr>
              <w:t>($)</w:t>
            </w: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6240" w:type="dxa"/>
            <w:vAlign w:val="bottom"/>
            <w:shd w:val="clear" w:color="auto" w:fill="E3E5EB"/>
          </w:tcPr>
          <w:p>
            <w:pPr>
              <w:spacing w:after="0" w:line="213" w:lineRule="exact"/>
              <w:rPr>
                <w:sz w:val="20"/>
                <w:szCs w:val="20"/>
                <w:color w:val="auto"/>
              </w:rPr>
            </w:pPr>
            <w:r>
              <w:rPr>
                <w:rFonts w:ascii="Arial" w:cs="Arial" w:eastAsia="Arial" w:hAnsi="Arial"/>
                <w:sz w:val="20"/>
                <w:szCs w:val="20"/>
                <w:color w:val="auto"/>
              </w:rPr>
              <w:t>Annual Retainer</w:t>
            </w:r>
          </w:p>
        </w:tc>
        <w:tc>
          <w:tcPr>
            <w:tcW w:w="2320" w:type="dxa"/>
            <w:vAlign w:val="bottom"/>
            <w:shd w:val="clear" w:color="auto" w:fill="E3E5EB"/>
          </w:tcPr>
          <w:p>
            <w:pPr>
              <w:jc w:val="center"/>
              <w:ind w:left="102"/>
              <w:spacing w:after="0" w:line="213" w:lineRule="exact"/>
              <w:rPr>
                <w:sz w:val="20"/>
                <w:szCs w:val="20"/>
                <w:color w:val="auto"/>
              </w:rPr>
            </w:pPr>
            <w:r>
              <w:rPr>
                <w:rFonts w:ascii="Arial" w:cs="Arial" w:eastAsia="Arial" w:hAnsi="Arial"/>
                <w:sz w:val="20"/>
                <w:szCs w:val="20"/>
                <w:color w:val="auto"/>
                <w:w w:val="98"/>
              </w:rPr>
              <w:t>95,000</w:t>
            </w: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6240" w:type="dxa"/>
            <w:vAlign w:val="bottom"/>
          </w:tcPr>
          <w:p>
            <w:pPr>
              <w:spacing w:after="0" w:line="191" w:lineRule="exact"/>
              <w:rPr>
                <w:sz w:val="20"/>
                <w:szCs w:val="20"/>
                <w:color w:val="auto"/>
              </w:rPr>
            </w:pPr>
            <w:r>
              <w:rPr>
                <w:rFonts w:ascii="Arial" w:cs="Arial" w:eastAsia="Arial" w:hAnsi="Arial"/>
                <w:sz w:val="20"/>
                <w:szCs w:val="20"/>
                <w:color w:val="auto"/>
              </w:rPr>
              <w:t>Audit Committee, Human Resources Committee, Finance Committee,</w:t>
            </w:r>
          </w:p>
        </w:tc>
        <w:tc>
          <w:tcPr>
            <w:tcW w:w="2320" w:type="dxa"/>
            <w:vAlign w:val="bottom"/>
          </w:tcPr>
          <w:p>
            <w:pPr>
              <w:jc w:val="center"/>
              <w:ind w:left="102"/>
              <w:spacing w:after="0" w:line="191" w:lineRule="exact"/>
              <w:rPr>
                <w:sz w:val="20"/>
                <w:szCs w:val="20"/>
                <w:color w:val="auto"/>
              </w:rPr>
            </w:pPr>
            <w:r>
              <w:rPr>
                <w:rFonts w:ascii="Arial" w:cs="Arial" w:eastAsia="Arial" w:hAnsi="Arial"/>
                <w:sz w:val="20"/>
                <w:szCs w:val="20"/>
                <w:color w:val="auto"/>
                <w:w w:val="98"/>
              </w:rPr>
              <w:t>12,500</w:t>
            </w: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6240" w:type="dxa"/>
            <w:vAlign w:val="bottom"/>
          </w:tcPr>
          <w:p>
            <w:pPr>
              <w:ind w:left="180"/>
              <w:spacing w:after="0"/>
              <w:rPr>
                <w:sz w:val="20"/>
                <w:szCs w:val="20"/>
                <w:color w:val="auto"/>
              </w:rPr>
            </w:pPr>
            <w:r>
              <w:rPr>
                <w:rFonts w:ascii="Arial" w:cs="Arial" w:eastAsia="Arial" w:hAnsi="Arial"/>
                <w:sz w:val="20"/>
                <w:szCs w:val="20"/>
                <w:color w:val="auto"/>
              </w:rPr>
              <w:t>and Nuclear and Operating Committee Chairs Annual Retainers</w:t>
            </w:r>
          </w:p>
        </w:tc>
        <w:tc>
          <w:tcPr>
            <w:tcW w:w="23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6240" w:type="dxa"/>
            <w:vAlign w:val="bottom"/>
            <w:shd w:val="clear" w:color="auto" w:fill="E3E5EB"/>
          </w:tcPr>
          <w:p>
            <w:pPr>
              <w:spacing w:after="0" w:line="191" w:lineRule="exact"/>
              <w:rPr>
                <w:sz w:val="20"/>
                <w:szCs w:val="20"/>
                <w:color w:val="auto"/>
              </w:rPr>
            </w:pPr>
            <w:r>
              <w:rPr>
                <w:rFonts w:ascii="Arial" w:cs="Arial" w:eastAsia="Arial" w:hAnsi="Arial"/>
                <w:sz w:val="20"/>
                <w:szCs w:val="20"/>
                <w:color w:val="auto"/>
              </w:rPr>
              <w:t>Lead Director Annual Retainer (Lead Director serves as Chair of</w:t>
            </w:r>
          </w:p>
        </w:tc>
        <w:tc>
          <w:tcPr>
            <w:tcW w:w="2320" w:type="dxa"/>
            <w:vAlign w:val="bottom"/>
            <w:shd w:val="clear" w:color="auto" w:fill="E3E5EB"/>
          </w:tcPr>
          <w:p>
            <w:pPr>
              <w:jc w:val="center"/>
              <w:ind w:left="102"/>
              <w:spacing w:after="0" w:line="191" w:lineRule="exact"/>
              <w:rPr>
                <w:sz w:val="20"/>
                <w:szCs w:val="20"/>
                <w:color w:val="auto"/>
              </w:rPr>
            </w:pPr>
            <w:r>
              <w:rPr>
                <w:rFonts w:ascii="Arial" w:cs="Arial" w:eastAsia="Arial" w:hAnsi="Arial"/>
                <w:sz w:val="20"/>
                <w:szCs w:val="20"/>
                <w:color w:val="auto"/>
                <w:w w:val="98"/>
              </w:rPr>
              <w:t>20,000</w:t>
            </w: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6240" w:type="dxa"/>
            <w:vAlign w:val="bottom"/>
            <w:shd w:val="clear" w:color="auto" w:fill="E3E5EB"/>
          </w:tcPr>
          <w:p>
            <w:pPr>
              <w:ind w:left="180"/>
              <w:spacing w:after="0"/>
              <w:rPr>
                <w:sz w:val="20"/>
                <w:szCs w:val="20"/>
                <w:color w:val="auto"/>
              </w:rPr>
            </w:pPr>
            <w:r>
              <w:rPr>
                <w:rFonts w:ascii="Arial" w:cs="Arial" w:eastAsia="Arial" w:hAnsi="Arial"/>
                <w:sz w:val="20"/>
                <w:szCs w:val="20"/>
                <w:color w:val="auto"/>
              </w:rPr>
              <w:t>Corporate Governance Committee for no additional compensation)</w:t>
            </w:r>
          </w:p>
        </w:tc>
        <w:tc>
          <w:tcPr>
            <w:tcW w:w="2320" w:type="dxa"/>
            <w:vAlign w:val="bottom"/>
            <w:shd w:val="clear" w:color="auto" w:fill="E3E5EB"/>
          </w:tcPr>
          <w:p>
            <w:pPr>
              <w:spacing w:after="0"/>
              <w:rPr>
                <w:sz w:val="21"/>
                <w:szCs w:val="21"/>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6240" w:type="dxa"/>
            <w:vAlign w:val="bottom"/>
          </w:tcPr>
          <w:p>
            <w:pPr>
              <w:spacing w:after="0" w:line="191" w:lineRule="exact"/>
              <w:rPr>
                <w:sz w:val="20"/>
                <w:szCs w:val="20"/>
                <w:color w:val="auto"/>
              </w:rPr>
            </w:pPr>
            <w:r>
              <w:rPr>
                <w:rFonts w:ascii="Arial" w:cs="Arial" w:eastAsia="Arial" w:hAnsi="Arial"/>
                <w:sz w:val="20"/>
                <w:szCs w:val="20"/>
                <w:color w:val="auto"/>
              </w:rPr>
              <w:t>Annual Equity Grant</w:t>
            </w:r>
          </w:p>
        </w:tc>
        <w:tc>
          <w:tcPr>
            <w:tcW w:w="2320" w:type="dxa"/>
            <w:vAlign w:val="bottom"/>
          </w:tcPr>
          <w:p>
            <w:pPr>
              <w:jc w:val="center"/>
              <w:ind w:left="82"/>
              <w:spacing w:after="0" w:line="191" w:lineRule="exact"/>
              <w:rPr>
                <w:sz w:val="20"/>
                <w:szCs w:val="20"/>
                <w:color w:val="auto"/>
              </w:rPr>
            </w:pPr>
            <w:r>
              <w:rPr>
                <w:rFonts w:ascii="Arial" w:cs="Arial" w:eastAsia="Arial" w:hAnsi="Arial"/>
                <w:sz w:val="20"/>
                <w:szCs w:val="20"/>
                <w:color w:val="auto"/>
                <w:w w:val="98"/>
              </w:rPr>
              <w:t>Shares with a value of</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6240" w:type="dxa"/>
            <w:vAlign w:val="bottom"/>
          </w:tcPr>
          <w:p>
            <w:pPr>
              <w:spacing w:after="0"/>
              <w:rPr>
                <w:sz w:val="19"/>
                <w:szCs w:val="19"/>
                <w:color w:val="auto"/>
              </w:rPr>
            </w:pPr>
          </w:p>
        </w:tc>
        <w:tc>
          <w:tcPr>
            <w:tcW w:w="2320" w:type="dxa"/>
            <w:vAlign w:val="bottom"/>
          </w:tcPr>
          <w:p>
            <w:pPr>
              <w:jc w:val="center"/>
              <w:ind w:left="82"/>
              <w:spacing w:after="0" w:line="221" w:lineRule="exact"/>
              <w:rPr>
                <w:sz w:val="20"/>
                <w:szCs w:val="20"/>
                <w:color w:val="auto"/>
              </w:rPr>
            </w:pPr>
            <w:r>
              <w:rPr>
                <w:rFonts w:ascii="Arial" w:cs="Arial" w:eastAsia="Arial" w:hAnsi="Arial"/>
                <w:sz w:val="20"/>
                <w:szCs w:val="20"/>
                <w:color w:val="auto"/>
                <w:w w:val="98"/>
              </w:rPr>
              <w:t>approximately $100,000</w:t>
            </w: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6240" w:type="dxa"/>
            <w:vAlign w:val="bottom"/>
            <w:tcBorders>
              <w:bottom w:val="single" w:sz="8" w:color="646466"/>
            </w:tcBorders>
          </w:tcPr>
          <w:p>
            <w:pPr>
              <w:spacing w:after="0"/>
              <w:rPr>
                <w:sz w:val="21"/>
                <w:szCs w:val="21"/>
                <w:color w:val="auto"/>
              </w:rPr>
            </w:pPr>
          </w:p>
        </w:tc>
        <w:tc>
          <w:tcPr>
            <w:tcW w:w="2320" w:type="dxa"/>
            <w:vAlign w:val="bottom"/>
            <w:tcBorders>
              <w:bottom w:val="single" w:sz="8" w:color="646466"/>
            </w:tcBorders>
          </w:tcPr>
          <w:p>
            <w:pPr>
              <w:jc w:val="center"/>
              <w:ind w:left="102"/>
              <w:spacing w:after="0"/>
              <w:rPr>
                <w:sz w:val="20"/>
                <w:szCs w:val="20"/>
                <w:color w:val="auto"/>
              </w:rPr>
            </w:pPr>
            <w:r>
              <w:rPr>
                <w:rFonts w:ascii="Arial" w:cs="Arial" w:eastAsia="Arial" w:hAnsi="Arial"/>
                <w:sz w:val="20"/>
                <w:szCs w:val="20"/>
                <w:color w:val="auto"/>
                <w:w w:val="97"/>
              </w:rPr>
              <w:t>on the grant date</w:t>
            </w:r>
          </w:p>
        </w:tc>
        <w:tc>
          <w:tcPr>
            <w:tcW w:w="0" w:type="dxa"/>
            <w:vAlign w:val="bottom"/>
          </w:tcPr>
          <w:p>
            <w:pPr>
              <w:spacing w:after="0"/>
              <w:rPr>
                <w:sz w:val="1"/>
                <w:szCs w:val="1"/>
                <w:color w:val="auto"/>
              </w:rPr>
            </w:pPr>
          </w:p>
        </w:tc>
      </w:tr>
    </w:tbl>
    <w:p>
      <w:pPr>
        <w:spacing w:after="0" w:line="277" w:lineRule="exact"/>
        <w:rPr>
          <w:sz w:val="20"/>
          <w:szCs w:val="20"/>
          <w:color w:val="auto"/>
        </w:rPr>
      </w:pPr>
    </w:p>
    <w:p>
      <w:pPr>
        <w:ind w:right="40"/>
        <w:spacing w:after="0" w:line="235" w:lineRule="auto"/>
        <w:rPr>
          <w:sz w:val="20"/>
          <w:szCs w:val="20"/>
          <w:color w:val="auto"/>
        </w:rPr>
      </w:pPr>
      <w:r>
        <w:rPr>
          <w:rFonts w:ascii="Arial" w:cs="Arial" w:eastAsia="Arial" w:hAnsi="Arial"/>
          <w:sz w:val="20"/>
          <w:szCs w:val="20"/>
          <w:color w:val="auto"/>
        </w:rPr>
        <w:t>Directors had an option to either receive the stock grant on May 20, 2015 or defer the receipt until a later date. A director who elected to defer his or her receipt of stock received SUs in lieu of the stock grant. Those directors who elected to receive SUs were able to elect to receive payment for the SUs in either (1) stock or (2) 50% in stock and 50% in cash. The directors also elected whether to receive these payments either (1) as of the last business day of the month following the month in which the director separates from service on the Board, or (2) as of a date specified by the director, which date must be after December 31 of the year in which the grant was received. The SUs accrue dividend rights equal to the amount of dividends the director would have received if the director had directly owned one share of our common stock for each SU held, plus interest at the rate of 5% per annum, compounded quarterly. The manner of payment for the dividends and interest will be based on the director's election for payment of the SUs.</w:t>
      </w:r>
    </w:p>
    <w:p>
      <w:pPr>
        <w:spacing w:after="0" w:line="157" w:lineRule="exact"/>
        <w:rPr>
          <w:sz w:val="20"/>
          <w:szCs w:val="20"/>
          <w:color w:val="auto"/>
        </w:rPr>
      </w:pPr>
    </w:p>
    <w:p>
      <w:pPr>
        <w:ind w:right="400"/>
        <w:spacing w:after="0" w:line="265" w:lineRule="auto"/>
        <w:rPr>
          <w:sz w:val="20"/>
          <w:szCs w:val="20"/>
          <w:color w:val="auto"/>
        </w:rPr>
      </w:pPr>
      <w:r>
        <w:rPr>
          <w:rFonts w:ascii="Arial" w:cs="Arial" w:eastAsia="Arial" w:hAnsi="Arial"/>
          <w:sz w:val="20"/>
          <w:szCs w:val="20"/>
          <w:color w:val="auto"/>
        </w:rPr>
        <w:t>Directors of Pinnacle West also serve on the APS Board of Directors for no additional compensation. The Company reimburses Board members for expenses associated with Board meetings and director education programs.</w:t>
      </w:r>
    </w:p>
    <w:p>
      <w:pPr>
        <w:spacing w:after="0" w:line="130" w:lineRule="exact"/>
        <w:rPr>
          <w:sz w:val="20"/>
          <w:szCs w:val="20"/>
          <w:color w:val="auto"/>
        </w:rPr>
      </w:pPr>
    </w:p>
    <w:p>
      <w:pPr>
        <w:jc w:val="both"/>
        <w:ind w:right="180"/>
        <w:spacing w:after="0" w:line="251" w:lineRule="auto"/>
        <w:rPr>
          <w:sz w:val="20"/>
          <w:szCs w:val="20"/>
          <w:color w:val="auto"/>
        </w:rPr>
      </w:pPr>
      <w:r>
        <w:rPr>
          <w:rFonts w:ascii="Arial" w:cs="Arial" w:eastAsia="Arial" w:hAnsi="Arial"/>
          <w:sz w:val="19"/>
          <w:szCs w:val="19"/>
          <w:color w:val="auto"/>
        </w:rPr>
        <w:t>A comparison against the compensation programs of our current Peer Group is generally performed every two years, and a study was last performed in December 2015, at which time the Board approved increasing the value of the annual retainer from $95,000 to $100,000, the annual equity grant from $100,000 to $110,000, and the Lead Director annual retainer from $20,000 to $25,000.</w:t>
      </w:r>
    </w:p>
    <w:p>
      <w:pPr>
        <w:spacing w:after="0" w:line="1" w:lineRule="exact"/>
        <w:rPr>
          <w:sz w:val="20"/>
          <w:szCs w:val="20"/>
          <w:color w:val="auto"/>
        </w:rPr>
      </w:pPr>
    </w:p>
    <w:p>
      <w:pPr>
        <w:ind w:right="400"/>
        <w:spacing w:after="0" w:line="254" w:lineRule="auto"/>
        <w:rPr>
          <w:sz w:val="20"/>
          <w:szCs w:val="20"/>
          <w:color w:val="auto"/>
        </w:rPr>
      </w:pPr>
      <w:r>
        <w:rPr>
          <w:rFonts w:ascii="Arial" w:cs="Arial" w:eastAsia="Arial" w:hAnsi="Arial"/>
          <w:sz w:val="19"/>
          <w:szCs w:val="19"/>
          <w:color w:val="auto"/>
        </w:rPr>
        <w:t>Taking into account the overall increase in our Directors compensation program, the Company continues to be positioned at the median of directors compensation paid by the Peer Group. These changes will go into effect in May of 2016. The Consultant reviewed the study, validated the methodology, and concluded that the new amounts were within the competitive range.</w:t>
      </w:r>
    </w:p>
    <w:p>
      <w:pPr>
        <w:spacing w:after="0" w:line="73"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98" w:name="page99"/>
    <w:bookmarkEnd w:id="98"/>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139065</wp:posOffset>
            </wp:positionV>
            <wp:extent cx="1526540" cy="15557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1526540" cy="155575"/>
                    </a:xfrm>
                    <a:prstGeom prst="rect">
                      <a:avLst/>
                    </a:prstGeom>
                    <a:noFill/>
                  </pic:spPr>
                </pic:pic>
              </a:graphicData>
            </a:graphic>
          </wp:anchor>
        </w:drawing>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DIRECTORS' COMPENSATION</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Director Stock Ownership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500"/>
        <w:spacing w:after="0" w:line="265" w:lineRule="auto"/>
        <w:rPr>
          <w:sz w:val="20"/>
          <w:szCs w:val="20"/>
          <w:color w:val="auto"/>
        </w:rPr>
      </w:pPr>
      <w:r>
        <w:rPr>
          <w:rFonts w:ascii="Arial" w:cs="Arial" w:eastAsia="Arial" w:hAnsi="Arial"/>
          <w:sz w:val="20"/>
          <w:szCs w:val="20"/>
          <w:color w:val="auto"/>
        </w:rPr>
        <w:t>The Company believes that directors should have a meaningful financial stake in the Company to align their personal financial interests with those of the Company's shareholders.</w:t>
      </w:r>
    </w:p>
    <w:p>
      <w:pPr>
        <w:spacing w:after="0" w:line="130" w:lineRule="exact"/>
        <w:rPr>
          <w:sz w:val="20"/>
          <w:szCs w:val="20"/>
          <w:color w:val="auto"/>
        </w:rPr>
      </w:pPr>
    </w:p>
    <w:p>
      <w:pPr>
        <w:ind w:right="240"/>
        <w:spacing w:after="0" w:line="235" w:lineRule="auto"/>
        <w:rPr>
          <w:sz w:val="20"/>
          <w:szCs w:val="20"/>
          <w:color w:val="auto"/>
        </w:rPr>
      </w:pPr>
      <w:r>
        <w:rPr>
          <w:rFonts w:ascii="Arial" w:cs="Arial" w:eastAsia="Arial" w:hAnsi="Arial"/>
          <w:sz w:val="20"/>
          <w:szCs w:val="20"/>
          <w:color w:val="auto"/>
        </w:rPr>
        <w:t>In January 2010, the Board adopted a revised stock ownership policy for non-management directors. Each director is required to hold or control Company common stock, RSUs, or SUs with a value of at least three times the annual cash retainer fee paid to directors. Directors will have until the later of January 2013 or three-years following the date they become a director to reach the required ownership level. A director may not pledge, margin, hypothecate, hedge, or otherwise grant an economic interest in any shares of Company stock while serving as a director whether or not his or her ownership requirement is met. This restriction shall extend to the purchase or creation of any short sales, zero-cost collars, forward sales contracts, puts, calls, options or other derivative securities in respect of any shares of Company stock. The Corporate Governance Committee may grant exceptions to this policy for hardship or other special circumstances.</w:t>
      </w:r>
    </w:p>
    <w:p>
      <w:pPr>
        <w:spacing w:after="0" w:line="161" w:lineRule="exact"/>
        <w:rPr>
          <w:sz w:val="20"/>
          <w:szCs w:val="20"/>
          <w:color w:val="auto"/>
        </w:rPr>
      </w:pPr>
    </w:p>
    <w:p>
      <w:pPr>
        <w:spacing w:after="0"/>
        <w:rPr>
          <w:sz w:val="20"/>
          <w:szCs w:val="20"/>
          <w:color w:val="auto"/>
        </w:rPr>
      </w:pPr>
      <w:r>
        <w:rPr>
          <w:rFonts w:ascii="Arial" w:cs="Arial" w:eastAsia="Arial" w:hAnsi="Arial"/>
          <w:sz w:val="20"/>
          <w:szCs w:val="20"/>
          <w:color w:val="auto"/>
        </w:rPr>
        <w:t>All of the directors are in compliance with the Director Stock Ownership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192405</wp:posOffset>
            </wp:positionV>
            <wp:extent cx="841375" cy="16383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90</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08" w:right="239" w:bottom="1440" w:gutter="0" w:footer="0" w:header="0"/>
        </w:sectPr>
      </w:pPr>
    </w:p>
    <w:bookmarkStart w:id="99" w:name="page100"/>
    <w:bookmarkEnd w:id="99"/>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60452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18"/>
        <w:spacing w:after="0"/>
        <w:rPr>
          <w:sz w:val="20"/>
          <w:szCs w:val="20"/>
          <w:color w:val="auto"/>
        </w:rPr>
      </w:pPr>
      <w:r>
        <w:rPr>
          <w:rFonts w:ascii="Arial" w:cs="Arial" w:eastAsia="Arial" w:hAnsi="Arial"/>
          <w:sz w:val="39"/>
          <w:szCs w:val="39"/>
          <w:b w:val="1"/>
          <w:bCs w:val="1"/>
          <w:color w:val="3A5575"/>
        </w:rPr>
        <w:t>Proposal 2 — Advisory Vote on Executive Compensation</w:t>
      </w:r>
    </w:p>
    <w:p>
      <w:pPr>
        <w:spacing w:after="0" w:line="200" w:lineRule="exact"/>
        <w:rPr>
          <w:sz w:val="20"/>
          <w:szCs w:val="20"/>
          <w:color w:val="auto"/>
        </w:rPr>
      </w:pPr>
    </w:p>
    <w:p>
      <w:pPr>
        <w:spacing w:after="0" w:line="260" w:lineRule="exact"/>
        <w:rPr>
          <w:sz w:val="20"/>
          <w:szCs w:val="20"/>
          <w:color w:val="auto"/>
        </w:rPr>
      </w:pPr>
    </w:p>
    <w:p>
      <w:pPr>
        <w:ind w:left="2" w:right="640"/>
        <w:spacing w:after="0" w:line="265" w:lineRule="auto"/>
        <w:rPr>
          <w:sz w:val="20"/>
          <w:szCs w:val="20"/>
          <w:color w:val="auto"/>
        </w:rPr>
      </w:pPr>
      <w:r>
        <w:rPr>
          <w:rFonts w:ascii="Arial" w:cs="Arial" w:eastAsia="Arial" w:hAnsi="Arial"/>
          <w:sz w:val="20"/>
          <w:szCs w:val="20"/>
          <w:color w:val="auto"/>
        </w:rPr>
        <w:t>Section 14A of the Exchange Act requires U.S. public corporations to provide for an advisory (non-binding) vote on executive compensation ("Say-on-Pay").</w:t>
      </w:r>
    </w:p>
    <w:p>
      <w:pPr>
        <w:spacing w:after="0" w:line="130" w:lineRule="exact"/>
        <w:rPr>
          <w:sz w:val="20"/>
          <w:szCs w:val="20"/>
          <w:color w:val="auto"/>
        </w:rPr>
      </w:pPr>
    </w:p>
    <w:p>
      <w:pPr>
        <w:ind w:left="2" w:right="80"/>
        <w:spacing w:after="0" w:line="239" w:lineRule="auto"/>
        <w:rPr>
          <w:sz w:val="20"/>
          <w:szCs w:val="20"/>
          <w:color w:val="auto"/>
        </w:rPr>
      </w:pPr>
      <w:r>
        <w:rPr>
          <w:rFonts w:ascii="Arial" w:cs="Arial" w:eastAsia="Arial" w:hAnsi="Arial"/>
          <w:sz w:val="20"/>
          <w:szCs w:val="20"/>
          <w:color w:val="auto"/>
        </w:rPr>
        <w:t>As discussed in more detail in our CD&amp;A and the accompanying tables and narrative, the Company has designed its executive compensation program to align executives' interests with those of our shareholders, make executives accountable for business and individual performance by putting pay at risk, and attract, retain and reward the executive talent required to achieve our corporate objectives and to increase long-term shareholder value. We believe that our compensation policies and practices promote a pay at risk philosophy and, as such, are aligned with the interests of our shareholders.</w:t>
      </w:r>
    </w:p>
    <w:p>
      <w:pPr>
        <w:spacing w:after="0" w:line="155" w:lineRule="exact"/>
        <w:rPr>
          <w:sz w:val="20"/>
          <w:szCs w:val="20"/>
          <w:color w:val="auto"/>
        </w:rPr>
      </w:pPr>
    </w:p>
    <w:p>
      <w:pPr>
        <w:ind w:left="2"/>
        <w:spacing w:after="0"/>
        <w:rPr>
          <w:sz w:val="20"/>
          <w:szCs w:val="20"/>
          <w:color w:val="auto"/>
        </w:rPr>
      </w:pPr>
      <w:r>
        <w:rPr>
          <w:rFonts w:ascii="Arial" w:cs="Arial" w:eastAsia="Arial" w:hAnsi="Arial"/>
          <w:sz w:val="20"/>
          <w:szCs w:val="20"/>
          <w:color w:val="auto"/>
        </w:rPr>
        <w:t>In deciding how to vote on this proposal, the Board points out the following factors, many of which are more fully discussed in the</w:t>
      </w:r>
    </w:p>
    <w:p>
      <w:pPr>
        <w:spacing w:after="0" w:line="15" w:lineRule="exact"/>
        <w:rPr>
          <w:sz w:val="20"/>
          <w:szCs w:val="20"/>
          <w:color w:val="auto"/>
        </w:rPr>
      </w:pPr>
    </w:p>
    <w:p>
      <w:pPr>
        <w:ind w:left="2"/>
        <w:spacing w:after="0"/>
        <w:rPr>
          <w:sz w:val="20"/>
          <w:szCs w:val="20"/>
          <w:color w:val="auto"/>
        </w:rPr>
      </w:pPr>
      <w:r>
        <w:rPr>
          <w:rFonts w:ascii="Arial" w:cs="Arial" w:eastAsia="Arial" w:hAnsi="Arial"/>
          <w:sz w:val="20"/>
          <w:szCs w:val="20"/>
          <w:color w:val="auto"/>
        </w:rPr>
        <w:t>CD&amp;A:</w:t>
      </w:r>
    </w:p>
    <w:p>
      <w:pPr>
        <w:spacing w:after="0" w:line="151" w:lineRule="exact"/>
        <w:rPr>
          <w:sz w:val="20"/>
          <w:szCs w:val="20"/>
          <w:color w:val="auto"/>
        </w:rPr>
      </w:pPr>
    </w:p>
    <w:p>
      <w:pPr>
        <w:ind w:left="482" w:right="100" w:hanging="482"/>
        <w:spacing w:after="0" w:line="247" w:lineRule="auto"/>
        <w:tabs>
          <w:tab w:leader="none" w:pos="482" w:val="left"/>
        </w:tabs>
        <w:numPr>
          <w:ilvl w:val="0"/>
          <w:numId w:val="98"/>
        </w:numPr>
        <w:rPr>
          <w:rFonts w:ascii="Arial" w:cs="Arial" w:eastAsia="Arial" w:hAnsi="Arial"/>
          <w:sz w:val="20"/>
          <w:szCs w:val="20"/>
          <w:color w:val="3A5575"/>
        </w:rPr>
      </w:pPr>
      <w:r>
        <w:rPr>
          <w:rFonts w:ascii="Arial" w:cs="Arial" w:eastAsia="Arial" w:hAnsi="Arial"/>
          <w:sz w:val="20"/>
          <w:szCs w:val="20"/>
          <w:color w:val="auto"/>
        </w:rPr>
        <w:t>our Human Resources Committee has designed the compensation packages for our Named Executive Officers to depend significantly on putting pay at risk tied to the achievement of goals that the Human Resources Committee believes drive long-term shareholder value;</w:t>
      </w:r>
    </w:p>
    <w:p>
      <w:pPr>
        <w:spacing w:after="0" w:line="173" w:lineRule="exact"/>
        <w:rPr>
          <w:rFonts w:ascii="Arial" w:cs="Arial" w:eastAsia="Arial" w:hAnsi="Arial"/>
          <w:sz w:val="20"/>
          <w:szCs w:val="20"/>
          <w:color w:val="3A5575"/>
        </w:rPr>
      </w:pPr>
    </w:p>
    <w:p>
      <w:pPr>
        <w:ind w:left="482" w:right="900" w:hanging="482"/>
        <w:spacing w:after="0" w:line="265" w:lineRule="auto"/>
        <w:tabs>
          <w:tab w:leader="none" w:pos="482" w:val="left"/>
        </w:tabs>
        <w:numPr>
          <w:ilvl w:val="0"/>
          <w:numId w:val="98"/>
        </w:numPr>
        <w:rPr>
          <w:rFonts w:ascii="Arial" w:cs="Arial" w:eastAsia="Arial" w:hAnsi="Arial"/>
          <w:sz w:val="20"/>
          <w:szCs w:val="20"/>
          <w:color w:val="3A5575"/>
        </w:rPr>
      </w:pPr>
      <w:r>
        <w:rPr>
          <w:rFonts w:ascii="Arial" w:cs="Arial" w:eastAsia="Arial" w:hAnsi="Arial"/>
          <w:sz w:val="20"/>
          <w:szCs w:val="20"/>
          <w:color w:val="auto"/>
        </w:rPr>
        <w:t>the Company had a highly successful year in 2015, as discussed under "2015 Highlights: Performance" in the Proxy Statement Summary;</w:t>
      </w:r>
    </w:p>
    <w:p>
      <w:pPr>
        <w:spacing w:after="0" w:line="142" w:lineRule="exact"/>
        <w:rPr>
          <w:rFonts w:ascii="Arial" w:cs="Arial" w:eastAsia="Arial" w:hAnsi="Arial"/>
          <w:sz w:val="20"/>
          <w:szCs w:val="20"/>
          <w:color w:val="3A5575"/>
        </w:rPr>
      </w:pPr>
    </w:p>
    <w:p>
      <w:pPr>
        <w:ind w:left="482" w:hanging="482"/>
        <w:spacing w:after="0"/>
        <w:tabs>
          <w:tab w:leader="none" w:pos="482" w:val="left"/>
        </w:tabs>
        <w:numPr>
          <w:ilvl w:val="0"/>
          <w:numId w:val="98"/>
        </w:numPr>
        <w:rPr>
          <w:rFonts w:ascii="Arial" w:cs="Arial" w:eastAsia="Arial" w:hAnsi="Arial"/>
          <w:sz w:val="20"/>
          <w:szCs w:val="20"/>
          <w:color w:val="3A5575"/>
        </w:rPr>
      </w:pPr>
      <w:r>
        <w:rPr>
          <w:rFonts w:ascii="Arial" w:cs="Arial" w:eastAsia="Arial" w:hAnsi="Arial"/>
          <w:sz w:val="20"/>
          <w:szCs w:val="20"/>
          <w:color w:val="auto"/>
        </w:rPr>
        <w:t>our pay practices are designed to encourage management to not take unacceptable risks;</w:t>
      </w:r>
    </w:p>
    <w:p>
      <w:pPr>
        <w:spacing w:after="0" w:line="199" w:lineRule="exact"/>
        <w:rPr>
          <w:rFonts w:ascii="Arial" w:cs="Arial" w:eastAsia="Arial" w:hAnsi="Arial"/>
          <w:sz w:val="20"/>
          <w:szCs w:val="20"/>
          <w:color w:val="3A5575"/>
        </w:rPr>
      </w:pPr>
    </w:p>
    <w:p>
      <w:pPr>
        <w:ind w:left="482" w:right="440" w:hanging="482"/>
        <w:spacing w:after="0" w:line="265" w:lineRule="auto"/>
        <w:tabs>
          <w:tab w:leader="none" w:pos="482" w:val="left"/>
        </w:tabs>
        <w:numPr>
          <w:ilvl w:val="0"/>
          <w:numId w:val="98"/>
        </w:numPr>
        <w:rPr>
          <w:rFonts w:ascii="Arial" w:cs="Arial" w:eastAsia="Arial" w:hAnsi="Arial"/>
          <w:sz w:val="20"/>
          <w:szCs w:val="20"/>
          <w:color w:val="3A5575"/>
        </w:rPr>
      </w:pPr>
      <w:r>
        <w:rPr>
          <w:rFonts w:ascii="Arial" w:cs="Arial" w:eastAsia="Arial" w:hAnsi="Arial"/>
          <w:sz w:val="20"/>
          <w:szCs w:val="20"/>
          <w:color w:val="auto"/>
        </w:rPr>
        <w:t>we engage in continual benchmarking in order to confirm that our programs are comparable to the companies in our Peer Group; and</w:t>
      </w:r>
    </w:p>
    <w:p>
      <w:pPr>
        <w:spacing w:after="0" w:line="154" w:lineRule="exact"/>
        <w:rPr>
          <w:rFonts w:ascii="Arial" w:cs="Arial" w:eastAsia="Arial" w:hAnsi="Arial"/>
          <w:sz w:val="20"/>
          <w:szCs w:val="20"/>
          <w:color w:val="3A5575"/>
        </w:rPr>
      </w:pPr>
    </w:p>
    <w:p>
      <w:pPr>
        <w:ind w:left="482" w:right="260" w:hanging="482"/>
        <w:spacing w:after="0" w:line="265" w:lineRule="auto"/>
        <w:tabs>
          <w:tab w:leader="none" w:pos="482" w:val="left"/>
        </w:tabs>
        <w:numPr>
          <w:ilvl w:val="0"/>
          <w:numId w:val="98"/>
        </w:numPr>
        <w:rPr>
          <w:rFonts w:ascii="Arial" w:cs="Arial" w:eastAsia="Arial" w:hAnsi="Arial"/>
          <w:sz w:val="20"/>
          <w:szCs w:val="20"/>
          <w:color w:val="3A5575"/>
        </w:rPr>
      </w:pPr>
      <w:r>
        <w:rPr>
          <w:rFonts w:ascii="Arial" w:cs="Arial" w:eastAsia="Arial" w:hAnsi="Arial"/>
          <w:sz w:val="20"/>
          <w:szCs w:val="20"/>
          <w:color w:val="auto"/>
        </w:rPr>
        <w:t>we believe that the Company's executive compensation program is well suited to promote the Company's objectives in both the short and long-term.</w:t>
      </w:r>
    </w:p>
    <w:p>
      <w:pPr>
        <w:spacing w:after="0" w:line="130" w:lineRule="exact"/>
        <w:rPr>
          <w:sz w:val="20"/>
          <w:szCs w:val="20"/>
          <w:color w:val="auto"/>
        </w:rPr>
      </w:pPr>
    </w:p>
    <w:p>
      <w:pPr>
        <w:ind w:left="2" w:right="20"/>
        <w:spacing w:after="0" w:line="265" w:lineRule="auto"/>
        <w:rPr>
          <w:sz w:val="20"/>
          <w:szCs w:val="20"/>
          <w:color w:val="auto"/>
        </w:rPr>
      </w:pPr>
      <w:r>
        <w:rPr>
          <w:rFonts w:ascii="Arial" w:cs="Arial" w:eastAsia="Arial" w:hAnsi="Arial"/>
          <w:sz w:val="20"/>
          <w:szCs w:val="20"/>
          <w:color w:val="auto"/>
        </w:rPr>
        <w:t>The Board strongly endorses the Company's executive compensation program and recommends that the shareholders vote in favor of the following resolution:</w:t>
      </w:r>
    </w:p>
    <w:p>
      <w:pPr>
        <w:spacing w:after="0" w:line="130" w:lineRule="exact"/>
        <w:rPr>
          <w:sz w:val="20"/>
          <w:szCs w:val="20"/>
          <w:color w:val="auto"/>
        </w:rPr>
      </w:pPr>
    </w:p>
    <w:p>
      <w:pPr>
        <w:ind w:left="982" w:right="780"/>
        <w:spacing w:after="0" w:line="265" w:lineRule="auto"/>
        <w:rPr>
          <w:sz w:val="20"/>
          <w:szCs w:val="20"/>
          <w:color w:val="auto"/>
        </w:rPr>
      </w:pPr>
      <w:r>
        <w:rPr>
          <w:rFonts w:ascii="Arial" w:cs="Arial" w:eastAsia="Arial" w:hAnsi="Arial"/>
          <w:sz w:val="20"/>
          <w:szCs w:val="20"/>
          <w:color w:val="auto"/>
        </w:rPr>
        <w:t>RESOLVED, that the compensation paid to the Company's Named Executive Officers as disclosed in this Proxy Statement in the CD&amp;A, the compensation tables and the narrative discussion, is hereby approved.</w:t>
      </w:r>
    </w:p>
    <w:p>
      <w:pPr>
        <w:spacing w:after="0" w:line="130" w:lineRule="exact"/>
        <w:rPr>
          <w:sz w:val="20"/>
          <w:szCs w:val="20"/>
          <w:color w:val="auto"/>
        </w:rPr>
      </w:pPr>
    </w:p>
    <w:p>
      <w:pPr>
        <w:ind w:left="2" w:right="300"/>
        <w:spacing w:after="0" w:line="247" w:lineRule="auto"/>
        <w:rPr>
          <w:sz w:val="20"/>
          <w:szCs w:val="20"/>
          <w:color w:val="auto"/>
        </w:rPr>
      </w:pPr>
      <w:r>
        <w:rPr>
          <w:rFonts w:ascii="Arial" w:cs="Arial" w:eastAsia="Arial" w:hAnsi="Arial"/>
          <w:sz w:val="20"/>
          <w:szCs w:val="20"/>
          <w:color w:val="auto"/>
        </w:rPr>
        <w:t>Because your vote is advisory, it will not be binding upon the Human Resources Committee or the Board. However, we value our shareholders' opinions, and we will consider the outcome of the vote when determining future executive compensation arrangements.</w:t>
      </w:r>
    </w:p>
    <w:p>
      <w:pPr>
        <w:spacing w:after="0" w:line="145" w:lineRule="exact"/>
        <w:rPr>
          <w:sz w:val="20"/>
          <w:szCs w:val="20"/>
          <w:color w:val="auto"/>
        </w:rPr>
      </w:pPr>
    </w:p>
    <w:p>
      <w:pPr>
        <w:jc w:val="center"/>
        <w:ind w:right="18"/>
        <w:spacing w:after="0"/>
        <w:rPr>
          <w:sz w:val="20"/>
          <w:szCs w:val="20"/>
          <w:color w:val="auto"/>
        </w:rPr>
      </w:pPr>
      <w:r>
        <w:rPr>
          <w:rFonts w:ascii="Arial" w:cs="Arial" w:eastAsia="Arial" w:hAnsi="Arial"/>
          <w:sz w:val="20"/>
          <w:szCs w:val="20"/>
          <w:b w:val="1"/>
          <w:bCs w:val="1"/>
          <w:color w:val="auto"/>
        </w:rPr>
        <w:t>THE BOARD OF DIRECTORS UNANIMOUSLY RECOMMENDS</w:t>
      </w:r>
    </w:p>
    <w:p>
      <w:pPr>
        <w:spacing w:after="0" w:line="19" w:lineRule="exact"/>
        <w:rPr>
          <w:sz w:val="20"/>
          <w:szCs w:val="20"/>
          <w:color w:val="auto"/>
        </w:rPr>
      </w:pPr>
    </w:p>
    <w:p>
      <w:pPr>
        <w:jc w:val="center"/>
        <w:ind w:right="18"/>
        <w:spacing w:after="0"/>
        <w:rPr>
          <w:sz w:val="20"/>
          <w:szCs w:val="20"/>
          <w:color w:val="auto"/>
        </w:rPr>
      </w:pPr>
      <w:r>
        <w:rPr>
          <w:rFonts w:ascii="Arial" w:cs="Arial" w:eastAsia="Arial" w:hAnsi="Arial"/>
          <w:sz w:val="20"/>
          <w:szCs w:val="20"/>
          <w:b w:val="1"/>
          <w:bCs w:val="1"/>
          <w:color w:val="auto"/>
        </w:rPr>
        <w:t xml:space="preserve">A VOTE </w:t>
      </w:r>
      <w:r>
        <w:rPr>
          <w:rFonts w:ascii="Arial" w:cs="Arial" w:eastAsia="Arial" w:hAnsi="Arial"/>
          <w:sz w:val="20"/>
          <w:szCs w:val="20"/>
          <w:b w:val="1"/>
          <w:bCs w:val="1"/>
          <w:u w:val="single" w:color="auto"/>
          <w:color w:val="auto"/>
        </w:rPr>
        <w:t>FOR</w:t>
      </w:r>
      <w:r>
        <w:rPr>
          <w:rFonts w:ascii="Arial" w:cs="Arial" w:eastAsia="Arial" w:hAnsi="Arial"/>
          <w:sz w:val="20"/>
          <w:szCs w:val="20"/>
          <w:b w:val="1"/>
          <w:bCs w:val="1"/>
          <w:color w:val="auto"/>
        </w:rPr>
        <w:t xml:space="preserve"> THE APPROVAL OF THE COMPANY'S EXECUTIVE COMPENSATION</w:t>
      </w:r>
    </w:p>
    <w:p>
      <w:pPr>
        <w:spacing w:after="0" w:line="244"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7263765" cy="2032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100" w:name="page101"/>
    <w:bookmarkEnd w:id="100"/>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11811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232650" cy="118110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spacing w:after="0" w:line="271" w:lineRule="auto"/>
        <w:rPr>
          <w:sz w:val="20"/>
          <w:szCs w:val="20"/>
          <w:color w:val="auto"/>
        </w:rPr>
      </w:pPr>
      <w:r>
        <w:rPr>
          <w:rFonts w:ascii="Arial" w:cs="Arial" w:eastAsia="Arial" w:hAnsi="Arial"/>
          <w:sz w:val="39"/>
          <w:szCs w:val="39"/>
          <w:b w:val="1"/>
          <w:bCs w:val="1"/>
          <w:color w:val="3A5575"/>
        </w:rPr>
        <w:t>Proposal 3 — Ratification of the Appointment of Deloitte &amp; Touche LLP as the Independent Accountants for the Company</w:t>
      </w:r>
    </w:p>
    <w:p>
      <w:pPr>
        <w:spacing w:after="0" w:line="297" w:lineRule="exact"/>
        <w:rPr>
          <w:sz w:val="20"/>
          <w:szCs w:val="20"/>
          <w:color w:val="auto"/>
        </w:rPr>
      </w:pPr>
    </w:p>
    <w:p>
      <w:pPr>
        <w:ind w:right="140"/>
        <w:spacing w:after="0" w:line="237" w:lineRule="auto"/>
        <w:rPr>
          <w:sz w:val="20"/>
          <w:szCs w:val="20"/>
          <w:color w:val="auto"/>
        </w:rPr>
      </w:pPr>
      <w:r>
        <w:rPr>
          <w:rFonts w:ascii="Arial" w:cs="Arial" w:eastAsia="Arial" w:hAnsi="Arial"/>
          <w:sz w:val="20"/>
          <w:szCs w:val="20"/>
          <w:color w:val="auto"/>
        </w:rPr>
        <w:t>The Audit Committee has appointed D&amp;T as the Company's independent accountants for the year ending December 31, 2016 and has directed management to submit such appointment for ratification by the shareholders at the Annual Meeting. In the event the shareholders fail to ratify the appointment, the Audit Committee may reconsider this appointment. Even if the appointment is ratified, the Audit Committee, in its discretion, may direct the appointment of a different independent accounting firm at any time during the year if the Audit Committee determines that such a change would be in the Company's and the shareholders' best interests.</w:t>
      </w:r>
    </w:p>
    <w:p>
      <w:pPr>
        <w:spacing w:after="0" w:line="154" w:lineRule="exact"/>
        <w:rPr>
          <w:sz w:val="20"/>
          <w:szCs w:val="20"/>
          <w:color w:val="auto"/>
        </w:rPr>
      </w:pPr>
    </w:p>
    <w:p>
      <w:pPr>
        <w:jc w:val="center"/>
        <w:ind w:left="260" w:right="1840"/>
        <w:spacing w:after="0" w:line="246" w:lineRule="auto"/>
        <w:rPr>
          <w:sz w:val="20"/>
          <w:szCs w:val="20"/>
          <w:color w:val="auto"/>
        </w:rPr>
      </w:pPr>
      <w:r>
        <w:rPr>
          <w:rFonts w:ascii="Arial" w:cs="Arial" w:eastAsia="Arial" w:hAnsi="Arial"/>
          <w:sz w:val="20"/>
          <w:szCs w:val="20"/>
          <w:b w:val="1"/>
          <w:bCs w:val="1"/>
          <w:color w:val="auto"/>
        </w:rPr>
        <w:t xml:space="preserve">THE BOARD OF DIRECTORS UNANIMOUSLY RECOMMENDS A VOTE </w:t>
      </w:r>
      <w:r>
        <w:rPr>
          <w:rFonts w:ascii="Arial" w:cs="Arial" w:eastAsia="Arial" w:hAnsi="Arial"/>
          <w:sz w:val="20"/>
          <w:szCs w:val="20"/>
          <w:b w:val="1"/>
          <w:bCs w:val="1"/>
          <w:u w:val="single" w:color="auto"/>
          <w:color w:val="auto"/>
        </w:rPr>
        <w:t>FOR</w:t>
      </w:r>
      <w:r>
        <w:rPr>
          <w:rFonts w:ascii="Arial" w:cs="Arial" w:eastAsia="Arial" w:hAnsi="Arial"/>
          <w:sz w:val="20"/>
          <w:szCs w:val="20"/>
          <w:b w:val="1"/>
          <w:bCs w:val="1"/>
          <w:color w:val="auto"/>
        </w:rPr>
        <w:t xml:space="preserve"> RATIFICATION OF THE APPOINTMENT OF DELOITTE &amp; TOUCHE LLP AS THE COMPANY'S INDEPENDENT ACCOUNTANTS FOR THE YEAR ENDING DECEMBER 31,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162560</wp:posOffset>
            </wp:positionV>
            <wp:extent cx="841375" cy="16383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92</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101" w:name="page102"/>
    <w:bookmarkEnd w:id="101"/>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151130</wp:posOffset>
            </wp:positionV>
            <wp:extent cx="7232650" cy="60452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20"/>
        <w:spacing w:after="0"/>
        <w:rPr>
          <w:sz w:val="20"/>
          <w:szCs w:val="20"/>
          <w:color w:val="auto"/>
        </w:rPr>
      </w:pPr>
      <w:r>
        <w:rPr>
          <w:rFonts w:ascii="Arial" w:cs="Arial" w:eastAsia="Arial" w:hAnsi="Arial"/>
          <w:sz w:val="39"/>
          <w:szCs w:val="39"/>
          <w:b w:val="1"/>
          <w:bCs w:val="1"/>
          <w:color w:val="3A5575"/>
        </w:rPr>
        <w:t>Accounting and Auditing Matters</w:t>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The Independent Accountants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p>
      <w:pPr>
        <w:ind w:right="140"/>
        <w:spacing w:after="0" w:line="242" w:lineRule="auto"/>
        <w:rPr>
          <w:sz w:val="20"/>
          <w:szCs w:val="20"/>
          <w:color w:val="auto"/>
        </w:rPr>
      </w:pPr>
      <w:r>
        <w:rPr>
          <w:rFonts w:ascii="Arial" w:cs="Arial" w:eastAsia="Arial" w:hAnsi="Arial"/>
          <w:sz w:val="20"/>
          <w:szCs w:val="20"/>
          <w:color w:val="auto"/>
        </w:rPr>
        <w:t>The Audit Committee is directly responsible for the appointment, compensation (including audit fee negotiations), retention and oversight of the independent accountants retained to audit the Company's financial statements (taking into account the vote on shareholder ratification). In conjunction with the mandated rotation of D&amp;T's lead engagement partner, the Audit Committee and its Chairman are directly involved in the selection of D&amp;T's new lead engagement partner each time a rotation occurs.</w:t>
      </w:r>
    </w:p>
    <w:p>
      <w:pPr>
        <w:spacing w:after="0" w:line="152" w:lineRule="exact"/>
        <w:rPr>
          <w:sz w:val="20"/>
          <w:szCs w:val="20"/>
          <w:color w:val="auto"/>
        </w:rPr>
      </w:pPr>
    </w:p>
    <w:p>
      <w:pPr>
        <w:ind w:right="20"/>
        <w:spacing w:after="0" w:line="236" w:lineRule="auto"/>
        <w:rPr>
          <w:sz w:val="20"/>
          <w:szCs w:val="20"/>
          <w:color w:val="auto"/>
        </w:rPr>
      </w:pPr>
      <w:r>
        <w:rPr>
          <w:rFonts w:ascii="Arial" w:cs="Arial" w:eastAsia="Arial" w:hAnsi="Arial"/>
          <w:sz w:val="20"/>
          <w:szCs w:val="20"/>
          <w:color w:val="auto"/>
        </w:rPr>
        <w:t>The Audit Committee has appointed D&amp;T, independent accountants, to examine the Company's financial statements for the year ending December 31, 2016 and, pursuant to Proposal 3, has requested shareholder ratification of this appointment. The Audit Committee has discussed the qualifications and performance of D&amp;T and believes that the continued retention of D&amp;T to serve as the Company's independent accountants is in the best interest of the Company and its shareholders. D&amp;T served as the Company's independent registered public accountants for the year ended December 31, 2015. Representatives of that firm will be present at the Annual Meeting. These representatives will have an opportunity to make a statement if they so desire and will be available to respond to appropriate questions.</w:t>
      </w:r>
    </w:p>
    <w:p>
      <w:pPr>
        <w:spacing w:after="0" w:line="15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Audit Fees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24130</wp:posOffset>
            </wp:positionV>
            <wp:extent cx="7259320" cy="762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93" w:lineRule="exact"/>
        <w:rPr>
          <w:sz w:val="20"/>
          <w:szCs w:val="20"/>
          <w:color w:val="auto"/>
        </w:rPr>
      </w:pPr>
    </w:p>
    <w:tbl>
      <w:tblPr>
        <w:tblLayout w:type="fixed"/>
        <w:tblInd w:w="0" w:type="dxa"/>
        <w:tblCellMar>
          <w:top w:w="0" w:type="dxa"/>
          <w:left w:w="0" w:type="dxa"/>
          <w:bottom w:w="0" w:type="dxa"/>
          <w:right w:w="0" w:type="dxa"/>
        </w:tblCellMar>
      </w:tblPr>
      <w:tr>
        <w:trPr>
          <w:trHeight w:val="264"/>
        </w:trPr>
        <w:tc>
          <w:tcPr>
            <w:tcW w:w="6680" w:type="dxa"/>
            <w:vAlign w:val="bottom"/>
            <w:gridSpan w:val="3"/>
          </w:tcPr>
          <w:p>
            <w:pPr>
              <w:spacing w:after="0"/>
              <w:rPr>
                <w:sz w:val="20"/>
                <w:szCs w:val="20"/>
                <w:color w:val="auto"/>
              </w:rPr>
            </w:pPr>
            <w:r>
              <w:rPr>
                <w:rFonts w:ascii="Arial" w:cs="Arial" w:eastAsia="Arial" w:hAnsi="Arial"/>
                <w:sz w:val="20"/>
                <w:szCs w:val="20"/>
                <w:color w:val="auto"/>
              </w:rPr>
              <w:t>The following fees were paid to D&amp;T for the last two fiscal years:</w:t>
            </w:r>
          </w:p>
        </w:tc>
        <w:tc>
          <w:tcPr>
            <w:tcW w:w="2100" w:type="dxa"/>
            <w:vAlign w:val="bottom"/>
          </w:tcPr>
          <w:p>
            <w:pPr>
              <w:spacing w:after="0"/>
              <w:rPr>
                <w:sz w:val="22"/>
                <w:szCs w:val="22"/>
                <w:color w:val="auto"/>
              </w:rPr>
            </w:pPr>
          </w:p>
        </w:tc>
        <w:tc>
          <w:tcPr>
            <w:tcW w:w="9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70"/>
        </w:trPr>
        <w:tc>
          <w:tcPr>
            <w:tcW w:w="1360" w:type="dxa"/>
            <w:vAlign w:val="bottom"/>
          </w:tcPr>
          <w:p>
            <w:pPr>
              <w:spacing w:after="0"/>
              <w:rPr>
                <w:sz w:val="24"/>
                <w:szCs w:val="24"/>
                <w:color w:val="auto"/>
              </w:rPr>
            </w:pPr>
          </w:p>
        </w:tc>
        <w:tc>
          <w:tcPr>
            <w:tcW w:w="5320" w:type="dxa"/>
            <w:vAlign w:val="bottom"/>
            <w:gridSpan w:val="2"/>
            <w:vMerge w:val="restart"/>
          </w:tcPr>
          <w:p>
            <w:pPr>
              <w:spacing w:after="0"/>
              <w:rPr>
                <w:sz w:val="20"/>
                <w:szCs w:val="20"/>
                <w:color w:val="auto"/>
              </w:rPr>
            </w:pPr>
            <w:r>
              <w:rPr>
                <w:rFonts w:ascii="Arial" w:cs="Arial" w:eastAsia="Arial" w:hAnsi="Arial"/>
                <w:sz w:val="20"/>
                <w:szCs w:val="20"/>
                <w:b w:val="1"/>
                <w:bCs w:val="1"/>
                <w:color w:val="3A5575"/>
              </w:rPr>
              <w:t>TYPE OF SERVICE</w:t>
            </w:r>
          </w:p>
        </w:tc>
        <w:tc>
          <w:tcPr>
            <w:tcW w:w="2100" w:type="dxa"/>
            <w:vAlign w:val="bottom"/>
          </w:tcPr>
          <w:p>
            <w:pPr>
              <w:jc w:val="right"/>
              <w:ind w:right="242"/>
              <w:spacing w:after="0"/>
              <w:rPr>
                <w:sz w:val="20"/>
                <w:szCs w:val="20"/>
                <w:color w:val="auto"/>
              </w:rPr>
            </w:pPr>
            <w:r>
              <w:rPr>
                <w:rFonts w:ascii="Arial" w:cs="Arial" w:eastAsia="Arial" w:hAnsi="Arial"/>
                <w:sz w:val="20"/>
                <w:szCs w:val="20"/>
                <w:b w:val="1"/>
                <w:bCs w:val="1"/>
                <w:color w:val="3A5575"/>
              </w:rPr>
              <w:t>2014</w:t>
            </w:r>
          </w:p>
        </w:tc>
        <w:tc>
          <w:tcPr>
            <w:tcW w:w="960" w:type="dxa"/>
            <w:vAlign w:val="bottom"/>
          </w:tcPr>
          <w:p>
            <w:pPr>
              <w:jc w:val="right"/>
              <w:ind w:right="122"/>
              <w:spacing w:after="0"/>
              <w:rPr>
                <w:sz w:val="20"/>
                <w:szCs w:val="20"/>
                <w:color w:val="auto"/>
              </w:rPr>
            </w:pPr>
            <w:r>
              <w:rPr>
                <w:rFonts w:ascii="Arial" w:cs="Arial" w:eastAsia="Arial" w:hAnsi="Arial"/>
                <w:sz w:val="20"/>
                <w:szCs w:val="20"/>
                <w:b w:val="1"/>
                <w:bCs w:val="1"/>
                <w:color w:val="3A5575"/>
              </w:rPr>
              <w:t>2015</w:t>
            </w:r>
          </w:p>
        </w:tc>
        <w:tc>
          <w:tcPr>
            <w:tcW w:w="0" w:type="dxa"/>
            <w:vAlign w:val="bottom"/>
          </w:tcPr>
          <w:p>
            <w:pPr>
              <w:spacing w:after="0"/>
              <w:rPr>
                <w:sz w:val="1"/>
                <w:szCs w:val="1"/>
                <w:color w:val="auto"/>
              </w:rPr>
            </w:pPr>
          </w:p>
        </w:tc>
      </w:tr>
      <w:tr>
        <w:trPr>
          <w:trHeight w:val="255"/>
        </w:trPr>
        <w:tc>
          <w:tcPr>
            <w:tcW w:w="1360" w:type="dxa"/>
            <w:vAlign w:val="bottom"/>
          </w:tcPr>
          <w:p>
            <w:pPr>
              <w:spacing w:after="0"/>
              <w:rPr>
                <w:sz w:val="22"/>
                <w:szCs w:val="22"/>
                <w:color w:val="auto"/>
              </w:rPr>
            </w:pPr>
          </w:p>
        </w:tc>
        <w:tc>
          <w:tcPr>
            <w:tcW w:w="5320" w:type="dxa"/>
            <w:vAlign w:val="bottom"/>
            <w:tcBorders>
              <w:bottom w:val="single" w:sz="8" w:color="888992"/>
            </w:tcBorders>
            <w:gridSpan w:val="2"/>
            <w:vMerge w:val="continue"/>
          </w:tcPr>
          <w:p>
            <w:pPr>
              <w:spacing w:after="0"/>
              <w:rPr>
                <w:sz w:val="22"/>
                <w:szCs w:val="22"/>
                <w:color w:val="auto"/>
              </w:rPr>
            </w:pPr>
          </w:p>
        </w:tc>
        <w:tc>
          <w:tcPr>
            <w:tcW w:w="2100" w:type="dxa"/>
            <w:vAlign w:val="bottom"/>
            <w:tcBorders>
              <w:bottom w:val="single" w:sz="8" w:color="888992"/>
            </w:tcBorders>
          </w:tcPr>
          <w:p>
            <w:pPr>
              <w:jc w:val="right"/>
              <w:ind w:right="342"/>
              <w:spacing w:after="0"/>
              <w:rPr>
                <w:sz w:val="20"/>
                <w:szCs w:val="20"/>
                <w:color w:val="auto"/>
              </w:rPr>
            </w:pPr>
            <w:r>
              <w:rPr>
                <w:rFonts w:ascii="Arial" w:cs="Arial" w:eastAsia="Arial" w:hAnsi="Arial"/>
                <w:sz w:val="20"/>
                <w:szCs w:val="20"/>
                <w:b w:val="1"/>
                <w:bCs w:val="1"/>
                <w:color w:val="3A5575"/>
              </w:rPr>
              <w:t>($)</w:t>
            </w:r>
          </w:p>
        </w:tc>
        <w:tc>
          <w:tcPr>
            <w:tcW w:w="960" w:type="dxa"/>
            <w:vAlign w:val="bottom"/>
            <w:tcBorders>
              <w:bottom w:val="single" w:sz="8" w:color="888992"/>
            </w:tcBorders>
          </w:tcPr>
          <w:p>
            <w:pPr>
              <w:jc w:val="right"/>
              <w:ind w:right="222"/>
              <w:spacing w:after="0"/>
              <w:rPr>
                <w:sz w:val="20"/>
                <w:szCs w:val="20"/>
                <w:color w:val="auto"/>
              </w:rPr>
            </w:pPr>
            <w:r>
              <w:rPr>
                <w:rFonts w:ascii="Arial" w:cs="Arial" w:eastAsia="Arial" w:hAnsi="Arial"/>
                <w:sz w:val="20"/>
                <w:szCs w:val="20"/>
                <w:b w:val="1"/>
                <w:bCs w:val="1"/>
                <w:color w:val="3A5575"/>
              </w:rPr>
              <w:t>($)</w:t>
            </w:r>
          </w:p>
        </w:tc>
        <w:tc>
          <w:tcPr>
            <w:tcW w:w="0" w:type="dxa"/>
            <w:vAlign w:val="bottom"/>
          </w:tcPr>
          <w:p>
            <w:pPr>
              <w:spacing w:after="0"/>
              <w:rPr>
                <w:sz w:val="1"/>
                <w:szCs w:val="1"/>
                <w:color w:val="auto"/>
              </w:rPr>
            </w:pPr>
          </w:p>
        </w:tc>
      </w:tr>
      <w:tr>
        <w:trPr>
          <w:trHeight w:val="262"/>
        </w:trPr>
        <w:tc>
          <w:tcPr>
            <w:tcW w:w="13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5300" w:type="dxa"/>
            <w:vAlign w:val="bottom"/>
            <w:shd w:val="clear" w:color="auto" w:fill="E3E5EB"/>
          </w:tcPr>
          <w:p>
            <w:pPr>
              <w:spacing w:after="0" w:line="262" w:lineRule="exact"/>
              <w:rPr>
                <w:sz w:val="20"/>
                <w:szCs w:val="20"/>
                <w:color w:val="auto"/>
              </w:rPr>
            </w:pPr>
            <w:r>
              <w:rPr>
                <w:rFonts w:ascii="Arial" w:cs="Arial" w:eastAsia="Arial" w:hAnsi="Arial"/>
                <w:sz w:val="19"/>
                <w:szCs w:val="19"/>
                <w:color w:val="auto"/>
              </w:rPr>
              <w:t>Audit Fees</w:t>
            </w:r>
            <w:r>
              <w:rPr>
                <w:rFonts w:ascii="Arial" w:cs="Arial" w:eastAsia="Arial" w:hAnsi="Arial"/>
                <w:sz w:val="30"/>
                <w:szCs w:val="30"/>
                <w:color w:val="auto"/>
                <w:vertAlign w:val="superscript"/>
              </w:rPr>
              <w:t>(1)</w:t>
            </w:r>
          </w:p>
        </w:tc>
        <w:tc>
          <w:tcPr>
            <w:tcW w:w="2100" w:type="dxa"/>
            <w:vAlign w:val="bottom"/>
            <w:shd w:val="clear" w:color="auto" w:fill="E3E5EB"/>
          </w:tcPr>
          <w:p>
            <w:pPr>
              <w:jc w:val="right"/>
              <w:ind w:right="22"/>
              <w:spacing w:after="0"/>
              <w:rPr>
                <w:sz w:val="20"/>
                <w:szCs w:val="20"/>
                <w:color w:val="auto"/>
              </w:rPr>
            </w:pPr>
            <w:r>
              <w:rPr>
                <w:rFonts w:ascii="Arial" w:cs="Arial" w:eastAsia="Arial" w:hAnsi="Arial"/>
                <w:sz w:val="20"/>
                <w:szCs w:val="20"/>
                <w:color w:val="auto"/>
              </w:rPr>
              <w:t>2,484,480</w:t>
            </w:r>
          </w:p>
        </w:tc>
        <w:tc>
          <w:tcPr>
            <w:tcW w:w="960" w:type="dxa"/>
            <w:vAlign w:val="bottom"/>
            <w:shd w:val="clear" w:color="auto" w:fill="E3E5EB"/>
          </w:tcPr>
          <w:p>
            <w:pPr>
              <w:jc w:val="right"/>
              <w:spacing w:after="0"/>
              <w:rPr>
                <w:sz w:val="20"/>
                <w:szCs w:val="20"/>
                <w:color w:val="auto"/>
              </w:rPr>
            </w:pPr>
            <w:r>
              <w:rPr>
                <w:rFonts w:ascii="Arial" w:cs="Arial" w:eastAsia="Arial" w:hAnsi="Arial"/>
                <w:sz w:val="20"/>
                <w:szCs w:val="20"/>
                <w:color w:val="auto"/>
              </w:rPr>
              <w:t>2,454,372</w:t>
            </w:r>
          </w:p>
        </w:tc>
        <w:tc>
          <w:tcPr>
            <w:tcW w:w="0" w:type="dxa"/>
            <w:vAlign w:val="bottom"/>
          </w:tcPr>
          <w:p>
            <w:pPr>
              <w:spacing w:after="0"/>
              <w:rPr>
                <w:sz w:val="1"/>
                <w:szCs w:val="1"/>
                <w:color w:val="auto"/>
              </w:rPr>
            </w:pPr>
          </w:p>
        </w:tc>
      </w:tr>
      <w:tr>
        <w:trPr>
          <w:trHeight w:val="270"/>
        </w:trPr>
        <w:tc>
          <w:tcPr>
            <w:tcW w:w="13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5300" w:type="dxa"/>
            <w:vAlign w:val="bottom"/>
          </w:tcPr>
          <w:p>
            <w:pPr>
              <w:spacing w:after="0" w:line="269" w:lineRule="exact"/>
              <w:rPr>
                <w:sz w:val="20"/>
                <w:szCs w:val="20"/>
                <w:color w:val="auto"/>
              </w:rPr>
            </w:pPr>
            <w:r>
              <w:rPr>
                <w:rFonts w:ascii="Arial" w:cs="Arial" w:eastAsia="Arial" w:hAnsi="Arial"/>
                <w:sz w:val="19"/>
                <w:szCs w:val="19"/>
                <w:color w:val="auto"/>
              </w:rPr>
              <w:t>Audit-Related Fees</w:t>
            </w:r>
            <w:r>
              <w:rPr>
                <w:rFonts w:ascii="Arial" w:cs="Arial" w:eastAsia="Arial" w:hAnsi="Arial"/>
                <w:sz w:val="31"/>
                <w:szCs w:val="31"/>
                <w:color w:val="auto"/>
                <w:vertAlign w:val="superscript"/>
              </w:rPr>
              <w:t>(2)</w:t>
            </w:r>
          </w:p>
        </w:tc>
        <w:tc>
          <w:tcPr>
            <w:tcW w:w="2100" w:type="dxa"/>
            <w:vAlign w:val="bottom"/>
          </w:tcPr>
          <w:p>
            <w:pPr>
              <w:jc w:val="right"/>
              <w:ind w:right="22"/>
              <w:spacing w:after="0"/>
              <w:rPr>
                <w:sz w:val="20"/>
                <w:szCs w:val="20"/>
                <w:color w:val="auto"/>
              </w:rPr>
            </w:pPr>
            <w:r>
              <w:rPr>
                <w:rFonts w:ascii="Arial" w:cs="Arial" w:eastAsia="Arial" w:hAnsi="Arial"/>
                <w:sz w:val="20"/>
                <w:szCs w:val="20"/>
                <w:color w:val="auto"/>
              </w:rPr>
              <w:t>265,100</w:t>
            </w:r>
          </w:p>
        </w:tc>
        <w:tc>
          <w:tcPr>
            <w:tcW w:w="960" w:type="dxa"/>
            <w:vAlign w:val="bottom"/>
          </w:tcPr>
          <w:p>
            <w:pPr>
              <w:jc w:val="right"/>
              <w:spacing w:after="0"/>
              <w:rPr>
                <w:sz w:val="20"/>
                <w:szCs w:val="20"/>
                <w:color w:val="auto"/>
              </w:rPr>
            </w:pPr>
            <w:r>
              <w:rPr>
                <w:rFonts w:ascii="Arial" w:cs="Arial" w:eastAsia="Arial" w:hAnsi="Arial"/>
                <w:sz w:val="20"/>
                <w:szCs w:val="20"/>
                <w:color w:val="auto"/>
              </w:rPr>
              <w:t>291,689</w:t>
            </w:r>
          </w:p>
        </w:tc>
        <w:tc>
          <w:tcPr>
            <w:tcW w:w="0" w:type="dxa"/>
            <w:vAlign w:val="bottom"/>
          </w:tcPr>
          <w:p>
            <w:pPr>
              <w:spacing w:after="0"/>
              <w:rPr>
                <w:sz w:val="1"/>
                <w:szCs w:val="1"/>
                <w:color w:val="auto"/>
              </w:rPr>
            </w:pPr>
          </w:p>
        </w:tc>
      </w:tr>
      <w:tr>
        <w:trPr>
          <w:trHeight w:val="270"/>
        </w:trPr>
        <w:tc>
          <w:tcPr>
            <w:tcW w:w="13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5300" w:type="dxa"/>
            <w:vAlign w:val="bottom"/>
            <w:shd w:val="clear" w:color="auto" w:fill="E3E5EB"/>
          </w:tcPr>
          <w:p>
            <w:pPr>
              <w:spacing w:after="0" w:line="269" w:lineRule="exact"/>
              <w:rPr>
                <w:sz w:val="20"/>
                <w:szCs w:val="20"/>
                <w:color w:val="auto"/>
              </w:rPr>
            </w:pPr>
            <w:r>
              <w:rPr>
                <w:rFonts w:ascii="Arial" w:cs="Arial" w:eastAsia="Arial" w:hAnsi="Arial"/>
                <w:sz w:val="19"/>
                <w:szCs w:val="19"/>
                <w:color w:val="auto"/>
              </w:rPr>
              <w:t>Tax Fees</w:t>
            </w:r>
            <w:r>
              <w:rPr>
                <w:rFonts w:ascii="Arial" w:cs="Arial" w:eastAsia="Arial" w:hAnsi="Arial"/>
                <w:sz w:val="31"/>
                <w:szCs w:val="31"/>
                <w:color w:val="auto"/>
                <w:vertAlign w:val="superscript"/>
              </w:rPr>
              <w:t>(3)</w:t>
            </w:r>
          </w:p>
        </w:tc>
        <w:tc>
          <w:tcPr>
            <w:tcW w:w="2100" w:type="dxa"/>
            <w:vAlign w:val="bottom"/>
            <w:shd w:val="clear" w:color="auto" w:fill="E3E5EB"/>
          </w:tcPr>
          <w:p>
            <w:pPr>
              <w:jc w:val="right"/>
              <w:ind w:right="22"/>
              <w:spacing w:after="0"/>
              <w:rPr>
                <w:sz w:val="20"/>
                <w:szCs w:val="20"/>
                <w:color w:val="auto"/>
              </w:rPr>
            </w:pPr>
            <w:r>
              <w:rPr>
                <w:rFonts w:ascii="Arial" w:cs="Arial" w:eastAsia="Arial" w:hAnsi="Arial"/>
                <w:sz w:val="20"/>
                <w:szCs w:val="20"/>
                <w:color w:val="auto"/>
              </w:rPr>
              <w:t>1,857</w:t>
            </w:r>
          </w:p>
        </w:tc>
        <w:tc>
          <w:tcPr>
            <w:tcW w:w="960" w:type="dxa"/>
            <w:vAlign w:val="bottom"/>
            <w:shd w:val="clear" w:color="auto" w:fill="E3E5EB"/>
          </w:tcPr>
          <w:p>
            <w:pPr>
              <w:jc w:val="right"/>
              <w:spacing w:after="0"/>
              <w:rPr>
                <w:sz w:val="20"/>
                <w:szCs w:val="20"/>
                <w:color w:val="auto"/>
              </w:rPr>
            </w:pPr>
            <w:r>
              <w:rPr>
                <w:rFonts w:ascii="Arial" w:cs="Arial" w:eastAsia="Arial" w:hAnsi="Arial"/>
                <w:sz w:val="20"/>
                <w:szCs w:val="20"/>
                <w:color w:val="auto"/>
              </w:rPr>
              <w:t>0</w:t>
            </w:r>
          </w:p>
        </w:tc>
        <w:tc>
          <w:tcPr>
            <w:tcW w:w="0" w:type="dxa"/>
            <w:vAlign w:val="bottom"/>
          </w:tcPr>
          <w:p>
            <w:pPr>
              <w:spacing w:after="0"/>
              <w:rPr>
                <w:sz w:val="1"/>
                <w:szCs w:val="1"/>
                <w:color w:val="auto"/>
              </w:rPr>
            </w:pPr>
          </w:p>
        </w:tc>
      </w:tr>
      <w:tr>
        <w:trPr>
          <w:trHeight w:val="270"/>
        </w:trPr>
        <w:tc>
          <w:tcPr>
            <w:tcW w:w="1360" w:type="dxa"/>
            <w:vAlign w:val="bottom"/>
          </w:tcPr>
          <w:p>
            <w:pPr>
              <w:spacing w:after="0"/>
              <w:rPr>
                <w:sz w:val="23"/>
                <w:szCs w:val="23"/>
                <w:color w:val="auto"/>
              </w:rPr>
            </w:pPr>
          </w:p>
        </w:tc>
        <w:tc>
          <w:tcPr>
            <w:tcW w:w="20" w:type="dxa"/>
            <w:vAlign w:val="bottom"/>
            <w:tcBorders>
              <w:bottom w:val="single" w:sz="8" w:color="888992"/>
            </w:tcBorders>
          </w:tcPr>
          <w:p>
            <w:pPr>
              <w:spacing w:after="0"/>
              <w:rPr>
                <w:sz w:val="23"/>
                <w:szCs w:val="23"/>
                <w:color w:val="auto"/>
              </w:rPr>
            </w:pPr>
          </w:p>
        </w:tc>
        <w:tc>
          <w:tcPr>
            <w:tcW w:w="5300" w:type="dxa"/>
            <w:vAlign w:val="bottom"/>
            <w:tcBorders>
              <w:bottom w:val="single" w:sz="8" w:color="888992"/>
            </w:tcBorders>
          </w:tcPr>
          <w:p>
            <w:pPr>
              <w:spacing w:after="0" w:line="269" w:lineRule="exact"/>
              <w:rPr>
                <w:sz w:val="20"/>
                <w:szCs w:val="20"/>
                <w:color w:val="auto"/>
              </w:rPr>
            </w:pPr>
            <w:r>
              <w:rPr>
                <w:rFonts w:ascii="Arial" w:cs="Arial" w:eastAsia="Arial" w:hAnsi="Arial"/>
                <w:sz w:val="19"/>
                <w:szCs w:val="19"/>
                <w:color w:val="auto"/>
              </w:rPr>
              <w:t>All Other Fees</w:t>
            </w:r>
            <w:r>
              <w:rPr>
                <w:rFonts w:ascii="Arial" w:cs="Arial" w:eastAsia="Arial" w:hAnsi="Arial"/>
                <w:sz w:val="31"/>
                <w:szCs w:val="31"/>
                <w:color w:val="auto"/>
                <w:vertAlign w:val="superscript"/>
              </w:rPr>
              <w:t>(4)</w:t>
            </w:r>
          </w:p>
        </w:tc>
        <w:tc>
          <w:tcPr>
            <w:tcW w:w="2100" w:type="dxa"/>
            <w:vAlign w:val="bottom"/>
            <w:tcBorders>
              <w:bottom w:val="single" w:sz="8" w:color="888992"/>
            </w:tcBorders>
          </w:tcPr>
          <w:p>
            <w:pPr>
              <w:jc w:val="right"/>
              <w:ind w:right="22"/>
              <w:spacing w:after="0"/>
              <w:rPr>
                <w:sz w:val="20"/>
                <w:szCs w:val="20"/>
                <w:color w:val="auto"/>
              </w:rPr>
            </w:pPr>
            <w:r>
              <w:rPr>
                <w:rFonts w:ascii="Arial" w:cs="Arial" w:eastAsia="Arial" w:hAnsi="Arial"/>
                <w:sz w:val="20"/>
                <w:szCs w:val="20"/>
                <w:color w:val="auto"/>
              </w:rPr>
              <w:t>0</w:t>
            </w:r>
          </w:p>
        </w:tc>
        <w:tc>
          <w:tcPr>
            <w:tcW w:w="960" w:type="dxa"/>
            <w:vAlign w:val="bottom"/>
            <w:tcBorders>
              <w:bottom w:val="single" w:sz="8" w:color="888992"/>
            </w:tcBorders>
          </w:tcPr>
          <w:p>
            <w:pPr>
              <w:jc w:val="right"/>
              <w:spacing w:after="0"/>
              <w:rPr>
                <w:sz w:val="20"/>
                <w:szCs w:val="20"/>
                <w:color w:val="auto"/>
              </w:rPr>
            </w:pPr>
            <w:r>
              <w:rPr>
                <w:rFonts w:ascii="Arial" w:cs="Arial" w:eastAsia="Arial" w:hAnsi="Arial"/>
                <w:sz w:val="20"/>
                <w:szCs w:val="20"/>
                <w:color w:val="auto"/>
              </w:rPr>
              <w:t>10,000</w:t>
            </w:r>
          </w:p>
        </w:tc>
        <w:tc>
          <w:tcPr>
            <w:tcW w:w="0" w:type="dxa"/>
            <w:vAlign w:val="bottom"/>
          </w:tcPr>
          <w:p>
            <w:pPr>
              <w:spacing w:after="0"/>
              <w:rPr>
                <w:sz w:val="1"/>
                <w:szCs w:val="1"/>
                <w:color w:val="auto"/>
              </w:rPr>
            </w:pPr>
          </w:p>
        </w:tc>
      </w:tr>
    </w:tbl>
    <w:p>
      <w:pPr>
        <w:spacing w:after="0" w:line="179" w:lineRule="exact"/>
        <w:rPr>
          <w:sz w:val="20"/>
          <w:szCs w:val="20"/>
          <w:color w:val="auto"/>
        </w:rPr>
      </w:pPr>
    </w:p>
    <w:p>
      <w:pPr>
        <w:ind w:left="1860" w:right="520" w:hanging="490"/>
        <w:spacing w:after="0" w:line="279" w:lineRule="auto"/>
        <w:tabs>
          <w:tab w:leader="none" w:pos="1860" w:val="left"/>
        </w:tabs>
        <w:numPr>
          <w:ilvl w:val="0"/>
          <w:numId w:val="99"/>
        </w:numPr>
        <w:rPr>
          <w:rFonts w:ascii="Arial" w:cs="Arial" w:eastAsia="Arial" w:hAnsi="Arial"/>
          <w:sz w:val="16"/>
          <w:szCs w:val="16"/>
          <w:color w:val="auto"/>
        </w:rPr>
      </w:pPr>
      <w:r>
        <w:rPr>
          <w:rFonts w:ascii="Arial" w:cs="Arial" w:eastAsia="Arial" w:hAnsi="Arial"/>
          <w:sz w:val="16"/>
          <w:szCs w:val="16"/>
          <w:color w:val="auto"/>
        </w:rPr>
        <w:t>The aggregate fees billed for services rendered for the audit of annual financial statements and for review of financial statements included in reports on Form 10-Q.</w:t>
      </w:r>
    </w:p>
    <w:p>
      <w:pPr>
        <w:spacing w:after="0" w:line="136" w:lineRule="exact"/>
        <w:rPr>
          <w:rFonts w:ascii="Arial" w:cs="Arial" w:eastAsia="Arial" w:hAnsi="Arial"/>
          <w:sz w:val="16"/>
          <w:szCs w:val="16"/>
          <w:color w:val="auto"/>
        </w:rPr>
      </w:pPr>
    </w:p>
    <w:p>
      <w:pPr>
        <w:ind w:left="1860" w:right="220" w:hanging="490"/>
        <w:spacing w:after="0" w:line="314" w:lineRule="auto"/>
        <w:tabs>
          <w:tab w:leader="none" w:pos="1860" w:val="left"/>
        </w:tabs>
        <w:numPr>
          <w:ilvl w:val="0"/>
          <w:numId w:val="99"/>
        </w:numPr>
        <w:rPr>
          <w:rFonts w:ascii="Arial" w:cs="Arial" w:eastAsia="Arial" w:hAnsi="Arial"/>
          <w:sz w:val="15"/>
          <w:szCs w:val="15"/>
          <w:color w:val="auto"/>
        </w:rPr>
      </w:pPr>
      <w:r>
        <w:rPr>
          <w:rFonts w:ascii="Arial" w:cs="Arial" w:eastAsia="Arial" w:hAnsi="Arial"/>
          <w:sz w:val="15"/>
          <w:szCs w:val="15"/>
          <w:color w:val="auto"/>
        </w:rPr>
        <w:t>The aggregate fees billed for assurance services that are reasonably related to the performance of the audit or review of the financial statements that are not included in the Audit Fees reported above, which primarily consist of fees for employee benefit plan audits.</w:t>
      </w:r>
    </w:p>
    <w:p>
      <w:pPr>
        <w:spacing w:after="0" w:line="100" w:lineRule="exact"/>
        <w:rPr>
          <w:rFonts w:ascii="Arial" w:cs="Arial" w:eastAsia="Arial" w:hAnsi="Arial"/>
          <w:sz w:val="15"/>
          <w:szCs w:val="15"/>
          <w:color w:val="auto"/>
        </w:rPr>
      </w:pPr>
    </w:p>
    <w:p>
      <w:pPr>
        <w:ind w:left="1860" w:hanging="490"/>
        <w:spacing w:after="0"/>
        <w:tabs>
          <w:tab w:leader="none" w:pos="1860" w:val="left"/>
        </w:tabs>
        <w:numPr>
          <w:ilvl w:val="0"/>
          <w:numId w:val="99"/>
        </w:numPr>
        <w:rPr>
          <w:rFonts w:ascii="Arial" w:cs="Arial" w:eastAsia="Arial" w:hAnsi="Arial"/>
          <w:sz w:val="16"/>
          <w:szCs w:val="16"/>
          <w:color w:val="auto"/>
        </w:rPr>
      </w:pPr>
      <w:r>
        <w:rPr>
          <w:rFonts w:ascii="Arial" w:cs="Arial" w:eastAsia="Arial" w:hAnsi="Arial"/>
          <w:sz w:val="16"/>
          <w:szCs w:val="16"/>
          <w:color w:val="auto"/>
        </w:rPr>
        <w:t>The aggregate fees billed primarily related to tax compliance and tax planning.</w:t>
      </w:r>
    </w:p>
    <w:p>
      <w:pPr>
        <w:spacing w:after="0" w:line="183" w:lineRule="exact"/>
        <w:rPr>
          <w:rFonts w:ascii="Arial" w:cs="Arial" w:eastAsia="Arial" w:hAnsi="Arial"/>
          <w:sz w:val="16"/>
          <w:szCs w:val="16"/>
          <w:color w:val="auto"/>
        </w:rPr>
      </w:pPr>
    </w:p>
    <w:p>
      <w:pPr>
        <w:ind w:left="1860" w:right="100" w:hanging="490"/>
        <w:spacing w:after="0" w:line="279" w:lineRule="auto"/>
        <w:tabs>
          <w:tab w:leader="none" w:pos="1860" w:val="left"/>
        </w:tabs>
        <w:numPr>
          <w:ilvl w:val="0"/>
          <w:numId w:val="99"/>
        </w:numPr>
        <w:rPr>
          <w:rFonts w:ascii="Arial" w:cs="Arial" w:eastAsia="Arial" w:hAnsi="Arial"/>
          <w:sz w:val="16"/>
          <w:szCs w:val="16"/>
          <w:color w:val="auto"/>
        </w:rPr>
      </w:pPr>
      <w:r>
        <w:rPr>
          <w:rFonts w:ascii="Arial" w:cs="Arial" w:eastAsia="Arial" w:hAnsi="Arial"/>
          <w:sz w:val="16"/>
          <w:szCs w:val="16"/>
          <w:color w:val="auto"/>
        </w:rPr>
        <w:t>The aggregate fees billed for advice relating to the development of a statement of work for the Company's system integrator for its new Customer Information System.</w:t>
      </w:r>
    </w:p>
    <w:p>
      <w:pPr>
        <w:spacing w:after="0" w:line="56"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102" w:name="page103"/>
    <w:bookmarkEnd w:id="102"/>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137795</wp:posOffset>
            </wp:positionV>
            <wp:extent cx="1628140" cy="15557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628140" cy="155575"/>
                    </a:xfrm>
                    <a:prstGeom prst="rect">
                      <a:avLst/>
                    </a:prstGeom>
                    <a:noFill/>
                  </pic:spPr>
                </pic:pic>
              </a:graphicData>
            </a:graphic>
          </wp:anchor>
        </w:drawing>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3"/>
          <w:szCs w:val="13"/>
          <w:b w:val="1"/>
          <w:bCs w:val="1"/>
          <w:color w:val="FFFFFE"/>
        </w:rPr>
        <w:t>Accounting and Auditing Matters</w:t>
      </w:r>
    </w:p>
    <w:p>
      <w:pPr>
        <w:spacing w:after="0" w:line="35" w:lineRule="exact"/>
        <w:rPr>
          <w:sz w:val="20"/>
          <w:szCs w:val="20"/>
          <w:color w:val="auto"/>
        </w:rPr>
      </w:pPr>
    </w:p>
    <w:p>
      <w:pPr>
        <w:spacing w:after="0"/>
        <w:rPr>
          <w:sz w:val="20"/>
          <w:szCs w:val="20"/>
          <w:color w:val="auto"/>
        </w:rPr>
      </w:pPr>
      <w:r>
        <w:rPr>
          <w:rFonts w:ascii="Arial" w:cs="Arial" w:eastAsia="Arial" w:hAnsi="Arial"/>
          <w:sz w:val="22"/>
          <w:szCs w:val="22"/>
          <w:b w:val="1"/>
          <w:bCs w:val="1"/>
          <w:color w:val="3A5575"/>
        </w:rPr>
        <w:t>Pre-Approval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19050</wp:posOffset>
            </wp:positionV>
            <wp:extent cx="7259320" cy="762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259320" cy="7620"/>
                    </a:xfrm>
                    <a:prstGeom prst="rect">
                      <a:avLst/>
                    </a:prstGeom>
                    <a:noFill/>
                  </pic:spPr>
                </pic:pic>
              </a:graphicData>
            </a:graphic>
          </wp:anchor>
        </w:drawing>
      </w:r>
    </w:p>
    <w:p>
      <w:pPr>
        <w:spacing w:after="0" w:line="385" w:lineRule="exact"/>
        <w:rPr>
          <w:sz w:val="20"/>
          <w:szCs w:val="20"/>
          <w:color w:val="auto"/>
        </w:rPr>
      </w:pPr>
    </w:p>
    <w:p>
      <w:pPr>
        <w:ind w:right="60"/>
        <w:spacing w:after="0" w:line="239" w:lineRule="auto"/>
        <w:rPr>
          <w:sz w:val="20"/>
          <w:szCs w:val="20"/>
          <w:color w:val="auto"/>
        </w:rPr>
      </w:pPr>
      <w:r>
        <w:rPr>
          <w:rFonts w:ascii="Arial" w:cs="Arial" w:eastAsia="Arial" w:hAnsi="Arial"/>
          <w:sz w:val="20"/>
          <w:szCs w:val="20"/>
          <w:color w:val="auto"/>
        </w:rPr>
        <w:t>The Audit Committee pre-approves each audit service and non-audit service to be provided by D&amp;T. The Audit Committee has delegated to the Chair of the Audit Committee the authority to pre-approve audit and non-audit services to be performed by D&amp;T if the services are not expected to cost more than $50,000. The Chair must report any pre-approval decisions to the Audit Committee at its next scheduled meeting. All of the services performed by D&amp;T in 2015 for the Company were pre-approved by the Audit Committee consistent with the pre-approval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318135</wp:posOffset>
            </wp:positionH>
            <wp:positionV relativeFrom="paragraph">
              <wp:posOffset>172085</wp:posOffset>
            </wp:positionV>
            <wp:extent cx="841375" cy="16383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94</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63"/>
        </w:trPr>
        <w:tc>
          <w:tcPr>
            <w:tcW w:w="1200" w:type="dxa"/>
            <w:vAlign w:val="bottom"/>
          </w:tcPr>
          <w:p>
            <w:pPr>
              <w:spacing w:after="0"/>
              <w:rPr>
                <w:sz w:val="5"/>
                <w:szCs w:val="5"/>
                <w:color w:val="auto"/>
              </w:rPr>
            </w:pPr>
          </w:p>
        </w:tc>
        <w:tc>
          <w:tcPr>
            <w:tcW w:w="1140" w:type="dxa"/>
            <w:vAlign w:val="bottom"/>
            <w:vMerge w:val="continue"/>
          </w:tcPr>
          <w:p>
            <w:pPr>
              <w:spacing w:after="0"/>
              <w:rPr>
                <w:sz w:val="5"/>
                <w:szCs w:val="5"/>
                <w:color w:val="auto"/>
              </w:rPr>
            </w:pPr>
          </w:p>
        </w:tc>
        <w:tc>
          <w:tcPr>
            <w:tcW w:w="9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1140" w:type="dxa"/>
            <w:vAlign w:val="bottom"/>
            <w:tcBorders>
              <w:bottom w:val="single" w:sz="8" w:color="808080"/>
            </w:tcBorders>
          </w:tcPr>
          <w:p>
            <w:pPr>
              <w:spacing w:after="0"/>
              <w:rPr>
                <w:sz w:val="11"/>
                <w:szCs w:val="11"/>
                <w:color w:val="auto"/>
              </w:rPr>
            </w:pPr>
          </w:p>
        </w:tc>
        <w:tc>
          <w:tcPr>
            <w:tcW w:w="90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7247890</wp:posOffset>
            </wp:positionH>
            <wp:positionV relativeFrom="paragraph">
              <wp:posOffset>-13335</wp:posOffset>
            </wp:positionV>
            <wp:extent cx="12700" cy="762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-13335</wp:posOffset>
            </wp:positionV>
            <wp:extent cx="12700" cy="762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103" w:name="page104"/>
    <w:bookmarkEnd w:id="103"/>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60452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32650" cy="60452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right="18"/>
        <w:spacing w:after="0"/>
        <w:rPr>
          <w:sz w:val="20"/>
          <w:szCs w:val="20"/>
          <w:color w:val="auto"/>
        </w:rPr>
      </w:pPr>
      <w:r>
        <w:rPr>
          <w:rFonts w:ascii="Arial" w:cs="Arial" w:eastAsia="Arial" w:hAnsi="Arial"/>
          <w:sz w:val="39"/>
          <w:szCs w:val="39"/>
          <w:b w:val="1"/>
          <w:bCs w:val="1"/>
          <w:color w:val="3A5575"/>
        </w:rPr>
        <w:t>Report of the Audit Committee</w:t>
      </w:r>
    </w:p>
    <w:p>
      <w:pPr>
        <w:spacing w:after="0" w:line="200" w:lineRule="exact"/>
        <w:rPr>
          <w:sz w:val="20"/>
          <w:szCs w:val="20"/>
          <w:color w:val="auto"/>
        </w:rPr>
      </w:pPr>
    </w:p>
    <w:p>
      <w:pPr>
        <w:spacing w:after="0" w:line="260" w:lineRule="exact"/>
        <w:rPr>
          <w:sz w:val="20"/>
          <w:szCs w:val="20"/>
          <w:color w:val="auto"/>
        </w:rPr>
      </w:pPr>
    </w:p>
    <w:p>
      <w:pPr>
        <w:ind w:left="2" w:right="200"/>
        <w:spacing w:after="0" w:line="265" w:lineRule="auto"/>
        <w:rPr>
          <w:sz w:val="20"/>
          <w:szCs w:val="20"/>
          <w:color w:val="auto"/>
        </w:rPr>
      </w:pPr>
      <w:r>
        <w:rPr>
          <w:rFonts w:ascii="Arial" w:cs="Arial" w:eastAsia="Arial" w:hAnsi="Arial"/>
          <w:sz w:val="20"/>
          <w:szCs w:val="20"/>
          <w:color w:val="auto"/>
        </w:rPr>
        <w:t>The Audit Committee is comprised solely of independent directors. Each member meets the NYSE financial literacy requirements, and Messrs. Fox and Nordstrom are "audit committee financial experts" under the SEC rules.</w:t>
      </w:r>
    </w:p>
    <w:p>
      <w:pPr>
        <w:spacing w:after="0" w:line="130" w:lineRule="exact"/>
        <w:rPr>
          <w:sz w:val="20"/>
          <w:szCs w:val="20"/>
          <w:color w:val="auto"/>
        </w:rPr>
      </w:pPr>
    </w:p>
    <w:p>
      <w:pPr>
        <w:ind w:left="2" w:right="20"/>
        <w:spacing w:after="0" w:line="242" w:lineRule="auto"/>
        <w:rPr>
          <w:sz w:val="20"/>
          <w:szCs w:val="20"/>
          <w:color w:val="auto"/>
        </w:rPr>
      </w:pPr>
      <w:r>
        <w:rPr>
          <w:rFonts w:ascii="Arial" w:cs="Arial" w:eastAsia="Arial" w:hAnsi="Arial"/>
          <w:sz w:val="20"/>
          <w:szCs w:val="20"/>
          <w:color w:val="auto"/>
        </w:rPr>
        <w:t>In accordance with its written charter adopted by the Board, the primary function of the Audit Committee is to assist Board oversight of: (a) the integrity of the Company's financial statements; (b) the independent accountants' qualifications and independence; (c) the performance of the Company's internal audit function and independent accountants; and (d) general compliance by the Company with legal and regulatory requirements.</w:t>
      </w:r>
    </w:p>
    <w:p>
      <w:pPr>
        <w:spacing w:after="0" w:line="152" w:lineRule="exact"/>
        <w:rPr>
          <w:sz w:val="20"/>
          <w:szCs w:val="20"/>
          <w:color w:val="auto"/>
        </w:rPr>
      </w:pPr>
    </w:p>
    <w:p>
      <w:pPr>
        <w:ind w:left="2"/>
        <w:spacing w:after="0"/>
        <w:rPr>
          <w:sz w:val="20"/>
          <w:szCs w:val="20"/>
          <w:color w:val="auto"/>
        </w:rPr>
      </w:pPr>
      <w:r>
        <w:rPr>
          <w:rFonts w:ascii="Arial" w:cs="Arial" w:eastAsia="Arial" w:hAnsi="Arial"/>
          <w:sz w:val="20"/>
          <w:szCs w:val="20"/>
          <w:color w:val="auto"/>
        </w:rPr>
        <w:t>The Audit Committee reports as follows:</w:t>
      </w:r>
    </w:p>
    <w:p>
      <w:pPr>
        <w:spacing w:after="0" w:line="175" w:lineRule="exact"/>
        <w:rPr>
          <w:sz w:val="20"/>
          <w:szCs w:val="20"/>
          <w:color w:val="auto"/>
        </w:rPr>
      </w:pPr>
    </w:p>
    <w:p>
      <w:pPr>
        <w:ind w:left="482" w:right="180" w:hanging="482"/>
        <w:spacing w:after="0" w:line="235" w:lineRule="auto"/>
        <w:tabs>
          <w:tab w:leader="none" w:pos="482" w:val="left"/>
        </w:tabs>
        <w:numPr>
          <w:ilvl w:val="0"/>
          <w:numId w:val="100"/>
        </w:numPr>
        <w:rPr>
          <w:rFonts w:ascii="Arial" w:cs="Arial" w:eastAsia="Arial" w:hAnsi="Arial"/>
          <w:sz w:val="20"/>
          <w:szCs w:val="20"/>
          <w:color w:val="auto"/>
        </w:rPr>
      </w:pPr>
      <w:r>
        <w:rPr>
          <w:rFonts w:ascii="Arial" w:cs="Arial" w:eastAsia="Arial" w:hAnsi="Arial"/>
          <w:sz w:val="20"/>
          <w:szCs w:val="20"/>
          <w:color w:val="auto"/>
        </w:rPr>
        <w:t>The Audit Committee has discussed and reviewed the audited financial statements of the Company as of and for the fiscal year ended December 31, 2015, with the Company's management and the independent accountants, D&amp;T. The Audit Committee is directly responsible for the oversight of the Company's independent accountants. Management is responsible for the Company's financial reporting process, including the Company's system of internal controls and for the preparation of financial statements in accordance with accounting principles generally accepted in the United States of America. The independent accountants are responsible for auditing and rendering an opinion on those financial statements, as well as auditing certain aspects of the Company's internal controls. The Audit Committee's responsibility is to monitor these processes.</w:t>
      </w:r>
    </w:p>
    <w:p>
      <w:pPr>
        <w:spacing w:after="0" w:line="185" w:lineRule="exact"/>
        <w:rPr>
          <w:rFonts w:ascii="Arial" w:cs="Arial" w:eastAsia="Arial" w:hAnsi="Arial"/>
          <w:sz w:val="20"/>
          <w:szCs w:val="20"/>
          <w:color w:val="auto"/>
        </w:rPr>
      </w:pPr>
    </w:p>
    <w:p>
      <w:pPr>
        <w:ind w:left="482" w:right="640" w:hanging="482"/>
        <w:spacing w:after="0" w:line="265" w:lineRule="auto"/>
        <w:tabs>
          <w:tab w:leader="none" w:pos="482" w:val="left"/>
        </w:tabs>
        <w:numPr>
          <w:ilvl w:val="0"/>
          <w:numId w:val="100"/>
        </w:numPr>
        <w:rPr>
          <w:rFonts w:ascii="Arial" w:cs="Arial" w:eastAsia="Arial" w:hAnsi="Arial"/>
          <w:sz w:val="20"/>
          <w:szCs w:val="20"/>
          <w:color w:val="auto"/>
        </w:rPr>
      </w:pPr>
      <w:r>
        <w:rPr>
          <w:rFonts w:ascii="Arial" w:cs="Arial" w:eastAsia="Arial" w:hAnsi="Arial"/>
          <w:sz w:val="20"/>
          <w:szCs w:val="20"/>
          <w:color w:val="auto"/>
        </w:rPr>
        <w:t>The Audit Committee has discussed with D&amp;T the matters required to be discussed by the Public Company Accounting Oversight Board Auditing Standard No. 16, Communications with Audit Committees.</w:t>
      </w:r>
    </w:p>
    <w:p>
      <w:pPr>
        <w:spacing w:after="0" w:line="142" w:lineRule="exact"/>
        <w:rPr>
          <w:rFonts w:ascii="Arial" w:cs="Arial" w:eastAsia="Arial" w:hAnsi="Arial"/>
          <w:sz w:val="20"/>
          <w:szCs w:val="20"/>
          <w:color w:val="auto"/>
        </w:rPr>
      </w:pPr>
    </w:p>
    <w:p>
      <w:pPr>
        <w:ind w:left="482" w:right="280" w:hanging="482"/>
        <w:spacing w:after="0" w:line="259" w:lineRule="auto"/>
        <w:tabs>
          <w:tab w:leader="none" w:pos="482" w:val="left"/>
        </w:tabs>
        <w:numPr>
          <w:ilvl w:val="0"/>
          <w:numId w:val="100"/>
        </w:numPr>
        <w:rPr>
          <w:rFonts w:ascii="Arial" w:cs="Arial" w:eastAsia="Arial" w:hAnsi="Arial"/>
          <w:sz w:val="19"/>
          <w:szCs w:val="19"/>
          <w:color w:val="auto"/>
        </w:rPr>
      </w:pPr>
      <w:r>
        <w:rPr>
          <w:rFonts w:ascii="Arial" w:cs="Arial" w:eastAsia="Arial" w:hAnsi="Arial"/>
          <w:sz w:val="19"/>
          <w:szCs w:val="19"/>
          <w:color w:val="auto"/>
        </w:rPr>
        <w:t>The Audit Committee has obtained from D&amp;T and reviewed the written disclosures and the letter required by applicable requirements of the Public Company Accounting Oversight Board regarding the independent accountants' communications with the Audit Committee concerning independence. The Committee discussed with D&amp;T any relationships that may impact D&amp;T's objectivity and independence and satisfied itself as to the accountants' independence.</w:t>
      </w:r>
    </w:p>
    <w:p>
      <w:pPr>
        <w:spacing w:after="0" w:line="148" w:lineRule="exact"/>
        <w:rPr>
          <w:rFonts w:ascii="Arial" w:cs="Arial" w:eastAsia="Arial" w:hAnsi="Arial"/>
          <w:sz w:val="19"/>
          <w:szCs w:val="19"/>
          <w:color w:val="auto"/>
        </w:rPr>
      </w:pPr>
    </w:p>
    <w:p>
      <w:pPr>
        <w:ind w:left="482" w:right="80" w:hanging="482"/>
        <w:spacing w:after="0" w:line="247" w:lineRule="auto"/>
        <w:tabs>
          <w:tab w:leader="none" w:pos="482" w:val="left"/>
        </w:tabs>
        <w:numPr>
          <w:ilvl w:val="0"/>
          <w:numId w:val="100"/>
        </w:numPr>
        <w:rPr>
          <w:rFonts w:ascii="Arial" w:cs="Arial" w:eastAsia="Arial" w:hAnsi="Arial"/>
          <w:sz w:val="20"/>
          <w:szCs w:val="20"/>
          <w:color w:val="auto"/>
        </w:rPr>
      </w:pPr>
      <w:r>
        <w:rPr>
          <w:rFonts w:ascii="Arial" w:cs="Arial" w:eastAsia="Arial" w:hAnsi="Arial"/>
          <w:sz w:val="20"/>
          <w:szCs w:val="20"/>
          <w:color w:val="auto"/>
        </w:rPr>
        <w:t>Based on the foregoing, the Audit Committee has recommended to the Board that the Company's audited financial statements be included in the Company's Annual Report on Form 10-K for the fiscal year ended December 31, 2015, for filing with the SEC.</w:t>
      </w:r>
    </w:p>
    <w:p>
      <w:pPr>
        <w:spacing w:after="0" w:line="139" w:lineRule="exact"/>
        <w:rPr>
          <w:sz w:val="20"/>
          <w:szCs w:val="20"/>
          <w:color w:val="auto"/>
        </w:rPr>
      </w:pPr>
    </w:p>
    <w:tbl>
      <w:tblPr>
        <w:tblLayout w:type="fixed"/>
        <w:tblInd w:w="2" w:type="dxa"/>
        <w:tblCellMar>
          <w:top w:w="0" w:type="dxa"/>
          <w:left w:w="0" w:type="dxa"/>
          <w:bottom w:w="0" w:type="dxa"/>
          <w:right w:w="0" w:type="dxa"/>
        </w:tblCellMar>
      </w:tblPr>
      <w:tr>
        <w:trPr>
          <w:trHeight w:val="230"/>
        </w:trPr>
        <w:tc>
          <w:tcPr>
            <w:tcW w:w="4100" w:type="dxa"/>
            <w:vAlign w:val="bottom"/>
          </w:tcPr>
          <w:p>
            <w:pPr>
              <w:spacing w:after="0"/>
              <w:rPr>
                <w:sz w:val="20"/>
                <w:szCs w:val="20"/>
                <w:color w:val="auto"/>
              </w:rPr>
            </w:pPr>
            <w:r>
              <w:rPr>
                <w:rFonts w:ascii="Arial" w:cs="Arial" w:eastAsia="Arial" w:hAnsi="Arial"/>
                <w:sz w:val="20"/>
                <w:szCs w:val="20"/>
                <w:color w:val="auto"/>
              </w:rPr>
              <w:t>AUDIT COMMITTEE CHAIR</w:t>
            </w:r>
          </w:p>
        </w:tc>
        <w:tc>
          <w:tcPr>
            <w:tcW w:w="6220" w:type="dxa"/>
            <w:vAlign w:val="bottom"/>
          </w:tcPr>
          <w:p>
            <w:pPr>
              <w:ind w:left="1620"/>
              <w:spacing w:after="0"/>
              <w:rPr>
                <w:sz w:val="20"/>
                <w:szCs w:val="20"/>
                <w:color w:val="auto"/>
              </w:rPr>
            </w:pPr>
            <w:r>
              <w:rPr>
                <w:rFonts w:ascii="Arial" w:cs="Arial" w:eastAsia="Arial" w:hAnsi="Arial"/>
                <w:sz w:val="20"/>
                <w:szCs w:val="20"/>
                <w:color w:val="auto"/>
              </w:rPr>
              <w:t>AUDIT COMMITTEE MEMBERS</w:t>
            </w:r>
          </w:p>
        </w:tc>
        <w:tc>
          <w:tcPr>
            <w:tcW w:w="1120" w:type="dxa"/>
            <w:vAlign w:val="bottom"/>
          </w:tcPr>
          <w:p>
            <w:pPr>
              <w:spacing w:after="0"/>
              <w:rPr>
                <w:sz w:val="19"/>
                <w:szCs w:val="19"/>
                <w:color w:val="auto"/>
              </w:rPr>
            </w:pPr>
          </w:p>
        </w:tc>
      </w:tr>
      <w:tr>
        <w:trPr>
          <w:trHeight w:val="221"/>
        </w:trPr>
        <w:tc>
          <w:tcPr>
            <w:tcW w:w="4100" w:type="dxa"/>
            <w:vAlign w:val="bottom"/>
          </w:tcPr>
          <w:p>
            <w:pPr>
              <w:spacing w:after="0" w:line="221" w:lineRule="exact"/>
              <w:rPr>
                <w:sz w:val="20"/>
                <w:szCs w:val="20"/>
                <w:color w:val="auto"/>
              </w:rPr>
            </w:pPr>
            <w:r>
              <w:rPr>
                <w:rFonts w:ascii="Arial" w:cs="Arial" w:eastAsia="Arial" w:hAnsi="Arial"/>
                <w:sz w:val="20"/>
                <w:szCs w:val="20"/>
                <w:color w:val="auto"/>
              </w:rPr>
              <w:t>Bruce J. Nordstrom</w:t>
            </w:r>
          </w:p>
        </w:tc>
        <w:tc>
          <w:tcPr>
            <w:tcW w:w="6220" w:type="dxa"/>
            <w:vAlign w:val="bottom"/>
          </w:tcPr>
          <w:p>
            <w:pPr>
              <w:ind w:left="1620"/>
              <w:spacing w:after="0" w:line="221" w:lineRule="exact"/>
              <w:rPr>
                <w:sz w:val="20"/>
                <w:szCs w:val="20"/>
                <w:color w:val="auto"/>
              </w:rPr>
            </w:pPr>
            <w:r>
              <w:rPr>
                <w:rFonts w:ascii="Arial" w:cs="Arial" w:eastAsia="Arial" w:hAnsi="Arial"/>
                <w:sz w:val="20"/>
                <w:szCs w:val="20"/>
                <w:color w:val="auto"/>
              </w:rPr>
              <w:t>Denis A. Cortese, M.D.</w:t>
            </w:r>
          </w:p>
        </w:tc>
        <w:tc>
          <w:tcPr>
            <w:tcW w:w="1120" w:type="dxa"/>
            <w:vAlign w:val="bottom"/>
          </w:tcPr>
          <w:p>
            <w:pPr>
              <w:spacing w:after="0"/>
              <w:rPr>
                <w:sz w:val="19"/>
                <w:szCs w:val="19"/>
                <w:color w:val="auto"/>
              </w:rPr>
            </w:pPr>
          </w:p>
        </w:tc>
      </w:tr>
      <w:tr>
        <w:trPr>
          <w:trHeight w:val="221"/>
        </w:trPr>
        <w:tc>
          <w:tcPr>
            <w:tcW w:w="4100" w:type="dxa"/>
            <w:vAlign w:val="bottom"/>
          </w:tcPr>
          <w:p>
            <w:pPr>
              <w:spacing w:after="0"/>
              <w:rPr>
                <w:sz w:val="19"/>
                <w:szCs w:val="19"/>
                <w:color w:val="auto"/>
              </w:rPr>
            </w:pPr>
          </w:p>
        </w:tc>
        <w:tc>
          <w:tcPr>
            <w:tcW w:w="6220" w:type="dxa"/>
            <w:vAlign w:val="bottom"/>
          </w:tcPr>
          <w:p>
            <w:pPr>
              <w:ind w:left="1620"/>
              <w:spacing w:after="0" w:line="221" w:lineRule="exact"/>
              <w:rPr>
                <w:sz w:val="20"/>
                <w:szCs w:val="20"/>
                <w:color w:val="auto"/>
              </w:rPr>
            </w:pPr>
            <w:r>
              <w:rPr>
                <w:rFonts w:ascii="Arial" w:cs="Arial" w:eastAsia="Arial" w:hAnsi="Arial"/>
                <w:sz w:val="20"/>
                <w:szCs w:val="20"/>
                <w:color w:val="auto"/>
              </w:rPr>
              <w:t>Richard P. Fox</w:t>
            </w:r>
          </w:p>
        </w:tc>
        <w:tc>
          <w:tcPr>
            <w:tcW w:w="1120" w:type="dxa"/>
            <w:vAlign w:val="bottom"/>
          </w:tcPr>
          <w:p>
            <w:pPr>
              <w:spacing w:after="0"/>
              <w:rPr>
                <w:sz w:val="19"/>
                <w:szCs w:val="19"/>
                <w:color w:val="auto"/>
              </w:rPr>
            </w:pPr>
          </w:p>
        </w:tc>
      </w:tr>
      <w:tr>
        <w:trPr>
          <w:trHeight w:val="221"/>
        </w:trPr>
        <w:tc>
          <w:tcPr>
            <w:tcW w:w="4100" w:type="dxa"/>
            <w:vAlign w:val="bottom"/>
          </w:tcPr>
          <w:p>
            <w:pPr>
              <w:spacing w:after="0"/>
              <w:rPr>
                <w:sz w:val="19"/>
                <w:szCs w:val="19"/>
                <w:color w:val="auto"/>
              </w:rPr>
            </w:pPr>
          </w:p>
        </w:tc>
        <w:tc>
          <w:tcPr>
            <w:tcW w:w="6220" w:type="dxa"/>
            <w:vAlign w:val="bottom"/>
          </w:tcPr>
          <w:p>
            <w:pPr>
              <w:ind w:left="1620"/>
              <w:spacing w:after="0" w:line="221" w:lineRule="exact"/>
              <w:rPr>
                <w:sz w:val="20"/>
                <w:szCs w:val="20"/>
                <w:color w:val="auto"/>
              </w:rPr>
            </w:pPr>
            <w:r>
              <w:rPr>
                <w:rFonts w:ascii="Arial" w:cs="Arial" w:eastAsia="Arial" w:hAnsi="Arial"/>
                <w:sz w:val="20"/>
                <w:szCs w:val="20"/>
                <w:color w:val="auto"/>
              </w:rPr>
              <w:t>Dale E. Klein, Ph.D.</w:t>
            </w:r>
          </w:p>
        </w:tc>
        <w:tc>
          <w:tcPr>
            <w:tcW w:w="1120" w:type="dxa"/>
            <w:vAlign w:val="bottom"/>
          </w:tcPr>
          <w:p>
            <w:pPr>
              <w:spacing w:after="0"/>
              <w:rPr>
                <w:sz w:val="19"/>
                <w:szCs w:val="19"/>
                <w:color w:val="auto"/>
              </w:rPr>
            </w:pPr>
          </w:p>
        </w:tc>
      </w:tr>
      <w:tr>
        <w:trPr>
          <w:trHeight w:val="221"/>
        </w:trPr>
        <w:tc>
          <w:tcPr>
            <w:tcW w:w="4100" w:type="dxa"/>
            <w:vAlign w:val="bottom"/>
          </w:tcPr>
          <w:p>
            <w:pPr>
              <w:spacing w:after="0"/>
              <w:rPr>
                <w:sz w:val="19"/>
                <w:szCs w:val="19"/>
                <w:color w:val="auto"/>
              </w:rPr>
            </w:pPr>
          </w:p>
        </w:tc>
        <w:tc>
          <w:tcPr>
            <w:tcW w:w="6220" w:type="dxa"/>
            <w:vAlign w:val="bottom"/>
          </w:tcPr>
          <w:p>
            <w:pPr>
              <w:ind w:left="1620"/>
              <w:spacing w:after="0" w:line="221" w:lineRule="exact"/>
              <w:rPr>
                <w:sz w:val="20"/>
                <w:szCs w:val="20"/>
                <w:color w:val="auto"/>
              </w:rPr>
            </w:pPr>
            <w:r>
              <w:rPr>
                <w:rFonts w:ascii="Arial" w:cs="Arial" w:eastAsia="Arial" w:hAnsi="Arial"/>
                <w:sz w:val="20"/>
                <w:szCs w:val="20"/>
                <w:color w:val="auto"/>
              </w:rPr>
              <w:t>Humberto S. Lopez</w:t>
            </w:r>
          </w:p>
        </w:tc>
        <w:tc>
          <w:tcPr>
            <w:tcW w:w="1120" w:type="dxa"/>
            <w:vAlign w:val="bottom"/>
          </w:tcPr>
          <w:p>
            <w:pPr>
              <w:spacing w:after="0"/>
              <w:rPr>
                <w:sz w:val="19"/>
                <w:szCs w:val="19"/>
                <w:color w:val="auto"/>
              </w:rPr>
            </w:pPr>
          </w:p>
        </w:tc>
      </w:tr>
      <w:tr>
        <w:trPr>
          <w:trHeight w:val="264"/>
        </w:trPr>
        <w:tc>
          <w:tcPr>
            <w:tcW w:w="4100" w:type="dxa"/>
            <w:vAlign w:val="bottom"/>
          </w:tcPr>
          <w:p>
            <w:pPr>
              <w:spacing w:after="0"/>
              <w:rPr>
                <w:sz w:val="22"/>
                <w:szCs w:val="22"/>
                <w:color w:val="auto"/>
              </w:rPr>
            </w:pPr>
          </w:p>
        </w:tc>
        <w:tc>
          <w:tcPr>
            <w:tcW w:w="6220" w:type="dxa"/>
            <w:vAlign w:val="bottom"/>
          </w:tcPr>
          <w:p>
            <w:pPr>
              <w:ind w:left="1620"/>
              <w:spacing w:after="0"/>
              <w:rPr>
                <w:sz w:val="20"/>
                <w:szCs w:val="20"/>
                <w:color w:val="auto"/>
              </w:rPr>
            </w:pPr>
            <w:r>
              <w:rPr>
                <w:rFonts w:ascii="Arial" w:cs="Arial" w:eastAsia="Arial" w:hAnsi="Arial"/>
                <w:sz w:val="20"/>
                <w:szCs w:val="20"/>
                <w:color w:val="auto"/>
              </w:rPr>
              <w:t>David P. Wagener</w:t>
            </w:r>
          </w:p>
        </w:tc>
        <w:tc>
          <w:tcPr>
            <w:tcW w:w="1120" w:type="dxa"/>
            <w:vAlign w:val="bottom"/>
          </w:tcPr>
          <w:p>
            <w:pPr>
              <w:spacing w:after="0"/>
              <w:rPr>
                <w:sz w:val="22"/>
                <w:szCs w:val="22"/>
                <w:color w:val="auto"/>
              </w:rPr>
            </w:pPr>
          </w:p>
        </w:tc>
      </w:tr>
      <w:tr>
        <w:trPr>
          <w:trHeight w:val="538"/>
        </w:trPr>
        <w:tc>
          <w:tcPr>
            <w:tcW w:w="4100" w:type="dxa"/>
            <w:vAlign w:val="bottom"/>
          </w:tcPr>
          <w:p>
            <w:pPr>
              <w:spacing w:after="0"/>
              <w:rPr>
                <w:sz w:val="24"/>
                <w:szCs w:val="24"/>
                <w:color w:val="auto"/>
              </w:rPr>
            </w:pPr>
          </w:p>
        </w:tc>
        <w:tc>
          <w:tcPr>
            <w:tcW w:w="6220" w:type="dxa"/>
            <w:vAlign w:val="bottom"/>
          </w:tcPr>
          <w:p>
            <w:pPr>
              <w:ind w:left="3380"/>
              <w:spacing w:after="0"/>
              <w:rPr>
                <w:sz w:val="20"/>
                <w:szCs w:val="20"/>
                <w:color w:val="auto"/>
              </w:rPr>
            </w:pPr>
            <w:r>
              <w:rPr>
                <w:rFonts w:ascii="Arial" w:cs="Arial" w:eastAsia="Arial" w:hAnsi="Arial"/>
                <w:sz w:val="16"/>
                <w:szCs w:val="16"/>
                <w:color w:val="auto"/>
              </w:rPr>
              <w:t xml:space="preserve">2016 Proxy Statement   </w:t>
            </w:r>
            <w:r>
              <w:rPr>
                <w:rFonts w:ascii="Arial" w:cs="Arial" w:eastAsia="Arial" w:hAnsi="Arial"/>
                <w:sz w:val="32"/>
                <w:szCs w:val="32"/>
                <w:b w:val="1"/>
                <w:bCs w:val="1"/>
                <w:color w:val="3A5575"/>
                <w:vertAlign w:val="subscript"/>
              </w:rPr>
              <w:t>|</w:t>
            </w:r>
          </w:p>
        </w:tc>
        <w:tc>
          <w:tcPr>
            <w:tcW w:w="1120" w:type="dxa"/>
            <w:vAlign w:val="bottom"/>
          </w:tcPr>
          <w:p>
            <w:pPr>
              <w:jc w:val="right"/>
              <w:spacing w:after="0"/>
              <w:rPr>
                <w:sz w:val="20"/>
                <w:szCs w:val="20"/>
                <w:color w:val="auto"/>
              </w:rPr>
            </w:pPr>
            <w:r>
              <w:rPr>
                <w:rFonts w:ascii="Arial" w:cs="Arial" w:eastAsia="Arial" w:hAnsi="Arial"/>
                <w:sz w:val="16"/>
                <w:szCs w:val="16"/>
                <w:b w:val="1"/>
                <w:bCs w:val="1"/>
                <w:color w:val="auto"/>
              </w:rPr>
              <w:t>95</w:t>
            </w:r>
          </w:p>
        </w:tc>
      </w:tr>
      <w:tr>
        <w:trPr>
          <w:trHeight w:val="157"/>
        </w:trPr>
        <w:tc>
          <w:tcPr>
            <w:tcW w:w="4100" w:type="dxa"/>
            <w:vAlign w:val="bottom"/>
            <w:tcBorders>
              <w:bottom w:val="single" w:sz="8" w:color="808080"/>
            </w:tcBorders>
          </w:tcPr>
          <w:p>
            <w:pPr>
              <w:spacing w:after="0"/>
              <w:rPr>
                <w:sz w:val="13"/>
                <w:szCs w:val="13"/>
                <w:color w:val="auto"/>
              </w:rPr>
            </w:pPr>
          </w:p>
        </w:tc>
        <w:tc>
          <w:tcPr>
            <w:tcW w:w="6220" w:type="dxa"/>
            <w:vAlign w:val="bottom"/>
            <w:tcBorders>
              <w:bottom w:val="single" w:sz="8" w:color="808080"/>
            </w:tcBorders>
          </w:tcPr>
          <w:p>
            <w:pPr>
              <w:spacing w:after="0"/>
              <w:rPr>
                <w:sz w:val="13"/>
                <w:szCs w:val="13"/>
                <w:color w:val="auto"/>
              </w:rPr>
            </w:pPr>
          </w:p>
        </w:tc>
        <w:tc>
          <w:tcPr>
            <w:tcW w:w="1120" w:type="dxa"/>
            <w:vAlign w:val="bottom"/>
            <w:tcBorders>
              <w:bottom w:val="single" w:sz="8" w:color="808080"/>
            </w:tcBorders>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6129655</wp:posOffset>
            </wp:positionH>
            <wp:positionV relativeFrom="paragraph">
              <wp:posOffset>-282575</wp:posOffset>
            </wp:positionV>
            <wp:extent cx="841375" cy="16383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104" w:name="page105"/>
    <w:bookmarkEnd w:id="104"/>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151130</wp:posOffset>
            </wp:positionV>
            <wp:extent cx="7232650" cy="89281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32650" cy="89281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center"/>
        <w:ind w:left="260" w:right="520"/>
        <w:spacing w:after="0" w:line="301" w:lineRule="auto"/>
        <w:rPr>
          <w:sz w:val="20"/>
          <w:szCs w:val="20"/>
          <w:color w:val="auto"/>
        </w:rPr>
      </w:pPr>
      <w:r>
        <w:rPr>
          <w:rFonts w:ascii="Arial" w:cs="Arial" w:eastAsia="Arial" w:hAnsi="Arial"/>
          <w:sz w:val="39"/>
          <w:szCs w:val="39"/>
          <w:b w:val="1"/>
          <w:bCs w:val="1"/>
          <w:color w:val="3A5575"/>
        </w:rPr>
        <w:t>Proposal 4 — Shareholder Proposal Regarding Political Spending</w:t>
      </w:r>
    </w:p>
    <w:p>
      <w:pPr>
        <w:spacing w:after="0" w:line="238" w:lineRule="exact"/>
        <w:rPr>
          <w:sz w:val="20"/>
          <w:szCs w:val="20"/>
          <w:color w:val="auto"/>
        </w:rPr>
      </w:pPr>
    </w:p>
    <w:p>
      <w:pPr>
        <w:ind w:left="2" w:right="20"/>
        <w:spacing w:after="0" w:line="239" w:lineRule="auto"/>
        <w:rPr>
          <w:sz w:val="20"/>
          <w:szCs w:val="20"/>
          <w:color w:val="auto"/>
        </w:rPr>
      </w:pPr>
      <w:r>
        <w:rPr>
          <w:rFonts w:ascii="Arial" w:cs="Arial" w:eastAsia="Arial" w:hAnsi="Arial"/>
          <w:sz w:val="20"/>
          <w:szCs w:val="20"/>
          <w:color w:val="auto"/>
        </w:rPr>
        <w:t>The proponents of the shareholder proposal described below notified the Company of their intention to present the proposal for consideration and action at the Annual Meeting. The names and addresses of the proponents and the number of shares held by the proponents will be furnished by the Secretary of the Company upon receipt of any oral or written request by a shareholder for such information. The Company is not responsible for the accuracy or content of the proposal and supporting statement provided below, which following SEC rules, are reproduced as received from the proponents.</w:t>
      </w:r>
    </w:p>
    <w:p>
      <w:pPr>
        <w:spacing w:after="0" w:line="151" w:lineRule="exact"/>
        <w:rPr>
          <w:sz w:val="20"/>
          <w:szCs w:val="20"/>
          <w:color w:val="auto"/>
        </w:rPr>
      </w:pPr>
    </w:p>
    <w:p>
      <w:pPr>
        <w:jc w:val="center"/>
        <w:ind w:left="260" w:right="460"/>
        <w:spacing w:after="0" w:line="280" w:lineRule="auto"/>
        <w:rPr>
          <w:sz w:val="20"/>
          <w:szCs w:val="20"/>
          <w:color w:val="auto"/>
        </w:rPr>
      </w:pPr>
      <w:r>
        <w:rPr>
          <w:rFonts w:ascii="Arial" w:cs="Arial" w:eastAsia="Arial" w:hAnsi="Arial"/>
          <w:sz w:val="20"/>
          <w:szCs w:val="20"/>
          <w:b w:val="1"/>
          <w:bCs w:val="1"/>
          <w:color w:val="auto"/>
        </w:rPr>
        <w:t>THE BOARD OF DIRECTORS OPPOSES THE FOLLOWING PROPOSAL FOR THE REASONS STATED AFTER THE PROPOSAL.</w:t>
      </w:r>
    </w:p>
    <w:p>
      <w:pPr>
        <w:spacing w:after="0" w:line="105" w:lineRule="exact"/>
        <w:rPr>
          <w:sz w:val="20"/>
          <w:szCs w:val="20"/>
          <w:color w:val="auto"/>
        </w:rPr>
      </w:pPr>
    </w:p>
    <w:p>
      <w:pPr>
        <w:ind w:left="2" w:right="240"/>
        <w:spacing w:after="0" w:line="242" w:lineRule="auto"/>
        <w:rPr>
          <w:sz w:val="20"/>
          <w:szCs w:val="20"/>
          <w:color w:val="auto"/>
        </w:rPr>
      </w:pPr>
      <w:r>
        <w:rPr>
          <w:rFonts w:ascii="Arial" w:cs="Arial" w:eastAsia="Arial" w:hAnsi="Arial"/>
          <w:sz w:val="20"/>
          <w:szCs w:val="20"/>
          <w:color w:val="auto"/>
        </w:rPr>
        <w:t>The following proposal was submitted by As You Sow, which describes itself as "a non-profit organization whose mission is to promote corporate accountability". As You Sow itself did not meet the SEC requirements for ownership of shares in the Company sufficient to qualify the proposal for inclusion in this Proxy Statement. Instead, As You Sow is acting on behalf of two other shareholders who authorized As You Sow to move the resolution contained in the proposal at the Annual Meeting.</w:t>
      </w:r>
    </w:p>
    <w:p>
      <w:pPr>
        <w:spacing w:after="0" w:line="148"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SHAREHOLDER PROPOSAL:</w:t>
      </w:r>
    </w:p>
    <w:p>
      <w:pPr>
        <w:spacing w:after="0" w:line="187"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WHEREAS:</w:t>
      </w:r>
    </w:p>
    <w:p>
      <w:pPr>
        <w:spacing w:after="0" w:line="191" w:lineRule="exact"/>
        <w:rPr>
          <w:sz w:val="20"/>
          <w:szCs w:val="20"/>
          <w:color w:val="auto"/>
        </w:rPr>
      </w:pPr>
    </w:p>
    <w:p>
      <w:pPr>
        <w:ind w:left="2" w:right="560"/>
        <w:spacing w:after="0" w:line="247" w:lineRule="auto"/>
        <w:rPr>
          <w:sz w:val="20"/>
          <w:szCs w:val="20"/>
          <w:color w:val="auto"/>
        </w:rPr>
      </w:pPr>
      <w:r>
        <w:rPr>
          <w:rFonts w:ascii="Arial" w:cs="Arial" w:eastAsia="Arial" w:hAnsi="Arial"/>
          <w:sz w:val="20"/>
          <w:szCs w:val="20"/>
          <w:color w:val="auto"/>
        </w:rPr>
        <w:t>Corporate political spending exposes Pinnacle West (sic) Corporation (the "Company") to risks that could adversely affect the Company's stated goals, objectives, and ultimately shareholder value. Pinnacle West's undisclosed "dark money" political contributions have been the source of significant controversy, reputational harm, and business risk.</w:t>
      </w:r>
    </w:p>
    <w:p>
      <w:pPr>
        <w:spacing w:after="0" w:line="365"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RESOLVED:</w:t>
      </w:r>
    </w:p>
    <w:p>
      <w:pPr>
        <w:spacing w:after="0" w:line="191" w:lineRule="exact"/>
        <w:rPr>
          <w:sz w:val="20"/>
          <w:szCs w:val="20"/>
          <w:color w:val="auto"/>
        </w:rPr>
      </w:pPr>
    </w:p>
    <w:p>
      <w:pPr>
        <w:ind w:left="2" w:right="80"/>
        <w:spacing w:after="0" w:line="237" w:lineRule="auto"/>
        <w:rPr>
          <w:sz w:val="20"/>
          <w:szCs w:val="20"/>
          <w:color w:val="auto"/>
        </w:rPr>
      </w:pPr>
      <w:r>
        <w:rPr>
          <w:rFonts w:ascii="Arial" w:cs="Arial" w:eastAsia="Arial" w:hAnsi="Arial"/>
          <w:sz w:val="20"/>
          <w:szCs w:val="20"/>
          <w:color w:val="auto"/>
        </w:rPr>
        <w:t>Shareholders request that Pinnacle West prepare a public report, updated and presented to the appropriate Board committee annually, disclosing monetary and in-kind expenditures on political activities that cannot be deducted as an "ordinary and necessary" business expense under section 162(e) of the Internal Revenue Code (the "Code") because they are incurred in connection with: (a) influencing legislation, (b) participating or intervening in any political campaign on behalf of (or in opposition to) any candidate for public office, and (c) attempting to influence the general public, or segments thereof, with respect to elections, legislative matters, or referenda. Shareholders request the report detail:</w:t>
      </w:r>
    </w:p>
    <w:p>
      <w:pPr>
        <w:spacing w:after="0" w:line="146" w:lineRule="exact"/>
        <w:rPr>
          <w:sz w:val="20"/>
          <w:szCs w:val="20"/>
          <w:color w:val="auto"/>
        </w:rPr>
      </w:pPr>
    </w:p>
    <w:p>
      <w:pPr>
        <w:ind w:left="482" w:hanging="482"/>
        <w:spacing w:after="0"/>
        <w:tabs>
          <w:tab w:leader="none" w:pos="482" w:val="left"/>
        </w:tabs>
        <w:numPr>
          <w:ilvl w:val="0"/>
          <w:numId w:val="101"/>
        </w:numPr>
        <w:rPr>
          <w:rFonts w:ascii="Arial" w:cs="Arial" w:eastAsia="Arial" w:hAnsi="Arial"/>
          <w:sz w:val="20"/>
          <w:szCs w:val="20"/>
          <w:color w:val="3A5575"/>
        </w:rPr>
      </w:pPr>
      <w:r>
        <w:rPr>
          <w:rFonts w:ascii="Arial" w:cs="Arial" w:eastAsia="Arial" w:hAnsi="Arial"/>
          <w:sz w:val="20"/>
          <w:szCs w:val="20"/>
          <w:color w:val="auto"/>
        </w:rPr>
        <w:t>contributions to or expenditures in support of or opposition to political candidates, political parties, political committees;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192405</wp:posOffset>
            </wp:positionV>
            <wp:extent cx="841375" cy="16383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88"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96</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105" w:name="page106"/>
    <w:bookmarkEnd w:id="105"/>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66" w:lineRule="exact"/>
        <w:rPr>
          <w:sz w:val="20"/>
          <w:szCs w:val="20"/>
          <w:color w:val="auto"/>
        </w:rPr>
      </w:pPr>
    </w:p>
    <w:tbl>
      <w:tblPr>
        <w:tblLayout w:type="fixed"/>
        <w:tblInd w:w="2" w:type="dxa"/>
        <w:tblCellMar>
          <w:top w:w="0" w:type="dxa"/>
          <w:left w:w="0" w:type="dxa"/>
          <w:bottom w:w="0" w:type="dxa"/>
          <w:right w:w="0" w:type="dxa"/>
        </w:tblCellMar>
      </w:tblPr>
      <w:tr>
        <w:trPr>
          <w:trHeight w:val="51"/>
        </w:trPr>
        <w:tc>
          <w:tcPr>
            <w:tcW w:w="280" w:type="dxa"/>
            <w:vAlign w:val="bottom"/>
            <w:vMerge w:val="restart"/>
          </w:tcPr>
          <w:p>
            <w:pPr>
              <w:spacing w:after="0"/>
              <w:rPr>
                <w:sz w:val="20"/>
                <w:szCs w:val="20"/>
                <w:color w:val="auto"/>
              </w:rPr>
            </w:pPr>
            <w:r>
              <w:rPr>
                <w:rFonts w:ascii="Arial" w:cs="Arial" w:eastAsia="Arial" w:hAnsi="Arial"/>
                <w:sz w:val="20"/>
                <w:szCs w:val="20"/>
                <w:color w:val="3A5575"/>
              </w:rPr>
              <w:t>•</w:t>
            </w:r>
          </w:p>
        </w:tc>
        <w:tc>
          <w:tcPr>
            <w:tcW w:w="5540" w:type="dxa"/>
            <w:vAlign w:val="bottom"/>
            <w:vMerge w:val="restart"/>
          </w:tcPr>
          <w:p>
            <w:pPr>
              <w:ind w:left="200"/>
              <w:spacing w:after="0"/>
              <w:rPr>
                <w:sz w:val="20"/>
                <w:szCs w:val="20"/>
                <w:color w:val="auto"/>
              </w:rPr>
            </w:pPr>
            <w:r>
              <w:rPr>
                <w:rFonts w:ascii="Arial" w:cs="Arial" w:eastAsia="Arial" w:hAnsi="Arial"/>
                <w:sz w:val="20"/>
                <w:szCs w:val="20"/>
                <w:color w:val="auto"/>
              </w:rPr>
              <w:t>dues, contributions or other payments made to tax-exempt</w:t>
            </w:r>
          </w:p>
        </w:tc>
        <w:tc>
          <w:tcPr>
            <w:tcW w:w="56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9"/>
        </w:trPr>
        <w:tc>
          <w:tcPr>
            <w:tcW w:w="280" w:type="dxa"/>
            <w:vAlign w:val="bottom"/>
            <w:vMerge w:val="continue"/>
          </w:tcPr>
          <w:p>
            <w:pPr>
              <w:spacing w:after="0"/>
              <w:rPr>
                <w:sz w:val="15"/>
                <w:szCs w:val="15"/>
                <w:color w:val="auto"/>
              </w:rPr>
            </w:pPr>
          </w:p>
        </w:tc>
        <w:tc>
          <w:tcPr>
            <w:tcW w:w="5540" w:type="dxa"/>
            <w:vAlign w:val="bottom"/>
            <w:vMerge w:val="continue"/>
          </w:tcPr>
          <w:p>
            <w:pPr>
              <w:spacing w:after="0"/>
              <w:rPr>
                <w:sz w:val="15"/>
                <w:szCs w:val="15"/>
                <w:color w:val="auto"/>
              </w:rPr>
            </w:pPr>
          </w:p>
        </w:tc>
        <w:tc>
          <w:tcPr>
            <w:tcW w:w="5600" w:type="dxa"/>
            <w:vAlign w:val="bottom"/>
            <w:shd w:val="clear" w:color="auto" w:fill="3A5575"/>
          </w:tcPr>
          <w:p>
            <w:pPr>
              <w:ind w:left="40"/>
              <w:spacing w:after="0"/>
              <w:rPr>
                <w:sz w:val="20"/>
                <w:szCs w:val="20"/>
                <w:color w:val="auto"/>
              </w:rPr>
            </w:pPr>
            <w:r>
              <w:rPr>
                <w:rFonts w:ascii="Arial" w:cs="Arial" w:eastAsia="Arial" w:hAnsi="Arial"/>
                <w:sz w:val="13"/>
                <w:szCs w:val="13"/>
                <w:b w:val="1"/>
                <w:bCs w:val="1"/>
                <w:color w:val="FFFFFE"/>
              </w:rPr>
              <w:t>PROPOSAL 4 — SHAREHOLDER PROPOSAL REGARDING POLITICAL SPENDING</w:t>
            </w:r>
          </w:p>
        </w:tc>
        <w:tc>
          <w:tcPr>
            <w:tcW w:w="0" w:type="dxa"/>
            <w:vAlign w:val="bottom"/>
          </w:tcPr>
          <w:p>
            <w:pPr>
              <w:spacing w:after="0"/>
              <w:rPr>
                <w:sz w:val="1"/>
                <w:szCs w:val="1"/>
                <w:color w:val="auto"/>
              </w:rPr>
            </w:pPr>
          </w:p>
        </w:tc>
      </w:tr>
      <w:tr>
        <w:trPr>
          <w:trHeight w:val="67"/>
        </w:trPr>
        <w:tc>
          <w:tcPr>
            <w:tcW w:w="280" w:type="dxa"/>
            <w:vAlign w:val="bottom"/>
          </w:tcPr>
          <w:p>
            <w:pPr>
              <w:spacing w:after="0"/>
              <w:rPr>
                <w:sz w:val="5"/>
                <w:szCs w:val="5"/>
                <w:color w:val="auto"/>
              </w:rPr>
            </w:pPr>
          </w:p>
        </w:tc>
        <w:tc>
          <w:tcPr>
            <w:tcW w:w="5540" w:type="dxa"/>
            <w:vAlign w:val="bottom"/>
            <w:vMerge w:val="restart"/>
          </w:tcPr>
          <w:p>
            <w:pPr>
              <w:ind w:left="200"/>
              <w:spacing w:after="0" w:line="221" w:lineRule="exact"/>
              <w:rPr>
                <w:sz w:val="20"/>
                <w:szCs w:val="20"/>
                <w:color w:val="auto"/>
              </w:rPr>
            </w:pPr>
            <w:r>
              <w:rPr>
                <w:rFonts w:ascii="Arial" w:cs="Arial" w:eastAsia="Arial" w:hAnsi="Arial"/>
                <w:sz w:val="20"/>
                <w:szCs w:val="20"/>
                <w:color w:val="auto"/>
              </w:rPr>
              <w:t>"social welfare" organizations and "political committees"</w:t>
            </w:r>
          </w:p>
        </w:tc>
        <w:tc>
          <w:tcPr>
            <w:tcW w:w="5600" w:type="dxa"/>
            <w:vAlign w:val="bottom"/>
            <w:shd w:val="clear" w:color="auto" w:fill="3A5575"/>
          </w:tcPr>
          <w:p>
            <w:pPr>
              <w:spacing w:after="0"/>
              <w:rPr>
                <w:sz w:val="5"/>
                <w:szCs w:val="5"/>
                <w:color w:val="auto"/>
              </w:rPr>
            </w:pPr>
          </w:p>
        </w:tc>
        <w:tc>
          <w:tcPr>
            <w:tcW w:w="0" w:type="dxa"/>
            <w:vAlign w:val="bottom"/>
          </w:tcPr>
          <w:p>
            <w:pPr>
              <w:spacing w:after="0"/>
              <w:rPr>
                <w:sz w:val="1"/>
                <w:szCs w:val="1"/>
                <w:color w:val="auto"/>
              </w:rPr>
            </w:pPr>
          </w:p>
        </w:tc>
      </w:tr>
      <w:tr>
        <w:trPr>
          <w:trHeight w:val="154"/>
        </w:trPr>
        <w:tc>
          <w:tcPr>
            <w:tcW w:w="280" w:type="dxa"/>
            <w:vAlign w:val="bottom"/>
          </w:tcPr>
          <w:p>
            <w:pPr>
              <w:spacing w:after="0"/>
              <w:rPr>
                <w:sz w:val="13"/>
                <w:szCs w:val="13"/>
                <w:color w:val="auto"/>
              </w:rPr>
            </w:pPr>
          </w:p>
        </w:tc>
        <w:tc>
          <w:tcPr>
            <w:tcW w:w="5540" w:type="dxa"/>
            <w:vAlign w:val="bottom"/>
            <w:vMerge w:val="continue"/>
          </w:tcPr>
          <w:p>
            <w:pPr>
              <w:spacing w:after="0"/>
              <w:rPr>
                <w:sz w:val="13"/>
                <w:szCs w:val="13"/>
                <w:color w:val="auto"/>
              </w:rPr>
            </w:pPr>
          </w:p>
        </w:tc>
        <w:tc>
          <w:tcPr>
            <w:tcW w:w="56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21"/>
        </w:trPr>
        <w:tc>
          <w:tcPr>
            <w:tcW w:w="280" w:type="dxa"/>
            <w:vAlign w:val="bottom"/>
          </w:tcPr>
          <w:p>
            <w:pPr>
              <w:spacing w:after="0"/>
              <w:rPr>
                <w:sz w:val="19"/>
                <w:szCs w:val="19"/>
                <w:color w:val="auto"/>
              </w:rPr>
            </w:pPr>
          </w:p>
        </w:tc>
        <w:tc>
          <w:tcPr>
            <w:tcW w:w="11140" w:type="dxa"/>
            <w:vAlign w:val="bottom"/>
            <w:gridSpan w:val="2"/>
          </w:tcPr>
          <w:p>
            <w:pPr>
              <w:ind w:left="200"/>
              <w:spacing w:after="0" w:line="221" w:lineRule="exact"/>
              <w:rPr>
                <w:sz w:val="20"/>
                <w:szCs w:val="20"/>
                <w:color w:val="auto"/>
              </w:rPr>
            </w:pPr>
            <w:r>
              <w:rPr>
                <w:rFonts w:ascii="Arial" w:cs="Arial" w:eastAsia="Arial" w:hAnsi="Arial"/>
                <w:sz w:val="20"/>
                <w:szCs w:val="20"/>
                <w:color w:val="auto"/>
              </w:rPr>
              <w:t>operating under sections 501(c)(4) and 527 of the Code, respectively, and to tax-exempt entities that write model legislation</w:t>
            </w:r>
          </w:p>
        </w:tc>
        <w:tc>
          <w:tcPr>
            <w:tcW w:w="0" w:type="dxa"/>
            <w:vAlign w:val="bottom"/>
          </w:tcPr>
          <w:p>
            <w:pPr>
              <w:spacing w:after="0"/>
              <w:rPr>
                <w:sz w:val="1"/>
                <w:szCs w:val="1"/>
                <w:color w:val="auto"/>
              </w:rPr>
            </w:pPr>
          </w:p>
        </w:tc>
      </w:tr>
      <w:tr>
        <w:trPr>
          <w:trHeight w:val="264"/>
        </w:trPr>
        <w:tc>
          <w:tcPr>
            <w:tcW w:w="280" w:type="dxa"/>
            <w:vAlign w:val="bottom"/>
          </w:tcPr>
          <w:p>
            <w:pPr>
              <w:spacing w:after="0"/>
              <w:rPr>
                <w:sz w:val="22"/>
                <w:szCs w:val="22"/>
                <w:color w:val="auto"/>
              </w:rPr>
            </w:pPr>
          </w:p>
        </w:tc>
        <w:tc>
          <w:tcPr>
            <w:tcW w:w="11140" w:type="dxa"/>
            <w:vAlign w:val="bottom"/>
            <w:gridSpan w:val="2"/>
          </w:tcPr>
          <w:p>
            <w:pPr>
              <w:ind w:left="200"/>
              <w:spacing w:after="0"/>
              <w:rPr>
                <w:sz w:val="20"/>
                <w:szCs w:val="20"/>
                <w:color w:val="auto"/>
              </w:rPr>
            </w:pPr>
            <w:r>
              <w:rPr>
                <w:rFonts w:ascii="Arial" w:cs="Arial" w:eastAsia="Arial" w:hAnsi="Arial"/>
                <w:sz w:val="20"/>
                <w:szCs w:val="20"/>
                <w:color w:val="auto"/>
              </w:rPr>
              <w:t>and operate under section 501(c)(3) of the Code; and</w:t>
            </w:r>
          </w:p>
        </w:tc>
        <w:tc>
          <w:tcPr>
            <w:tcW w:w="0" w:type="dxa"/>
            <w:vAlign w:val="bottom"/>
          </w:tcPr>
          <w:p>
            <w:pPr>
              <w:spacing w:after="0"/>
              <w:rPr>
                <w:sz w:val="1"/>
                <w:szCs w:val="1"/>
                <w:color w:val="auto"/>
              </w:rPr>
            </w:pPr>
          </w:p>
        </w:tc>
      </w:tr>
    </w:tbl>
    <w:p>
      <w:pPr>
        <w:spacing w:after="0" w:line="178" w:lineRule="exact"/>
        <w:rPr>
          <w:sz w:val="20"/>
          <w:szCs w:val="20"/>
          <w:color w:val="auto"/>
        </w:rPr>
      </w:pPr>
    </w:p>
    <w:p>
      <w:pPr>
        <w:ind w:left="482" w:right="860" w:hanging="482"/>
        <w:spacing w:after="0" w:line="247" w:lineRule="auto"/>
        <w:tabs>
          <w:tab w:leader="none" w:pos="482" w:val="left"/>
        </w:tabs>
        <w:numPr>
          <w:ilvl w:val="0"/>
          <w:numId w:val="102"/>
        </w:numPr>
        <w:rPr>
          <w:rFonts w:ascii="Arial" w:cs="Arial" w:eastAsia="Arial" w:hAnsi="Arial"/>
          <w:sz w:val="20"/>
          <w:szCs w:val="20"/>
          <w:color w:val="3A5575"/>
        </w:rPr>
      </w:pPr>
      <w:r>
        <w:rPr>
          <w:rFonts w:ascii="Arial" w:cs="Arial" w:eastAsia="Arial" w:hAnsi="Arial"/>
          <w:sz w:val="20"/>
          <w:szCs w:val="20"/>
          <w:color w:val="auto"/>
        </w:rPr>
        <w:t>the portion of dues or other payments made to a tax-exempt entity such as a trade association that are used for an expenditure or contribution and that would not be deductible under section 162(e) of the Code if made directly by the Company.</w:t>
      </w:r>
    </w:p>
    <w:p>
      <w:pPr>
        <w:spacing w:after="0" w:line="149" w:lineRule="exact"/>
        <w:rPr>
          <w:sz w:val="20"/>
          <w:szCs w:val="20"/>
          <w:color w:val="auto"/>
        </w:rPr>
      </w:pPr>
    </w:p>
    <w:p>
      <w:pPr>
        <w:ind w:left="2"/>
        <w:spacing w:after="0"/>
        <w:rPr>
          <w:sz w:val="20"/>
          <w:szCs w:val="20"/>
          <w:color w:val="auto"/>
        </w:rPr>
      </w:pPr>
      <w:r>
        <w:rPr>
          <w:rFonts w:ascii="Arial" w:cs="Arial" w:eastAsia="Arial" w:hAnsi="Arial"/>
          <w:sz w:val="20"/>
          <w:szCs w:val="20"/>
          <w:color w:val="auto"/>
        </w:rPr>
        <w:t>The report shall identify all recipients and amounts paid to each recipient from Company funds.</w:t>
      </w:r>
    </w:p>
    <w:p>
      <w:pPr>
        <w:spacing w:after="0" w:line="183" w:lineRule="exact"/>
        <w:rPr>
          <w:sz w:val="20"/>
          <w:szCs w:val="20"/>
          <w:color w:val="auto"/>
        </w:rPr>
      </w:pPr>
    </w:p>
    <w:p>
      <w:pPr>
        <w:ind w:left="2" w:right="20"/>
        <w:spacing w:after="0" w:line="251" w:lineRule="auto"/>
        <w:rPr>
          <w:sz w:val="20"/>
          <w:szCs w:val="20"/>
          <w:color w:val="auto"/>
        </w:rPr>
      </w:pPr>
      <w:r>
        <w:rPr>
          <w:rFonts w:ascii="Arial" w:cs="Arial" w:eastAsia="Arial" w:hAnsi="Arial"/>
          <w:sz w:val="19"/>
          <w:szCs w:val="19"/>
          <w:b w:val="1"/>
          <w:bCs w:val="1"/>
          <w:color w:val="auto"/>
        </w:rPr>
        <w:t xml:space="preserve">SUPPORTING: </w:t>
      </w:r>
      <w:r>
        <w:rPr>
          <w:rFonts w:ascii="Arial" w:cs="Arial" w:eastAsia="Arial" w:hAnsi="Arial"/>
          <w:sz w:val="19"/>
          <w:szCs w:val="19"/>
          <w:color w:val="auto"/>
        </w:rPr>
        <w:t>Pinnacle West reports a portion of its political spending, and meets the minimal legal requirements that exist for</w:t>
      </w:r>
      <w:r>
        <w:rPr>
          <w:rFonts w:ascii="Arial" w:cs="Arial" w:eastAsia="Arial" w:hAnsi="Arial"/>
          <w:sz w:val="19"/>
          <w:szCs w:val="19"/>
          <w:b w:val="1"/>
          <w:bCs w:val="1"/>
          <w:color w:val="auto"/>
        </w:rPr>
        <w:t xml:space="preserve"> </w:t>
      </w:r>
      <w:r>
        <w:rPr>
          <w:rFonts w:ascii="Arial" w:cs="Arial" w:eastAsia="Arial" w:hAnsi="Arial"/>
          <w:sz w:val="19"/>
          <w:szCs w:val="19"/>
          <w:color w:val="auto"/>
        </w:rPr>
        <w:t>political spending reporting. However, shareholders are concerned that the political spending Pinnacle West reports voluntarily and for compliance does not reveal the full extent of the Company's use of shareholder money to participate in the political processes. For example, press reports allege that Pinnacle West spent $3.2 million in "dark money" on the elections of two of their regulators, which is not disclosed by the Company. (Arizona Republic, 2015). In September 2015, Arizona utility regulators requested that Pinnacle West halt its political contributions to campaigns of its regulators, and former utility regulators advocated a subpoena of Pinnacle West's political spending records. Pinnacle West filed a public response stating that it would continue its political spending.</w:t>
      </w:r>
    </w:p>
    <w:p>
      <w:pPr>
        <w:spacing w:after="0" w:line="146" w:lineRule="exact"/>
        <w:rPr>
          <w:sz w:val="20"/>
          <w:szCs w:val="20"/>
          <w:color w:val="auto"/>
        </w:rPr>
      </w:pPr>
    </w:p>
    <w:p>
      <w:pPr>
        <w:ind w:left="2" w:right="160"/>
        <w:spacing w:after="0" w:line="259" w:lineRule="auto"/>
        <w:rPr>
          <w:sz w:val="20"/>
          <w:szCs w:val="20"/>
          <w:color w:val="auto"/>
        </w:rPr>
      </w:pPr>
      <w:r>
        <w:rPr>
          <w:rFonts w:ascii="Arial" w:cs="Arial" w:eastAsia="Arial" w:hAnsi="Arial"/>
          <w:sz w:val="19"/>
          <w:szCs w:val="19"/>
          <w:color w:val="auto"/>
        </w:rPr>
        <w:t>Pinnacle West's spending on the campaigns of government officials creates, at a minimum, the appearance of impropriety; further, the legality of its political spending has not been publicly established and cannot be effectively determined without full disclosure. Due to the ongoing nature of the Company's political activities, and Pinnacle West's stated intent to continue political spending, proponents request shareholder (sic) support this resolution, an earlier version of which received a vote of 30.8% in 2015.</w:t>
      </w:r>
    </w:p>
    <w:p>
      <w:pPr>
        <w:spacing w:after="0" w:line="132"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BOARD OF DIRECTORS RESPONSE:</w:t>
      </w:r>
    </w:p>
    <w:p>
      <w:pPr>
        <w:spacing w:after="0" w:line="200" w:lineRule="exact"/>
        <w:rPr>
          <w:sz w:val="20"/>
          <w:szCs w:val="20"/>
          <w:color w:val="auto"/>
        </w:rPr>
      </w:pPr>
    </w:p>
    <w:p>
      <w:pPr>
        <w:spacing w:after="0" w:line="208" w:lineRule="exact"/>
        <w:rPr>
          <w:sz w:val="20"/>
          <w:szCs w:val="20"/>
          <w:color w:val="auto"/>
        </w:rPr>
      </w:pPr>
    </w:p>
    <w:p>
      <w:pPr>
        <w:ind w:left="2"/>
        <w:spacing w:after="0"/>
        <w:rPr>
          <w:sz w:val="20"/>
          <w:szCs w:val="20"/>
          <w:color w:val="auto"/>
        </w:rPr>
      </w:pPr>
      <w:r>
        <w:rPr>
          <w:rFonts w:ascii="Arial" w:cs="Arial" w:eastAsia="Arial" w:hAnsi="Arial"/>
          <w:sz w:val="20"/>
          <w:szCs w:val="20"/>
          <w:b w:val="1"/>
          <w:bCs w:val="1"/>
          <w:color w:val="auto"/>
        </w:rPr>
        <w:t>YOUR BOARD OF DIRECTORS UNANIMOUSLY RECOMMENDS A VOTE "AGAINST" PROPOSAL 4.</w:t>
      </w:r>
    </w:p>
    <w:p>
      <w:pPr>
        <w:spacing w:after="0" w:line="191" w:lineRule="exact"/>
        <w:rPr>
          <w:sz w:val="20"/>
          <w:szCs w:val="20"/>
          <w:color w:val="auto"/>
        </w:rPr>
      </w:pPr>
    </w:p>
    <w:p>
      <w:pPr>
        <w:ind w:left="2" w:right="1140"/>
        <w:spacing w:after="0" w:line="265" w:lineRule="auto"/>
        <w:rPr>
          <w:sz w:val="20"/>
          <w:szCs w:val="20"/>
          <w:color w:val="auto"/>
        </w:rPr>
      </w:pPr>
      <w:r>
        <w:rPr>
          <w:rFonts w:ascii="Arial" w:cs="Arial" w:eastAsia="Arial" w:hAnsi="Arial"/>
          <w:sz w:val="20"/>
          <w:szCs w:val="20"/>
          <w:color w:val="auto"/>
        </w:rPr>
        <w:t>The Corporate Governance Committee and the Board have considered this proposal and concluded that its adoption is unnecessary and not in the best interests of our shareholders.</w:t>
      </w:r>
    </w:p>
    <w:p>
      <w:pPr>
        <w:spacing w:after="0" w:line="130" w:lineRule="exact"/>
        <w:rPr>
          <w:sz w:val="20"/>
          <w:szCs w:val="20"/>
          <w:color w:val="auto"/>
        </w:rPr>
      </w:pPr>
    </w:p>
    <w:p>
      <w:pPr>
        <w:ind w:left="2" w:right="60"/>
        <w:spacing w:after="0" w:line="236" w:lineRule="auto"/>
        <w:rPr>
          <w:sz w:val="20"/>
          <w:szCs w:val="20"/>
          <w:color w:val="auto"/>
        </w:rPr>
      </w:pPr>
      <w:r>
        <w:rPr>
          <w:rFonts w:ascii="Arial" w:cs="Arial" w:eastAsia="Arial" w:hAnsi="Arial"/>
          <w:sz w:val="20"/>
          <w:szCs w:val="20"/>
          <w:color w:val="auto"/>
        </w:rPr>
        <w:t>As an initial matter, we do not agree with the characterization in the proponents' supporting statement of our response to the letter sent by two Arizona Corporation Commissioners in September 2015 requesting that all regulated and unregulated entities that appear before the Commission agree to voluntarily refrain from making campaign contributions in support of or in opposition to Arizona Corporation Commission candidates. We responded that we would not unilaterally forfeit our First Amendment rights to speak on public issues and would continue to advocate for policies that enable a sustainable energy future for Arizona. This is quite different from stating that the Company "would continue its political spending" or that we have a "stated intent to continue political spending."</w:t>
      </w:r>
    </w:p>
    <w:p>
      <w:pPr>
        <w:spacing w:after="0" w:line="159" w:lineRule="exact"/>
        <w:rPr>
          <w:sz w:val="20"/>
          <w:szCs w:val="20"/>
          <w:color w:val="auto"/>
        </w:rPr>
      </w:pPr>
    </w:p>
    <w:p>
      <w:pPr>
        <w:ind w:left="2" w:right="200"/>
        <w:spacing w:after="0" w:line="247" w:lineRule="auto"/>
        <w:rPr>
          <w:sz w:val="20"/>
          <w:szCs w:val="20"/>
          <w:color w:val="auto"/>
        </w:rPr>
      </w:pPr>
      <w:r>
        <w:rPr>
          <w:rFonts w:ascii="Arial" w:cs="Arial" w:eastAsia="Arial" w:hAnsi="Arial"/>
          <w:sz w:val="20"/>
          <w:szCs w:val="20"/>
          <w:color w:val="auto"/>
        </w:rPr>
        <w:t>We also note that the proponents' supporting statement relies in part on unsupported allegations in the media, and raises an unfounded implication about the "legality" of our political expenditure activities. We are disappointed that the supporting statement includes</w:t>
      </w:r>
    </w:p>
    <w:p>
      <w:pPr>
        <w:spacing w:after="0" w:line="229"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16"/>
          <w:szCs w:val="16"/>
          <w:b w:val="1"/>
          <w:bCs w:val="1"/>
          <w:color w:val="3A5575"/>
        </w:rPr>
        <w:t xml:space="preserve">|   </w:t>
      </w:r>
      <w:r>
        <w:rPr>
          <w:sz w:val="1"/>
          <w:szCs w:val="1"/>
          <w:color w:val="auto"/>
        </w:rPr>
        <w:drawing>
          <wp:inline distT="0" distB="0" distL="0" distR="0">
            <wp:extent cx="841375" cy="16383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99695</wp:posOffset>
            </wp:positionV>
            <wp:extent cx="7263765" cy="2032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2"/>
          </w:cols>
          <w:pgMar w:left="238" w:top="110" w:right="219" w:bottom="1440" w:gutter="0" w:footer="0" w:header="0"/>
        </w:sectPr>
      </w:pPr>
    </w:p>
    <w:bookmarkStart w:id="106" w:name="page107"/>
    <w:bookmarkEnd w:id="106"/>
    <w:p>
      <w:pPr>
        <w:ind w:left="2"/>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ind w:left="5622" w:right="80" w:hanging="5159"/>
        <w:spacing w:after="0" w:line="292" w:lineRule="auto"/>
        <w:rPr>
          <w:sz w:val="20"/>
          <w:szCs w:val="20"/>
          <w:color w:val="auto"/>
        </w:rPr>
      </w:pPr>
      <w:r>
        <w:rPr>
          <w:rFonts w:ascii="Arial" w:cs="Arial" w:eastAsia="Arial" w:hAnsi="Arial"/>
          <w:sz w:val="13"/>
          <w:szCs w:val="13"/>
          <w:b w:val="1"/>
          <w:bCs w:val="1"/>
          <w:color w:val="FFFFFE"/>
        </w:rPr>
        <w:t xml:space="preserve">PROPOSAL 4 — SHAREHOLDER PROPOSAL REGARDING POLITICAL SPENDING </w:t>
      </w:r>
      <w:r>
        <w:rPr>
          <w:rFonts w:ascii="Arial" w:cs="Arial" w:eastAsia="Arial" w:hAnsi="Arial"/>
          <w:sz w:val="19"/>
          <w:szCs w:val="19"/>
          <w:color w:val="000000"/>
        </w:rPr>
        <w:t>these unwarranted allegations, and trust that our shareholders will</w:t>
      </w:r>
      <w:r>
        <w:rPr>
          <w:rFonts w:ascii="Arial" w:cs="Arial" w:eastAsia="Arial" w:hAnsi="Arial"/>
          <w:sz w:val="13"/>
          <w:szCs w:val="13"/>
          <w:b w:val="1"/>
          <w:bCs w:val="1"/>
          <w:color w:val="FFFFFE"/>
        </w:rPr>
        <w:t xml:space="preserve"> </w:t>
      </w:r>
      <w:r>
        <w:rPr>
          <w:rFonts w:ascii="Arial" w:cs="Arial" w:eastAsia="Arial" w:hAnsi="Arial"/>
          <w:sz w:val="19"/>
          <w:szCs w:val="19"/>
          <w:color w:val="000000"/>
        </w:rPr>
        <w:t>ascribe to them the credit that they deserve.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-318135</wp:posOffset>
            </wp:positionV>
            <wp:extent cx="3567430" cy="15557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3567430" cy="155575"/>
                    </a:xfrm>
                    <a:prstGeom prst="rect">
                      <a:avLst/>
                    </a:prstGeom>
                    <a:noFill/>
                  </pic:spPr>
                </pic:pic>
              </a:graphicData>
            </a:graphic>
          </wp:anchor>
        </w:drawing>
      </w:r>
    </w:p>
    <w:p>
      <w:pPr>
        <w:spacing w:after="0" w:line="86" w:lineRule="exact"/>
        <w:rPr>
          <w:sz w:val="20"/>
          <w:szCs w:val="20"/>
          <w:color w:val="auto"/>
        </w:rPr>
      </w:pPr>
    </w:p>
    <w:p>
      <w:pPr>
        <w:ind w:left="2" w:right="20"/>
        <w:spacing w:after="0" w:line="237" w:lineRule="auto"/>
        <w:rPr>
          <w:sz w:val="20"/>
          <w:szCs w:val="20"/>
          <w:color w:val="auto"/>
        </w:rPr>
      </w:pPr>
      <w:r>
        <w:rPr>
          <w:rFonts w:ascii="Arial" w:cs="Arial" w:eastAsia="Arial" w:hAnsi="Arial"/>
          <w:sz w:val="20"/>
          <w:szCs w:val="20"/>
          <w:color w:val="auto"/>
        </w:rPr>
        <w:t>Your Board believes that political interaction is important to shareholder value. As a vertically integrated fully-regulated utility, APS's operations and financial condition are significantly affected by the actions of elected officials at the local, state and national levels, including the rates it can charge customers, its profitability, and the recovery of the costs of its investments in infrastructure. When it is in our best interest, we have a responsibility to our customers, shareholders and other stakeholders to be an active participant in the political process, to inform policy and decision makers of our views on issues, and to develop and maintain strong working relationships with governmental decision makers.</w:t>
      </w:r>
    </w:p>
    <w:p>
      <w:pPr>
        <w:spacing w:after="0" w:line="158" w:lineRule="exact"/>
        <w:rPr>
          <w:sz w:val="20"/>
          <w:szCs w:val="20"/>
          <w:color w:val="auto"/>
        </w:rPr>
      </w:pPr>
    </w:p>
    <w:p>
      <w:pPr>
        <w:ind w:left="2" w:right="20"/>
        <w:spacing w:after="0" w:line="237" w:lineRule="auto"/>
        <w:rPr>
          <w:sz w:val="20"/>
          <w:szCs w:val="20"/>
          <w:color w:val="auto"/>
        </w:rPr>
      </w:pPr>
      <w:r>
        <w:rPr>
          <w:rFonts w:ascii="Arial" w:cs="Arial" w:eastAsia="Arial" w:hAnsi="Arial"/>
          <w:sz w:val="20"/>
          <w:szCs w:val="20"/>
          <w:color w:val="auto"/>
        </w:rPr>
        <w:t xml:space="preserve">Pinnacle West is committed to complying with the law, our policies and our values when engaging in any type of lobbying or political activity. Pinnacle West's Political Participation Policy (the "Policy") is set forth on our website in our section on Corporate Governance (available at </w:t>
      </w:r>
      <w:r>
        <w:rPr>
          <w:rFonts w:ascii="Arial" w:cs="Arial" w:eastAsia="Arial" w:hAnsi="Arial"/>
          <w:sz w:val="20"/>
          <w:szCs w:val="20"/>
          <w:b w:val="1"/>
          <w:bCs w:val="1"/>
          <w:i w:val="1"/>
          <w:iCs w:val="1"/>
          <w:color w:val="3A5575"/>
        </w:rPr>
        <w:t>www.pinnaclewest.com</w:t>
      </w:r>
      <w:r>
        <w:rPr>
          <w:rFonts w:ascii="Arial" w:cs="Arial" w:eastAsia="Arial" w:hAnsi="Arial"/>
          <w:sz w:val="20"/>
          <w:szCs w:val="20"/>
          <w:color w:val="auto"/>
        </w:rPr>
        <w:t>). The Policy provides that our Company and our subsidiaries participate in the democratic process to advance our long term business interests and the interests of our customers, employees, shareholders and other stakeholders. And, contrary to the proponents' supporting statement, under the Policy we disclose more information about our political expenditure and lobbying activities than what is required to meet "the minimal legal requirements".</w:t>
      </w:r>
    </w:p>
    <w:p>
      <w:pPr>
        <w:spacing w:after="0" w:line="158" w:lineRule="exact"/>
        <w:rPr>
          <w:sz w:val="20"/>
          <w:szCs w:val="20"/>
          <w:color w:val="auto"/>
        </w:rPr>
      </w:pPr>
    </w:p>
    <w:p>
      <w:pPr>
        <w:ind w:left="2"/>
        <w:spacing w:after="0"/>
        <w:rPr>
          <w:sz w:val="20"/>
          <w:szCs w:val="20"/>
          <w:color w:val="auto"/>
        </w:rPr>
      </w:pPr>
      <w:r>
        <w:rPr>
          <w:rFonts w:ascii="Arial" w:cs="Arial" w:eastAsia="Arial" w:hAnsi="Arial"/>
          <w:sz w:val="20"/>
          <w:szCs w:val="20"/>
          <w:color w:val="auto"/>
        </w:rPr>
        <w:t>Our Policy provides that:</w:t>
      </w:r>
    </w:p>
    <w:p>
      <w:pPr>
        <w:spacing w:after="0" w:line="175" w:lineRule="exact"/>
        <w:rPr>
          <w:sz w:val="20"/>
          <w:szCs w:val="20"/>
          <w:color w:val="auto"/>
        </w:rPr>
      </w:pPr>
    </w:p>
    <w:p>
      <w:pPr>
        <w:ind w:left="482" w:right="340" w:hanging="482"/>
        <w:spacing w:after="0" w:line="247" w:lineRule="auto"/>
        <w:tabs>
          <w:tab w:leader="none" w:pos="482" w:val="left"/>
        </w:tabs>
        <w:numPr>
          <w:ilvl w:val="0"/>
          <w:numId w:val="103"/>
        </w:numPr>
        <w:rPr>
          <w:rFonts w:ascii="Arial" w:cs="Arial" w:eastAsia="Arial" w:hAnsi="Arial"/>
          <w:sz w:val="20"/>
          <w:szCs w:val="20"/>
          <w:color w:val="3A5575"/>
        </w:rPr>
      </w:pPr>
      <w:r>
        <w:rPr>
          <w:rFonts w:ascii="Arial" w:cs="Arial" w:eastAsia="Arial" w:hAnsi="Arial"/>
          <w:sz w:val="20"/>
          <w:szCs w:val="20"/>
          <w:color w:val="auto"/>
        </w:rPr>
        <w:t>The Corporate Governance Committee of the Board reviews with management the Company's governmental affairs strategies, including the policies and priorities for the Company's political expenditure and lobbying activities, oversees the progress of the Company's strategies throughout the year, and reports on these activities to the Board;</w:t>
      </w:r>
    </w:p>
    <w:p>
      <w:pPr>
        <w:spacing w:after="0" w:line="173" w:lineRule="exact"/>
        <w:rPr>
          <w:rFonts w:ascii="Arial" w:cs="Arial" w:eastAsia="Arial" w:hAnsi="Arial"/>
          <w:sz w:val="20"/>
          <w:szCs w:val="20"/>
          <w:color w:val="3A5575"/>
        </w:rPr>
      </w:pPr>
    </w:p>
    <w:p>
      <w:pPr>
        <w:ind w:left="482" w:right="320" w:hanging="482"/>
        <w:spacing w:after="0" w:line="265" w:lineRule="auto"/>
        <w:tabs>
          <w:tab w:leader="none" w:pos="482" w:val="left"/>
        </w:tabs>
        <w:numPr>
          <w:ilvl w:val="0"/>
          <w:numId w:val="103"/>
        </w:numPr>
        <w:rPr>
          <w:rFonts w:ascii="Arial" w:cs="Arial" w:eastAsia="Arial" w:hAnsi="Arial"/>
          <w:sz w:val="20"/>
          <w:szCs w:val="20"/>
          <w:color w:val="3A5575"/>
        </w:rPr>
      </w:pPr>
      <w:r>
        <w:rPr>
          <w:rFonts w:ascii="Arial" w:cs="Arial" w:eastAsia="Arial" w:hAnsi="Arial"/>
          <w:sz w:val="20"/>
          <w:szCs w:val="20"/>
          <w:color w:val="auto"/>
        </w:rPr>
        <w:t>We support candidates, causes or organizations that share an interest in public policy that furthers our business objectives and promotes our mission of creating a sustainable energy future for Arizona;</w:t>
      </w:r>
    </w:p>
    <w:p>
      <w:pPr>
        <w:spacing w:after="0" w:line="142" w:lineRule="exact"/>
        <w:rPr>
          <w:rFonts w:ascii="Arial" w:cs="Arial" w:eastAsia="Arial" w:hAnsi="Arial"/>
          <w:sz w:val="20"/>
          <w:szCs w:val="20"/>
          <w:color w:val="3A5575"/>
        </w:rPr>
      </w:pPr>
    </w:p>
    <w:p>
      <w:pPr>
        <w:ind w:left="482" w:right="220" w:hanging="482"/>
        <w:spacing w:after="0" w:line="242" w:lineRule="auto"/>
        <w:tabs>
          <w:tab w:leader="none" w:pos="482" w:val="left"/>
        </w:tabs>
        <w:numPr>
          <w:ilvl w:val="0"/>
          <w:numId w:val="103"/>
        </w:numPr>
        <w:rPr>
          <w:rFonts w:ascii="Arial" w:cs="Arial" w:eastAsia="Arial" w:hAnsi="Arial"/>
          <w:sz w:val="20"/>
          <w:szCs w:val="20"/>
          <w:color w:val="3A5575"/>
        </w:rPr>
      </w:pPr>
      <w:r>
        <w:rPr>
          <w:rFonts w:ascii="Arial" w:cs="Arial" w:eastAsia="Arial" w:hAnsi="Arial"/>
          <w:sz w:val="20"/>
          <w:szCs w:val="20"/>
          <w:color w:val="auto"/>
        </w:rPr>
        <w:t>The Company discloses all political contributions as required by law. In addition, we provide a voluntary annual report listing contributions equal to or in excess of $25,000 made to political parties and associations operating under Section 527 of the Internal Revenue Code, and of the portion of our trade association dues used for lobbying purposes, when those groups provide that information to us; and</w:t>
      </w:r>
    </w:p>
    <w:p>
      <w:pPr>
        <w:spacing w:after="0" w:line="164" w:lineRule="exact"/>
        <w:rPr>
          <w:rFonts w:ascii="Arial" w:cs="Arial" w:eastAsia="Arial" w:hAnsi="Arial"/>
          <w:sz w:val="20"/>
          <w:szCs w:val="20"/>
          <w:color w:val="3A5575"/>
        </w:rPr>
      </w:pPr>
    </w:p>
    <w:p>
      <w:pPr>
        <w:ind w:left="482" w:right="80" w:hanging="482"/>
        <w:spacing w:after="0" w:line="267" w:lineRule="auto"/>
        <w:tabs>
          <w:tab w:leader="none" w:pos="482" w:val="left"/>
        </w:tabs>
        <w:numPr>
          <w:ilvl w:val="0"/>
          <w:numId w:val="103"/>
        </w:numPr>
        <w:rPr>
          <w:rFonts w:ascii="Arial" w:cs="Arial" w:eastAsia="Arial" w:hAnsi="Arial"/>
          <w:sz w:val="19"/>
          <w:szCs w:val="19"/>
          <w:color w:val="3A5575"/>
        </w:rPr>
      </w:pPr>
      <w:r>
        <w:rPr>
          <w:rFonts w:ascii="Arial" w:cs="Arial" w:eastAsia="Arial" w:hAnsi="Arial"/>
          <w:sz w:val="19"/>
          <w:szCs w:val="19"/>
          <w:color w:val="auto"/>
        </w:rPr>
        <w:t>We actively promote the economic health of the Arizona jurisdictions we serve through our activities with local chambers of commerce. Depending on their roles, these organizations may be subject to lobbyist registration and disclosure reporting obligations, with their reports being made available to the public by the governmental agencies overseeing lobbying activities.</w:t>
      </w:r>
    </w:p>
    <w:p>
      <w:pPr>
        <w:spacing w:after="0" w:line="129" w:lineRule="exact"/>
        <w:rPr>
          <w:sz w:val="20"/>
          <w:szCs w:val="20"/>
          <w:color w:val="auto"/>
        </w:rPr>
      </w:pPr>
    </w:p>
    <w:p>
      <w:pPr>
        <w:ind w:left="2" w:right="40"/>
        <w:spacing w:after="0" w:line="237" w:lineRule="auto"/>
        <w:rPr>
          <w:sz w:val="20"/>
          <w:szCs w:val="20"/>
          <w:color w:val="auto"/>
        </w:rPr>
      </w:pPr>
      <w:r>
        <w:rPr>
          <w:rFonts w:ascii="Arial" w:cs="Arial" w:eastAsia="Arial" w:hAnsi="Arial"/>
          <w:sz w:val="20"/>
          <w:szCs w:val="20"/>
          <w:color w:val="auto"/>
        </w:rPr>
        <w:t>We believe that we fully comply with all laws governing our lobbying activities. Federal political activity is subject to comprehensive regulation by the federal government, including detailed disclosure requirements. Our political action committee files regular reports of receipts and disbursements with the Federal Election Commission ("FEC"), all of which are disclosed to the public in the reports filed with the FEC which can be accessed through our Policy. These reports include identification of all individuals who contributed $200 or more as well as all candidates or committees that receive a political contribution. We also comply with all obligations with regard to our state and local political activities, including reporting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173990</wp:posOffset>
            </wp:positionV>
            <wp:extent cx="841375" cy="16383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841375" cy="163830"/>
                    </a:xfrm>
                    <a:prstGeom prst="rect">
                      <a:avLst/>
                    </a:prstGeom>
                    <a:noFill/>
                  </pic:spPr>
                </pic:pic>
              </a:graphicData>
            </a:graphic>
          </wp:anchor>
        </w:drawing>
      </w:r>
    </w:p>
    <w:p>
      <w:pPr>
        <w:spacing w:after="0" w:line="260" w:lineRule="exact"/>
        <w:rPr>
          <w:sz w:val="20"/>
          <w:szCs w:val="20"/>
          <w:color w:val="auto"/>
        </w:rPr>
      </w:pPr>
    </w:p>
    <w:tbl>
      <w:tblPr>
        <w:tblLayout w:type="fixed"/>
        <w:tblInd w:w="2" w:type="dxa"/>
        <w:tblCellMar>
          <w:top w:w="0" w:type="dxa"/>
          <w:left w:w="0" w:type="dxa"/>
          <w:bottom w:w="0" w:type="dxa"/>
          <w:right w:w="0" w:type="dxa"/>
        </w:tblCellMar>
      </w:tblPr>
      <w:tr>
        <w:trPr>
          <w:trHeight w:val="224"/>
        </w:trPr>
        <w:tc>
          <w:tcPr>
            <w:tcW w:w="1200" w:type="dxa"/>
            <w:vAlign w:val="bottom"/>
          </w:tcPr>
          <w:p>
            <w:pPr>
              <w:jc w:val="right"/>
              <w:ind w:right="900"/>
              <w:spacing w:after="0"/>
              <w:rPr>
                <w:sz w:val="20"/>
                <w:szCs w:val="20"/>
                <w:color w:val="auto"/>
              </w:rPr>
            </w:pPr>
            <w:r>
              <w:rPr>
                <w:rFonts w:ascii="Arial" w:cs="Arial" w:eastAsia="Arial" w:hAnsi="Arial"/>
                <w:sz w:val="16"/>
                <w:szCs w:val="16"/>
                <w:b w:val="1"/>
                <w:bCs w:val="1"/>
                <w:color w:val="auto"/>
              </w:rPr>
              <w:t>98</w:t>
            </w:r>
          </w:p>
        </w:tc>
        <w:tc>
          <w:tcPr>
            <w:tcW w:w="1140" w:type="dxa"/>
            <w:vAlign w:val="bottom"/>
            <w:vMerge w:val="restart"/>
          </w:tcPr>
          <w:p>
            <w:pPr>
              <w:jc w:val="right"/>
              <w:ind w:right="58"/>
              <w:spacing w:after="0"/>
              <w:rPr>
                <w:sz w:val="20"/>
                <w:szCs w:val="20"/>
                <w:color w:val="auto"/>
              </w:rPr>
            </w:pPr>
            <w:r>
              <w:rPr>
                <w:rFonts w:ascii="Arial" w:cs="Arial" w:eastAsia="Arial" w:hAnsi="Arial"/>
                <w:sz w:val="16"/>
                <w:szCs w:val="16"/>
                <w:b w:val="1"/>
                <w:bCs w:val="1"/>
                <w:color w:val="3A5575"/>
              </w:rPr>
              <w:t>|</w:t>
            </w:r>
          </w:p>
        </w:tc>
        <w:tc>
          <w:tcPr>
            <w:tcW w:w="9080" w:type="dxa"/>
            <w:vAlign w:val="bottom"/>
          </w:tcPr>
          <w:p>
            <w:pPr>
              <w:ind w:left="140"/>
              <w:spacing w:after="0"/>
              <w:rPr>
                <w:sz w:val="20"/>
                <w:szCs w:val="20"/>
                <w:color w:val="auto"/>
              </w:rPr>
            </w:pPr>
            <w:r>
              <w:rPr>
                <w:rFonts w:ascii="Arial" w:cs="Arial" w:eastAsia="Arial" w:hAnsi="Arial"/>
                <w:sz w:val="16"/>
                <w:szCs w:val="16"/>
                <w:color w:val="auto"/>
              </w:rPr>
              <w:t>2016 Proxy Statement</w:t>
            </w:r>
          </w:p>
        </w:tc>
        <w:tc>
          <w:tcPr>
            <w:tcW w:w="0" w:type="dxa"/>
            <w:vAlign w:val="bottom"/>
          </w:tcPr>
          <w:p>
            <w:pPr>
              <w:spacing w:after="0"/>
              <w:rPr>
                <w:sz w:val="1"/>
                <w:szCs w:val="1"/>
                <w:color w:val="auto"/>
              </w:rPr>
            </w:pPr>
          </w:p>
        </w:tc>
      </w:tr>
      <w:tr>
        <w:trPr>
          <w:trHeight w:val="76"/>
        </w:trPr>
        <w:tc>
          <w:tcPr>
            <w:tcW w:w="1200" w:type="dxa"/>
            <w:vAlign w:val="bottom"/>
          </w:tcPr>
          <w:p>
            <w:pPr>
              <w:spacing w:after="0"/>
              <w:rPr>
                <w:sz w:val="6"/>
                <w:szCs w:val="6"/>
                <w:color w:val="auto"/>
              </w:rPr>
            </w:pPr>
          </w:p>
        </w:tc>
        <w:tc>
          <w:tcPr>
            <w:tcW w:w="1140" w:type="dxa"/>
            <w:vAlign w:val="bottom"/>
            <w:vMerge w:val="continue"/>
          </w:tcPr>
          <w:p>
            <w:pPr>
              <w:spacing w:after="0"/>
              <w:rPr>
                <w:sz w:val="6"/>
                <w:szCs w:val="6"/>
                <w:color w:val="auto"/>
              </w:rPr>
            </w:pPr>
          </w:p>
        </w:tc>
        <w:tc>
          <w:tcPr>
            <w:tcW w:w="90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12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90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7249160</wp:posOffset>
            </wp:positionH>
            <wp:positionV relativeFrom="paragraph">
              <wp:posOffset>-13335</wp:posOffset>
            </wp:positionV>
            <wp:extent cx="12700" cy="762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12700" cy="7620"/>
                    </a:xfrm>
                    <a:prstGeom prst="rect">
                      <a:avLst/>
                    </a:prstGeom>
                    <a:noFill/>
                  </pic:spPr>
                </pic:pic>
              </a:graphicData>
            </a:graphic>
          </wp:anchor>
        </w:drawing>
        <w:drawing>
          <wp:anchor simplePos="0" relativeHeight="251657728" behindDoc="1" locked="0" layoutInCell="0" allowOverlap="1">
            <wp:simplePos x="0" y="0"/>
            <wp:positionH relativeFrom="column">
              <wp:posOffset>-1905</wp:posOffset>
            </wp:positionH>
            <wp:positionV relativeFrom="paragraph">
              <wp:posOffset>-13335</wp:posOffset>
            </wp:positionV>
            <wp:extent cx="12700" cy="762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12700" cy="7620"/>
                    </a:xfrm>
                    <a:prstGeom prst="rect">
                      <a:avLst/>
                    </a:prstGeom>
                    <a:noFill/>
                  </pic:spPr>
                </pic:pic>
              </a:graphicData>
            </a:graphic>
          </wp:anchor>
        </w:drawing>
      </w:r>
    </w:p>
    <w:p>
      <w:pPr>
        <w:sectPr>
          <w:pgSz w:w="11900" w:h="16838" w:orient="portrait"/>
          <w:cols w:equalWidth="0" w:num="1">
            <w:col w:w="11422"/>
          </w:cols>
          <w:pgMar w:left="238" w:top="110" w:right="239" w:bottom="1440" w:gutter="0" w:footer="0" w:header="0"/>
        </w:sectPr>
      </w:pPr>
    </w:p>
    <w:bookmarkStart w:id="107" w:name="page108"/>
    <w:bookmarkEnd w:id="107"/>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spacing w:after="0"/>
        <w:tabs>
          <w:tab w:leader="none" w:pos="5840" w:val="left"/>
        </w:tabs>
        <w:rPr>
          <w:sz w:val="20"/>
          <w:szCs w:val="20"/>
          <w:color w:val="auto"/>
        </w:rPr>
      </w:pPr>
      <w:r>
        <w:rPr>
          <w:rFonts w:ascii="Arial" w:cs="Arial" w:eastAsia="Arial" w:hAnsi="Arial"/>
          <w:sz w:val="20"/>
          <w:szCs w:val="20"/>
          <w:color w:val="auto"/>
        </w:rPr>
        <w:t>disclosure requirements. The Board believes these requirements</w:t>
      </w:r>
      <w:r>
        <w:rPr>
          <w:sz w:val="20"/>
          <w:szCs w:val="20"/>
          <w:color w:val="auto"/>
        </w:rPr>
        <w:tab/>
      </w:r>
      <w:r>
        <w:rPr>
          <w:rFonts w:ascii="Arial" w:cs="Arial" w:eastAsia="Arial" w:hAnsi="Arial"/>
          <w:sz w:val="13"/>
          <w:szCs w:val="13"/>
          <w:b w:val="1"/>
          <w:bCs w:val="1"/>
          <w:color w:val="FFFFFE"/>
        </w:rPr>
        <w:t>PROPOSAL 4 — SHAREHOLDER PROPOSAL REGARDING POLITICAL SPENDING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3690620</wp:posOffset>
            </wp:positionH>
            <wp:positionV relativeFrom="paragraph">
              <wp:posOffset>-126365</wp:posOffset>
            </wp:positionV>
            <wp:extent cx="3567430" cy="15557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3567430" cy="155575"/>
                    </a:xfrm>
                    <a:prstGeom prst="rect">
                      <a:avLst/>
                    </a:prstGeom>
                    <a:noFill/>
                  </pic:spPr>
                </pic:pic>
              </a:graphicData>
            </a:graphic>
          </wp:anchor>
        </w:drawing>
      </w:r>
    </w:p>
    <w:p>
      <w:pPr>
        <w:spacing w:after="0"/>
        <w:rPr>
          <w:sz w:val="20"/>
          <w:szCs w:val="20"/>
          <w:color w:val="auto"/>
        </w:rPr>
      </w:pPr>
      <w:r>
        <w:rPr>
          <w:rFonts w:ascii="Arial" w:cs="Arial" w:eastAsia="Arial" w:hAnsi="Arial"/>
          <w:sz w:val="20"/>
          <w:szCs w:val="20"/>
          <w:color w:val="auto"/>
        </w:rPr>
        <w:t>provide transparency of our lobbying activities to the general</w:t>
      </w:r>
    </w:p>
    <w:p>
      <w:pPr>
        <w:spacing w:after="0"/>
        <w:rPr>
          <w:sz w:val="20"/>
          <w:szCs w:val="20"/>
          <w:color w:val="auto"/>
        </w:rPr>
      </w:pPr>
      <w:r>
        <w:rPr>
          <w:rFonts w:ascii="Arial" w:cs="Arial" w:eastAsia="Arial" w:hAnsi="Arial"/>
          <w:sz w:val="20"/>
          <w:szCs w:val="20"/>
          <w:color w:val="auto"/>
        </w:rPr>
        <w:t>public, including our shareholders.</w:t>
      </w:r>
    </w:p>
    <w:p>
      <w:pPr>
        <w:spacing w:after="0" w:line="163" w:lineRule="exact"/>
        <w:rPr>
          <w:sz w:val="20"/>
          <w:szCs w:val="20"/>
          <w:color w:val="auto"/>
        </w:rPr>
      </w:pPr>
    </w:p>
    <w:p>
      <w:pPr>
        <w:ind w:right="400"/>
        <w:spacing w:after="0" w:line="242" w:lineRule="auto"/>
        <w:rPr>
          <w:sz w:val="20"/>
          <w:szCs w:val="20"/>
          <w:color w:val="auto"/>
        </w:rPr>
      </w:pPr>
      <w:r>
        <w:rPr>
          <w:rFonts w:ascii="Arial" w:cs="Arial" w:eastAsia="Arial" w:hAnsi="Arial"/>
          <w:sz w:val="20"/>
          <w:szCs w:val="20"/>
          <w:color w:val="auto"/>
        </w:rPr>
        <w:t>The Company and APS participate from time to time in various industry and trade associations to further our business interests. The primary purpose of our membership in these trade associations is the general business, technical and industry expertise provided by these organizations — not political advocacy. For example, we have been long time members of Edison Electric Institute and Nuclear Energy Institute.</w:t>
      </w:r>
    </w:p>
    <w:p>
      <w:pPr>
        <w:spacing w:after="0" w:line="152" w:lineRule="exact"/>
        <w:rPr>
          <w:sz w:val="20"/>
          <w:szCs w:val="20"/>
          <w:color w:val="auto"/>
        </w:rPr>
      </w:pPr>
    </w:p>
    <w:p>
      <w:pPr>
        <w:ind w:right="100"/>
        <w:spacing w:after="0" w:line="236" w:lineRule="auto"/>
        <w:rPr>
          <w:sz w:val="20"/>
          <w:szCs w:val="20"/>
          <w:color w:val="auto"/>
        </w:rPr>
      </w:pPr>
      <w:r>
        <w:rPr>
          <w:rFonts w:ascii="Arial" w:cs="Arial" w:eastAsia="Arial" w:hAnsi="Arial"/>
          <w:sz w:val="20"/>
          <w:szCs w:val="20"/>
          <w:color w:val="auto"/>
        </w:rPr>
        <w:t>The Board believes that the disclosure requested in this proposal could place the Company at a disadvantage, by revealing our business priorities and strategies. Because parties with interests adverse to the Company also participate in the political process to their business advantage, any unilateral disclosure, above what is legally required by law and equally applicable to all similar parties, could simply benefit the other parties to the detriment of the Company and our shareholders. The Board believes that any reporting requirements that go beyond existing law should be applicable to all participants in the process. In this regard, we note that the proponent does not disclose in its supporting statement its own political activities or objectives, or its relationships with other parties who may have objectives that conflict with the Company's business priorities.</w:t>
      </w:r>
    </w:p>
    <w:p>
      <w:pPr>
        <w:spacing w:after="0" w:line="159" w:lineRule="exact"/>
        <w:rPr>
          <w:sz w:val="20"/>
          <w:szCs w:val="20"/>
          <w:color w:val="auto"/>
        </w:rPr>
      </w:pPr>
    </w:p>
    <w:p>
      <w:pPr>
        <w:ind w:right="200"/>
        <w:spacing w:after="0" w:line="239" w:lineRule="auto"/>
        <w:rPr>
          <w:sz w:val="20"/>
          <w:szCs w:val="20"/>
          <w:color w:val="auto"/>
        </w:rPr>
      </w:pPr>
      <w:r>
        <w:rPr>
          <w:rFonts w:ascii="Arial" w:cs="Arial" w:eastAsia="Arial" w:hAnsi="Arial"/>
          <w:sz w:val="20"/>
          <w:szCs w:val="20"/>
          <w:color w:val="auto"/>
        </w:rPr>
        <w:t>This is the second consecutive year we have received a proposal on political spending from As You Sow, acting on behalf of other shareholders. At our 2015 Annual Meeting of Shareholders, this proposal received the support of less than one-third of the shareholders voting. The Board believes that this vote indicated that our shareholders do not believe that the Company's policies and practices with respect to political expenditure activities and lobbying are inadequate or atypical for companies in similar businesses as the Company.</w:t>
      </w:r>
    </w:p>
    <w:p>
      <w:pPr>
        <w:spacing w:after="0" w:line="87" w:lineRule="exact"/>
        <w:rPr>
          <w:sz w:val="20"/>
          <w:szCs w:val="20"/>
          <w:color w:val="auto"/>
        </w:rPr>
      </w:pPr>
    </w:p>
    <w:p>
      <w:pPr>
        <w:jc w:val="right"/>
        <w:spacing w:after="0"/>
        <w:tabs>
          <w:tab w:leader="none" w:pos="2080" w:val="left"/>
        </w:tabs>
        <w:rPr>
          <w:sz w:val="20"/>
          <w:szCs w:val="20"/>
          <w:color w:val="auto"/>
        </w:rPr>
      </w:pPr>
      <w:r>
        <w:rPr>
          <w:rFonts w:ascii="Arial" w:cs="Arial" w:eastAsia="Arial" w:hAnsi="Arial"/>
          <w:sz w:val="16"/>
          <w:szCs w:val="16"/>
          <w:color w:val="auto"/>
        </w:rPr>
        <w:t>2016 Proxy Statement</w:t>
      </w:r>
      <w:r>
        <w:rPr>
          <w:sz w:val="20"/>
          <w:szCs w:val="20"/>
          <w:color w:val="auto"/>
        </w:rPr>
        <w:tab/>
      </w:r>
      <w:r>
        <w:rPr>
          <w:rFonts w:ascii="Arial" w:cs="Arial" w:eastAsia="Arial" w:hAnsi="Arial"/>
          <w:sz w:val="33"/>
          <w:szCs w:val="33"/>
          <w:b w:val="1"/>
          <w:bCs w:val="1"/>
          <w:color w:val="3A5575"/>
          <w:vertAlign w:val="subscript"/>
        </w:rPr>
        <w:t xml:space="preserve">|   </w:t>
      </w:r>
      <w:r>
        <w:rPr>
          <w:sz w:val="1"/>
          <w:szCs w:val="1"/>
          <w:color w:val="auto"/>
        </w:rPr>
        <w:drawing>
          <wp:inline distT="0" distB="0" distL="0" distR="0">
            <wp:extent cx="841375" cy="16383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841375" cy="163830"/>
                    </a:xfrm>
                    <a:prstGeom prst="rect">
                      <a:avLst/>
                    </a:prstGeom>
                    <a:noFill/>
                    <a:ln>
                      <a:noFill/>
                    </a:ln>
                  </pic:spPr>
                </pic:pic>
              </a:graphicData>
            </a:graphic>
          </wp:inline>
        </w:drawing>
      </w:r>
      <w:r>
        <w:rPr>
          <w:rFonts w:ascii="Arial" w:cs="Arial" w:eastAsia="Arial" w:hAnsi="Arial"/>
          <w:sz w:val="16"/>
          <w:szCs w:val="16"/>
          <w:b w:val="1"/>
          <w:bCs w:val="1"/>
          <w:color w:val="auto"/>
        </w:rPr>
        <w:t xml:space="preserve">   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137795</wp:posOffset>
            </wp:positionV>
            <wp:extent cx="7263765" cy="2032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40"/>
          </w:cols>
          <w:pgMar w:left="240" w:top="110" w:right="219" w:bottom="1440" w:gutter="0" w:footer="0" w:header="0"/>
        </w:sectPr>
      </w:pPr>
    </w:p>
    <w:bookmarkStart w:id="108" w:name="page109"/>
    <w:bookmarkEnd w:id="108"/>
    <w:p>
      <w:pPr>
        <w:spacing w:after="0"/>
        <w:rPr>
          <w:rFonts w:ascii="Arial" w:cs="Arial" w:eastAsia="Arial" w:hAnsi="Arial"/>
          <w:sz w:val="20"/>
          <w:szCs w:val="20"/>
          <w:u w:val="single" w:color="auto"/>
          <w:color w:val="0000EE"/>
        </w:rPr>
      </w:pPr>
      <w:hyperlink w:anchor="page7">
        <w:r>
          <w:rPr>
            <w:rFonts w:ascii="Arial" w:cs="Arial" w:eastAsia="Arial" w:hAnsi="Arial"/>
            <w:sz w:val="20"/>
            <w:szCs w:val="20"/>
            <w:u w:val="single" w:color="auto"/>
            <w:color w:val="0000EE"/>
          </w:rPr>
          <w:t>Table of Contents</w:t>
        </w:r>
      </w:hyperlink>
    </w:p>
    <w:p>
      <w:pPr>
        <w:spacing w:after="0" w:line="187" w:lineRule="exact"/>
        <w:rPr>
          <w:sz w:val="20"/>
          <w:szCs w:val="20"/>
          <w:color w:val="auto"/>
        </w:rPr>
      </w:pPr>
    </w:p>
    <w:p>
      <w:pPr>
        <w:jc w:val="right"/>
        <w:spacing w:after="0"/>
        <w:rPr>
          <w:sz w:val="20"/>
          <w:szCs w:val="20"/>
          <w:color w:val="auto"/>
        </w:rPr>
      </w:pPr>
      <w:r>
        <w:rPr>
          <w:rFonts w:ascii="Arial" w:cs="Arial" w:eastAsia="Arial" w:hAnsi="Arial"/>
          <w:sz w:val="20"/>
          <w:szCs w:val="20"/>
          <w:color w:val="3A5575"/>
        </w:rPr>
        <w:t>001CSN1F1A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135255</wp:posOffset>
            </wp:positionV>
            <wp:extent cx="7263765" cy="2032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63765" cy="20320"/>
                    </a:xfrm>
                    <a:prstGeom prst="rect">
                      <a:avLst/>
                    </a:prstGeom>
                    <a:noFill/>
                  </pic:spPr>
                </pic:pic>
              </a:graphicData>
            </a:graphic>
          </wp:anchor>
        </w:drawing>
      </w:r>
    </w:p>
    <w:p>
      <w:pPr>
        <w:sectPr>
          <w:pgSz w:w="11900" w:h="16838" w:orient="portrait"/>
          <w:cols w:equalWidth="0" w:num="1">
            <w:col w:w="11420"/>
          </w:cols>
          <w:pgMar w:left="240" w:top="110" w:right="239" w:bottom="1440" w:gutter="0" w:footer="0" w:header="0"/>
        </w:sectPr>
      </w:pPr>
    </w:p>
    <w:bookmarkStart w:id="109" w:name="page110"/>
    <w:bookmarkEnd w:id="10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1132840</wp:posOffset>
            </wp:positionH>
            <wp:positionV relativeFrom="page">
              <wp:posOffset>220980</wp:posOffset>
            </wp:positionV>
            <wp:extent cx="5296535" cy="68541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clrChange>
                        <a:clrFrom>
                          <a:srgbClr val="FFFFFF"/>
                        </a:clrFrom>
                        <a:clrTo>
                          <a:srgbClr val="FFFFFF">
                            <a:alpha val="0"/>
                          </a:srgbClr>
                        </a:clrTo>
                      </a:clrChange>
                      <a:extLst>
                        <a:ext uri="{28A0092B-C50C-407E-A947-70E740481C1C}"/>
                      </a:extLst>
                    </a:blip>
                    <a:srcRect/>
                    <a:stretch>
                      <a:fillRect/>
                    </a:stretch>
                  </pic:blipFill>
                  <pic:spPr bwMode="auto">
                    <a:xfrm>
                      <a:off x="0" y="0"/>
                      <a:ext cx="5296535" cy="68541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0" w:name="page111"/>
    <w:bookmarkEnd w:id="1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1132840</wp:posOffset>
            </wp:positionH>
            <wp:positionV relativeFrom="page">
              <wp:posOffset>88900</wp:posOffset>
            </wp:positionV>
            <wp:extent cx="5296535" cy="68541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clrChange>
                        <a:clrFrom>
                          <a:srgbClr val="FFFFFF"/>
                        </a:clrFrom>
                        <a:clrTo>
                          <a:srgbClr val="FFFFFF">
                            <a:alpha val="0"/>
                          </a:srgbClr>
                        </a:clrTo>
                      </a:clrChange>
                      <a:extLst>
                        <a:ext uri="{28A0092B-C50C-407E-A947-70E740481C1C}"/>
                      </a:extLst>
                    </a:blip>
                    <a:srcRect/>
                    <a:stretch>
                      <a:fillRect/>
                    </a:stretch>
                  </pic:blipFill>
                  <pic:spPr bwMode="auto">
                    <a:xfrm>
                      <a:off x="0" y="0"/>
                      <a:ext cx="5296535" cy="685419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75C6C33A"/>
    <w:multiLevelType w:val="hybridMultilevel"/>
    <w:lvl w:ilvl="0">
      <w:lvlJc w:val="left"/>
      <w:lvlText w:val="☒"/>
      <w:numFmt w:val="bullet"/>
      <w:start w:val="1"/>
    </w:lvl>
  </w:abstractNum>
  <w:abstractNum w:abstractNumId="1">
    <w:nsid w:val="12E685FB"/>
    <w:multiLevelType w:val="hybridMultilevel"/>
    <w:lvl w:ilvl="0">
      <w:lvlJc w:val="left"/>
      <w:lvlText w:val="o"/>
      <w:numFmt w:val="bullet"/>
      <w:start w:val="1"/>
    </w:lvl>
    <w:lvl w:ilvl="1">
      <w:lvlJc w:val="left"/>
      <w:lvlText w:val="(%2)"/>
      <w:numFmt w:val="decimal"/>
      <w:start w:val="1"/>
    </w:lvl>
  </w:abstractNum>
  <w:abstractNum w:abstractNumId="2">
    <w:nsid w:val="70C6A529"/>
    <w:multiLevelType w:val="hybridMultilevel"/>
    <w:lvl w:ilvl="0">
      <w:lvlJc w:val="left"/>
      <w:lvlText w:val="•"/>
      <w:numFmt w:val="bullet"/>
      <w:start w:val="1"/>
    </w:lvl>
  </w:abstractNum>
  <w:abstractNum w:abstractNumId="3">
    <w:nsid w:val="520EEDD1"/>
    <w:multiLevelType w:val="hybridMultilevel"/>
    <w:lvl w:ilvl="0">
      <w:lvlJc w:val="left"/>
      <w:lvlText w:val="•"/>
      <w:numFmt w:val="bullet"/>
      <w:start w:val="1"/>
    </w:lvl>
  </w:abstractNum>
  <w:abstractNum w:abstractNumId="4">
    <w:nsid w:val="374A3FE6"/>
    <w:multiLevelType w:val="hybridMultilevel"/>
    <w:lvl w:ilvl="0">
      <w:lvlJc w:val="left"/>
      <w:lvlText w:val="•"/>
      <w:numFmt w:val="bullet"/>
      <w:start w:val="1"/>
    </w:lvl>
  </w:abstractNum>
  <w:abstractNum w:abstractNumId="5">
    <w:nsid w:val="4F4EF005"/>
    <w:multiLevelType w:val="hybridMultilevel"/>
    <w:lvl w:ilvl="0">
      <w:lvlJc w:val="left"/>
      <w:lvlText w:val="•"/>
      <w:numFmt w:val="bullet"/>
      <w:start w:val="1"/>
    </w:lvl>
  </w:abstractNum>
  <w:abstractNum w:abstractNumId="6">
    <w:nsid w:val="23F9C13C"/>
    <w:multiLevelType w:val="hybridMultilevel"/>
    <w:lvl w:ilvl="0">
      <w:lvlJc w:val="left"/>
      <w:lvlText w:val="(%1)"/>
      <w:numFmt w:val="decimal"/>
      <w:start w:val="1"/>
    </w:lvl>
  </w:abstractNum>
  <w:abstractNum w:abstractNumId="7">
    <w:nsid w:val="649BB77C"/>
    <w:multiLevelType w:val="hybridMultilevel"/>
    <w:lvl w:ilvl="0">
      <w:lvlJc w:val="left"/>
      <w:lvlText w:val="•"/>
      <w:numFmt w:val="bullet"/>
      <w:start w:val="1"/>
    </w:lvl>
  </w:abstractNum>
  <w:abstractNum w:abstractNumId="8">
    <w:nsid w:val="275AC794"/>
    <w:multiLevelType w:val="hybridMultilevel"/>
    <w:lvl w:ilvl="0">
      <w:lvlJc w:val="left"/>
      <w:lvlText w:val="o"/>
      <w:numFmt w:val="bullet"/>
      <w:start w:val="1"/>
    </w:lvl>
  </w:abstractNum>
  <w:abstractNum w:abstractNumId="9">
    <w:nsid w:val="39386575"/>
    <w:multiLevelType w:val="hybridMultilevel"/>
    <w:lvl w:ilvl="0">
      <w:lvlJc w:val="left"/>
      <w:lvlText w:val="o"/>
      <w:numFmt w:val="bullet"/>
      <w:start w:val="1"/>
    </w:lvl>
  </w:abstractNum>
  <w:abstractNum w:abstractNumId="10">
    <w:nsid w:val="1CF10FD8"/>
    <w:multiLevelType w:val="hybridMultilevel"/>
    <w:lvl w:ilvl="0">
      <w:lvlJc w:val="left"/>
      <w:lvlText w:val="•"/>
      <w:numFmt w:val="bullet"/>
      <w:start w:val="1"/>
    </w:lvl>
  </w:abstractNum>
  <w:abstractNum w:abstractNumId="11">
    <w:nsid w:val="180115BE"/>
    <w:multiLevelType w:val="hybridMultilevel"/>
    <w:lvl w:ilvl="0">
      <w:lvlJc w:val="left"/>
      <w:lvlText w:val="•"/>
      <w:numFmt w:val="bullet"/>
      <w:start w:val="1"/>
    </w:lvl>
  </w:abstractNum>
  <w:abstractNum w:abstractNumId="12">
    <w:nsid w:val="235BA861"/>
    <w:multiLevelType w:val="hybridMultilevel"/>
    <w:lvl w:ilvl="0">
      <w:lvlJc w:val="left"/>
      <w:lvlText w:val="o"/>
      <w:numFmt w:val="bullet"/>
      <w:start w:val="1"/>
    </w:lvl>
  </w:abstractNum>
  <w:abstractNum w:abstractNumId="13">
    <w:nsid w:val="47398C89"/>
    <w:multiLevelType w:val="hybridMultilevel"/>
    <w:lvl w:ilvl="0">
      <w:lvlJc w:val="left"/>
      <w:lvlText w:val="•"/>
      <w:numFmt w:val="bullet"/>
      <w:start w:val="1"/>
    </w:lvl>
  </w:abstractNum>
  <w:abstractNum w:abstractNumId="14">
    <w:nsid w:val="354FE9F9"/>
    <w:multiLevelType w:val="hybridMultilevel"/>
    <w:lvl w:ilvl="0">
      <w:lvlJc w:val="left"/>
      <w:lvlText w:val="•"/>
      <w:numFmt w:val="bullet"/>
      <w:start w:val="1"/>
    </w:lvl>
  </w:abstractNum>
  <w:abstractNum w:abstractNumId="15">
    <w:nsid w:val="15B5AF5C"/>
    <w:multiLevelType w:val="hybridMultilevel"/>
    <w:lvl w:ilvl="0">
      <w:lvlJc w:val="left"/>
      <w:lvlText w:val="•"/>
      <w:numFmt w:val="bullet"/>
      <w:start w:val="1"/>
    </w:lvl>
  </w:abstractNum>
  <w:abstractNum w:abstractNumId="16">
    <w:nsid w:val="741226BB"/>
    <w:multiLevelType w:val="hybridMultilevel"/>
    <w:lvl w:ilvl="0">
      <w:lvlJc w:val="left"/>
      <w:lvlText w:val="•"/>
      <w:numFmt w:val="bullet"/>
      <w:start w:val="1"/>
    </w:lvl>
  </w:abstractNum>
  <w:abstractNum w:abstractNumId="17">
    <w:nsid w:val="D34B6A8"/>
    <w:multiLevelType w:val="hybridMultilevel"/>
    <w:lvl w:ilvl="0">
      <w:lvlJc w:val="left"/>
      <w:lvlText w:val="•"/>
      <w:numFmt w:val="bullet"/>
      <w:start w:val="1"/>
    </w:lvl>
  </w:abstractNum>
  <w:abstractNum w:abstractNumId="18">
    <w:nsid w:val="10233C99"/>
    <w:multiLevelType w:val="hybridMultilevel"/>
    <w:lvl w:ilvl="0">
      <w:lvlJc w:val="left"/>
      <w:lvlText w:val="o"/>
      <w:numFmt w:val="bullet"/>
      <w:start w:val="1"/>
    </w:lvl>
  </w:abstractNum>
  <w:abstractNum w:abstractNumId="19">
    <w:nsid w:val="3F6AB60F"/>
    <w:multiLevelType w:val="hybridMultilevel"/>
    <w:lvl w:ilvl="0">
      <w:lvlJc w:val="left"/>
      <w:lvlText w:val="•"/>
      <w:numFmt w:val="bullet"/>
      <w:start w:val="1"/>
    </w:lvl>
  </w:abstractNum>
  <w:abstractNum w:abstractNumId="20">
    <w:nsid w:val="61574095"/>
    <w:multiLevelType w:val="hybridMultilevel"/>
    <w:lvl w:ilvl="0">
      <w:lvlJc w:val="left"/>
      <w:lvlText w:val="o"/>
      <w:numFmt w:val="bullet"/>
      <w:start w:val="1"/>
    </w:lvl>
  </w:abstractNum>
  <w:abstractNum w:abstractNumId="21">
    <w:nsid w:val="7E0C57B1"/>
    <w:multiLevelType w:val="hybridMultilevel"/>
    <w:lvl w:ilvl="0">
      <w:lvlJc w:val="left"/>
      <w:lvlText w:val="•"/>
      <w:numFmt w:val="bullet"/>
      <w:start w:val="1"/>
    </w:lvl>
  </w:abstractNum>
  <w:abstractNum w:abstractNumId="22">
    <w:nsid w:val="77AE35EB"/>
    <w:multiLevelType w:val="hybridMultilevel"/>
    <w:lvl w:ilvl="0">
      <w:lvlJc w:val="left"/>
      <w:lvlText w:val="•"/>
      <w:numFmt w:val="bullet"/>
      <w:start w:val="1"/>
    </w:lvl>
  </w:abstractNum>
  <w:abstractNum w:abstractNumId="23">
    <w:nsid w:val="579BE4F1"/>
    <w:multiLevelType w:val="hybridMultilevel"/>
    <w:lvl w:ilvl="0">
      <w:lvlJc w:val="left"/>
      <w:lvlText w:val="ü"/>
      <w:numFmt w:val="bullet"/>
      <w:start w:val="1"/>
    </w:lvl>
  </w:abstractNum>
  <w:abstractNum w:abstractNumId="24">
    <w:nsid w:val="310C50B3"/>
    <w:multiLevelType w:val="hybridMultilevel"/>
    <w:lvl w:ilvl="0">
      <w:lvlJc w:val="left"/>
      <w:lvlText w:val="X"/>
      <w:numFmt w:val="bullet"/>
      <w:start w:val="1"/>
    </w:lvl>
  </w:abstractNum>
  <w:abstractNum w:abstractNumId="25">
    <w:nsid w:val="5FF87E05"/>
    <w:multiLevelType w:val="hybridMultilevel"/>
    <w:lvl w:ilvl="0">
      <w:lvlJc w:val="left"/>
      <w:lvlText w:val="•"/>
      <w:numFmt w:val="bullet"/>
      <w:start w:val="1"/>
    </w:lvl>
  </w:abstractNum>
  <w:abstractNum w:abstractNumId="26">
    <w:nsid w:val="2F305DEF"/>
    <w:multiLevelType w:val="hybridMultilevel"/>
    <w:lvl w:ilvl="0">
      <w:lvlJc w:val="left"/>
      <w:lvlText w:val="o"/>
      <w:numFmt w:val="bullet"/>
      <w:start w:val="1"/>
    </w:lvl>
  </w:abstractNum>
  <w:abstractNum w:abstractNumId="27">
    <w:nsid w:val="25A70BF7"/>
    <w:multiLevelType w:val="hybridMultilevel"/>
    <w:lvl w:ilvl="0">
      <w:lvlJc w:val="left"/>
      <w:lvlText w:val="•"/>
      <w:numFmt w:val="bullet"/>
      <w:start w:val="1"/>
    </w:lvl>
  </w:abstractNum>
  <w:abstractNum w:abstractNumId="28">
    <w:nsid w:val="1DBABF00"/>
    <w:multiLevelType w:val="hybridMultilevel"/>
    <w:lvl w:ilvl="0">
      <w:lvlJc w:val="left"/>
      <w:lvlText w:val="o"/>
      <w:numFmt w:val="bullet"/>
      <w:start w:val="1"/>
    </w:lvl>
  </w:abstractNum>
  <w:abstractNum w:abstractNumId="29">
    <w:nsid w:val="4AD084E9"/>
    <w:multiLevelType w:val="hybridMultilevel"/>
    <w:lvl w:ilvl="0">
      <w:lvlJc w:val="left"/>
      <w:lvlText w:val="•"/>
      <w:numFmt w:val="bullet"/>
      <w:start w:val="1"/>
    </w:lvl>
  </w:abstractNum>
  <w:abstractNum w:abstractNumId="30">
    <w:nsid w:val="1F48EAA1"/>
    <w:multiLevelType w:val="hybridMultilevel"/>
    <w:lvl w:ilvl="0">
      <w:lvlJc w:val="left"/>
      <w:lvlText w:val="•"/>
      <w:numFmt w:val="bullet"/>
      <w:start w:val="1"/>
    </w:lvl>
  </w:abstractNum>
  <w:abstractNum w:abstractNumId="31">
    <w:nsid w:val="1381823A"/>
    <w:multiLevelType w:val="hybridMultilevel"/>
    <w:lvl w:ilvl="0">
      <w:lvlJc w:val="left"/>
      <w:lvlText w:val="•"/>
      <w:numFmt w:val="bullet"/>
      <w:start w:val="1"/>
    </w:lvl>
  </w:abstractNum>
  <w:abstractNum w:abstractNumId="32">
    <w:nsid w:val="5DB70AE5"/>
    <w:multiLevelType w:val="hybridMultilevel"/>
    <w:lvl w:ilvl="0">
      <w:lvlJc w:val="left"/>
      <w:lvlText w:val="•"/>
      <w:numFmt w:val="bullet"/>
      <w:start w:val="1"/>
    </w:lvl>
  </w:abstractNum>
  <w:abstractNum w:abstractNumId="33">
    <w:nsid w:val="100F8FCA"/>
    <w:multiLevelType w:val="hybridMultilevel"/>
    <w:lvl w:ilvl="0">
      <w:lvlJc w:val="left"/>
      <w:lvlText w:val="•"/>
      <w:numFmt w:val="bullet"/>
      <w:start w:val="1"/>
    </w:lvl>
  </w:abstractNum>
  <w:abstractNum w:abstractNumId="34">
    <w:nsid w:val="6590700B"/>
    <w:multiLevelType w:val="hybridMultilevel"/>
    <w:lvl w:ilvl="0">
      <w:lvlJc w:val="left"/>
      <w:lvlText w:val="•"/>
      <w:numFmt w:val="bullet"/>
      <w:start w:val="1"/>
    </w:lvl>
  </w:abstractNum>
  <w:abstractNum w:abstractNumId="35">
    <w:nsid w:val="15014ACB"/>
    <w:multiLevelType w:val="hybridMultilevel"/>
    <w:lvl w:ilvl="0">
      <w:lvlJc w:val="left"/>
      <w:lvlText w:val="•"/>
      <w:numFmt w:val="bullet"/>
      <w:start w:val="1"/>
    </w:lvl>
  </w:abstractNum>
  <w:abstractNum w:abstractNumId="36">
    <w:nsid w:val="5F5E7FD0"/>
    <w:multiLevelType w:val="hybridMultilevel"/>
    <w:lvl w:ilvl="0">
      <w:lvlJc w:val="left"/>
      <w:lvlText w:val="•"/>
      <w:numFmt w:val="bullet"/>
      <w:start w:val="1"/>
    </w:lvl>
  </w:abstractNum>
  <w:abstractNum w:abstractNumId="37">
    <w:nsid w:val="98A3148"/>
    <w:multiLevelType w:val="hybridMultilevel"/>
    <w:lvl w:ilvl="0">
      <w:lvlJc w:val="left"/>
      <w:lvlText w:val="•"/>
      <w:numFmt w:val="bullet"/>
      <w:start w:val="1"/>
    </w:lvl>
  </w:abstractNum>
  <w:abstractNum w:abstractNumId="38">
    <w:nsid w:val="799D0247"/>
    <w:multiLevelType w:val="hybridMultilevel"/>
    <w:lvl w:ilvl="0">
      <w:lvlJc w:val="left"/>
      <w:lvlText w:val="•"/>
      <w:numFmt w:val="bullet"/>
      <w:start w:val="1"/>
    </w:lvl>
  </w:abstractNum>
  <w:abstractNum w:abstractNumId="39">
    <w:nsid w:val="6B94764"/>
    <w:multiLevelType w:val="hybridMultilevel"/>
    <w:lvl w:ilvl="0">
      <w:lvlJc w:val="left"/>
      <w:lvlText w:val="•"/>
      <w:numFmt w:val="bullet"/>
      <w:start w:val="1"/>
    </w:lvl>
  </w:abstractNum>
  <w:abstractNum w:abstractNumId="40">
    <w:nsid w:val="42C296BD"/>
    <w:multiLevelType w:val="hybridMultilevel"/>
    <w:lvl w:ilvl="0">
      <w:lvlJc w:val="left"/>
      <w:lvlText w:val="•"/>
      <w:numFmt w:val="bullet"/>
      <w:start w:val="1"/>
    </w:lvl>
  </w:abstractNum>
  <w:abstractNum w:abstractNumId="41">
    <w:nsid w:val="168E121F"/>
    <w:multiLevelType w:val="hybridMultilevel"/>
    <w:lvl w:ilvl="0">
      <w:lvlJc w:val="left"/>
      <w:lvlText w:val="•"/>
      <w:numFmt w:val="bullet"/>
      <w:start w:val="1"/>
    </w:lvl>
  </w:abstractNum>
  <w:abstractNum w:abstractNumId="42">
    <w:nsid w:val="1EBA5D23"/>
    <w:multiLevelType w:val="hybridMultilevel"/>
    <w:lvl w:ilvl="0">
      <w:lvlJc w:val="left"/>
      <w:lvlText w:val="•"/>
      <w:numFmt w:val="bullet"/>
      <w:start w:val="1"/>
    </w:lvl>
  </w:abstractNum>
  <w:abstractNum w:abstractNumId="43">
    <w:nsid w:val="661E3F1E"/>
    <w:multiLevelType w:val="hybridMultilevel"/>
    <w:lvl w:ilvl="0">
      <w:lvlJc w:val="left"/>
      <w:lvlText w:val="•"/>
      <w:numFmt w:val="bullet"/>
      <w:start w:val="1"/>
    </w:lvl>
  </w:abstractNum>
  <w:abstractNum w:abstractNumId="44">
    <w:nsid w:val="5DC79EA8"/>
    <w:multiLevelType w:val="hybridMultilevel"/>
    <w:lvl w:ilvl="0">
      <w:lvlJc w:val="left"/>
      <w:lvlText w:val="•"/>
      <w:numFmt w:val="bullet"/>
      <w:start w:val="1"/>
    </w:lvl>
  </w:abstractNum>
  <w:abstractNum w:abstractNumId="45">
    <w:nsid w:val="540A471C"/>
    <w:multiLevelType w:val="hybridMultilevel"/>
    <w:lvl w:ilvl="0">
      <w:lvlJc w:val="left"/>
      <w:lvlText w:val="•"/>
      <w:numFmt w:val="bullet"/>
      <w:start w:val="1"/>
    </w:lvl>
  </w:abstractNum>
  <w:abstractNum w:abstractNumId="46">
    <w:nsid w:val="7BD3EE7B"/>
    <w:multiLevelType w:val="hybridMultilevel"/>
    <w:lvl w:ilvl="0">
      <w:lvlJc w:val="left"/>
      <w:lvlText w:val="•"/>
      <w:numFmt w:val="bullet"/>
      <w:start w:val="1"/>
    </w:lvl>
  </w:abstractNum>
  <w:abstractNum w:abstractNumId="47">
    <w:nsid w:val="51D9C564"/>
    <w:multiLevelType w:val="hybridMultilevel"/>
    <w:lvl w:ilvl="0">
      <w:lvlJc w:val="left"/>
      <w:lvlText w:val="•"/>
      <w:numFmt w:val="bullet"/>
      <w:start w:val="1"/>
    </w:lvl>
  </w:abstractNum>
  <w:abstractNum w:abstractNumId="48">
    <w:nsid w:val="613EFDC5"/>
    <w:multiLevelType w:val="hybridMultilevel"/>
    <w:lvl w:ilvl="0">
      <w:lvlJc w:val="left"/>
      <w:lvlText w:val="•"/>
      <w:numFmt w:val="bullet"/>
      <w:start w:val="1"/>
    </w:lvl>
  </w:abstractNum>
  <w:abstractNum w:abstractNumId="49">
    <w:nsid w:val="BF72B14"/>
    <w:multiLevelType w:val="hybridMultilevel"/>
    <w:lvl w:ilvl="0">
      <w:lvlJc w:val="left"/>
      <w:lvlText w:val="•"/>
      <w:numFmt w:val="bullet"/>
      <w:start w:val="1"/>
    </w:lvl>
  </w:abstractNum>
  <w:abstractNum w:abstractNumId="50">
    <w:nsid w:val="11447B73"/>
    <w:multiLevelType w:val="hybridMultilevel"/>
    <w:lvl w:ilvl="0">
      <w:lvlJc w:val="left"/>
      <w:lvlText w:val="•"/>
      <w:numFmt w:val="bullet"/>
      <w:start w:val="1"/>
    </w:lvl>
  </w:abstractNum>
  <w:abstractNum w:abstractNumId="51">
    <w:nsid w:val="42963E5A"/>
    <w:multiLevelType w:val="hybridMultilevel"/>
    <w:lvl w:ilvl="0">
      <w:lvlJc w:val="left"/>
      <w:lvlText w:val="•"/>
      <w:numFmt w:val="bullet"/>
      <w:start w:val="1"/>
    </w:lvl>
  </w:abstractNum>
  <w:abstractNum w:abstractNumId="52">
    <w:nsid w:val="A0382C5"/>
    <w:multiLevelType w:val="hybridMultilevel"/>
    <w:lvl w:ilvl="0">
      <w:lvlJc w:val="left"/>
      <w:lvlText w:val="•"/>
      <w:numFmt w:val="bullet"/>
      <w:start w:val="1"/>
    </w:lvl>
  </w:abstractNum>
  <w:abstractNum w:abstractNumId="53">
    <w:nsid w:val="8F2B15E"/>
    <w:multiLevelType w:val="hybridMultilevel"/>
    <w:lvl w:ilvl="0">
      <w:lvlJc w:val="left"/>
      <w:lvlText w:val="(%1)"/>
      <w:numFmt w:val="lowerLetter"/>
      <w:start w:val="1"/>
    </w:lvl>
  </w:abstractNum>
  <w:abstractNum w:abstractNumId="54">
    <w:nsid w:val="1A32234B"/>
    <w:multiLevelType w:val="hybridMultilevel"/>
    <w:lvl w:ilvl="0">
      <w:lvlJc w:val="left"/>
      <w:lvlText w:val="(%1)"/>
      <w:numFmt w:val="decimal"/>
      <w:start w:val="2"/>
    </w:lvl>
  </w:abstractNum>
  <w:abstractNum w:abstractNumId="55">
    <w:nsid w:val="3B0FD379"/>
    <w:multiLevelType w:val="hybridMultilevel"/>
    <w:lvl w:ilvl="0">
      <w:lvlJc w:val="left"/>
      <w:lvlText w:val="•"/>
      <w:numFmt w:val="bullet"/>
      <w:start w:val="1"/>
    </w:lvl>
  </w:abstractNum>
  <w:abstractNum w:abstractNumId="56">
    <w:nsid w:val="68EB2F63"/>
    <w:multiLevelType w:val="hybridMultilevel"/>
    <w:lvl w:ilvl="0">
      <w:lvlJc w:val="left"/>
      <w:lvlText w:val="•"/>
      <w:numFmt w:val="bullet"/>
      <w:start w:val="1"/>
    </w:lvl>
  </w:abstractNum>
  <w:abstractNum w:abstractNumId="57">
    <w:nsid w:val="4962813B"/>
    <w:multiLevelType w:val="hybridMultilevel"/>
    <w:lvl w:ilvl="0">
      <w:lvlJc w:val="left"/>
      <w:lvlText w:val="•"/>
      <w:numFmt w:val="bullet"/>
      <w:start w:val="1"/>
    </w:lvl>
  </w:abstractNum>
  <w:abstractNum w:abstractNumId="58">
    <w:nsid w:val="60B6DF70"/>
    <w:multiLevelType w:val="hybridMultilevel"/>
    <w:lvl w:ilvl="0">
      <w:lvlJc w:val="left"/>
      <w:lvlText w:val="•"/>
      <w:numFmt w:val="bullet"/>
      <w:start w:val="1"/>
    </w:lvl>
  </w:abstractNum>
  <w:abstractNum w:abstractNumId="59">
    <w:nsid w:val="6A5EE64"/>
    <w:multiLevelType w:val="hybridMultilevel"/>
    <w:lvl w:ilvl="0">
      <w:lvlJc w:val="left"/>
      <w:lvlText w:val="•"/>
      <w:numFmt w:val="bullet"/>
      <w:start w:val="1"/>
    </w:lvl>
  </w:abstractNum>
  <w:abstractNum w:abstractNumId="60">
    <w:nsid w:val="14330624"/>
    <w:multiLevelType w:val="hybridMultilevel"/>
    <w:lvl w:ilvl="0">
      <w:lvlJc w:val="left"/>
      <w:lvlText w:val="•"/>
      <w:numFmt w:val="bullet"/>
      <w:start w:val="1"/>
    </w:lvl>
  </w:abstractNum>
  <w:abstractNum w:abstractNumId="61">
    <w:nsid w:val="7FFFCA11"/>
    <w:multiLevelType w:val="hybridMultilevel"/>
    <w:lvl w:ilvl="0">
      <w:lvlJc w:val="left"/>
      <w:lvlText w:val="•"/>
      <w:numFmt w:val="bullet"/>
      <w:start w:val="1"/>
    </w:lvl>
  </w:abstractNum>
  <w:abstractNum w:abstractNumId="62">
    <w:nsid w:val="1A27709E"/>
    <w:multiLevelType w:val="hybridMultilevel"/>
    <w:lvl w:ilvl="0">
      <w:lvlJc w:val="left"/>
      <w:lvlText w:val="•"/>
      <w:numFmt w:val="bullet"/>
      <w:start w:val="1"/>
    </w:lvl>
    <w:lvl w:ilvl="1">
      <w:lvlJc w:val="left"/>
      <w:lvlText w:val="o"/>
      <w:numFmt w:val="bullet"/>
      <w:start w:val="1"/>
    </w:lvl>
  </w:abstractNum>
  <w:abstractNum w:abstractNumId="63">
    <w:nsid w:val="71EA1109"/>
    <w:multiLevelType w:val="hybridMultilevel"/>
    <w:lvl w:ilvl="0">
      <w:lvlJc w:val="left"/>
      <w:lvlText w:val="•"/>
      <w:numFmt w:val="bullet"/>
      <w:start w:val="1"/>
    </w:lvl>
  </w:abstractNum>
  <w:abstractNum w:abstractNumId="64">
    <w:nsid w:val="100F59DC"/>
    <w:multiLevelType w:val="hybridMultilevel"/>
    <w:lvl w:ilvl="0">
      <w:lvlJc w:val="left"/>
      <w:lvlText w:val="•"/>
      <w:numFmt w:val="bullet"/>
      <w:start w:val="1"/>
    </w:lvl>
  </w:abstractNum>
  <w:abstractNum w:abstractNumId="65">
    <w:nsid w:val="7FB7E0AA"/>
    <w:multiLevelType w:val="hybridMultilevel"/>
    <w:lvl w:ilvl="0">
      <w:lvlJc w:val="left"/>
      <w:lvlText w:val="(%1)"/>
      <w:numFmt w:val="decimal"/>
      <w:start w:val="1"/>
    </w:lvl>
  </w:abstractNum>
  <w:abstractNum w:abstractNumId="66">
    <w:nsid w:val="6EB5BD4"/>
    <w:multiLevelType w:val="hybridMultilevel"/>
    <w:lvl w:ilvl="0">
      <w:lvlJc w:val="left"/>
      <w:lvlText w:val="(%1)"/>
      <w:numFmt w:val="decimal"/>
      <w:start w:val="1"/>
    </w:lvl>
  </w:abstractNum>
  <w:abstractNum w:abstractNumId="67">
    <w:nsid w:val="6F6DD9AC"/>
    <w:multiLevelType w:val="hybridMultilevel"/>
    <w:lvl w:ilvl="0">
      <w:lvlJc w:val="left"/>
      <w:lvlText w:val="•"/>
      <w:numFmt w:val="bullet"/>
      <w:start w:val="1"/>
    </w:lvl>
  </w:abstractNum>
  <w:abstractNum w:abstractNumId="68">
    <w:nsid w:val="94211F2"/>
    <w:multiLevelType w:val="hybridMultilevel"/>
    <w:lvl w:ilvl="0">
      <w:lvlJc w:val="left"/>
      <w:lvlText w:val="•"/>
      <w:numFmt w:val="bullet"/>
      <w:start w:val="1"/>
    </w:lvl>
  </w:abstractNum>
  <w:abstractNum w:abstractNumId="69">
    <w:nsid w:val="885E1B"/>
    <w:multiLevelType w:val="hybridMultilevel"/>
    <w:lvl w:ilvl="0">
      <w:lvlJc w:val="left"/>
      <w:lvlText w:val="(%1)"/>
      <w:numFmt w:val="decimal"/>
      <w:start w:val="1"/>
    </w:lvl>
  </w:abstractNum>
  <w:abstractNum w:abstractNumId="70">
    <w:nsid w:val="76272110"/>
    <w:multiLevelType w:val="hybridMultilevel"/>
    <w:lvl w:ilvl="0">
      <w:lvlJc w:val="left"/>
      <w:lvlText w:val="(%1)"/>
      <w:numFmt w:val="decimal"/>
      <w:start w:val="1"/>
    </w:lvl>
  </w:abstractNum>
  <w:abstractNum w:abstractNumId="71">
    <w:nsid w:val="4C04A8AF"/>
    <w:multiLevelType w:val="hybridMultilevel"/>
    <w:lvl w:ilvl="0">
      <w:lvlJc w:val="left"/>
      <w:lvlText w:val="(%1)"/>
      <w:numFmt w:val="decimal"/>
      <w:start w:val="2"/>
    </w:lvl>
  </w:abstractNum>
  <w:abstractNum w:abstractNumId="72">
    <w:nsid w:val="1716703B"/>
    <w:multiLevelType w:val="hybridMultilevel"/>
    <w:lvl w:ilvl="0">
      <w:lvlJc w:val="left"/>
      <w:lvlText w:val="(%1)"/>
      <w:numFmt w:val="decimal"/>
      <w:start w:val="1"/>
    </w:lvl>
  </w:abstractNum>
  <w:abstractNum w:abstractNumId="73">
    <w:nsid w:val="14E17E33"/>
    <w:multiLevelType w:val="hybridMultilevel"/>
    <w:lvl w:ilvl="0">
      <w:lvlJc w:val="left"/>
      <w:lvlText w:val="•"/>
      <w:numFmt w:val="bullet"/>
      <w:start w:val="1"/>
    </w:lvl>
  </w:abstractNum>
  <w:abstractNum w:abstractNumId="74">
    <w:nsid w:val="3222E7CD"/>
    <w:multiLevelType w:val="hybridMultilevel"/>
    <w:lvl w:ilvl="0">
      <w:lvlJc w:val="left"/>
      <w:lvlText w:val="•"/>
      <w:numFmt w:val="bullet"/>
      <w:start w:val="1"/>
    </w:lvl>
  </w:abstractNum>
  <w:abstractNum w:abstractNumId="75">
    <w:nsid w:val="74DE0EE3"/>
    <w:multiLevelType w:val="hybridMultilevel"/>
    <w:lvl w:ilvl="0">
      <w:lvlJc w:val="left"/>
      <w:lvlText w:val="(%1)"/>
      <w:numFmt w:val="upperLetter"/>
      <w:start w:val="1"/>
    </w:lvl>
  </w:abstractNum>
  <w:abstractNum w:abstractNumId="76">
    <w:nsid w:val="68EBC550"/>
    <w:multiLevelType w:val="hybridMultilevel"/>
    <w:lvl w:ilvl="0">
      <w:lvlJc w:val="left"/>
      <w:lvlText w:val="(%1)"/>
      <w:numFmt w:val="decimal"/>
      <w:start w:val="1"/>
    </w:lvl>
  </w:abstractNum>
  <w:abstractNum w:abstractNumId="77">
    <w:nsid w:val="2DF6D648"/>
    <w:multiLevelType w:val="hybridMultilevel"/>
    <w:lvl w:ilvl="0">
      <w:lvlJc w:val="left"/>
      <w:lvlText w:val="(%1)"/>
      <w:numFmt w:val="decimal"/>
      <w:start w:val="1"/>
    </w:lvl>
  </w:abstractNum>
  <w:abstractNum w:abstractNumId="78">
    <w:nsid w:val="46B7D447"/>
    <w:multiLevelType w:val="hybridMultilevel"/>
    <w:lvl w:ilvl="0">
      <w:lvlJc w:val="left"/>
      <w:lvlText w:val="(%1)"/>
      <w:numFmt w:val="decimal"/>
      <w:start w:val="2"/>
    </w:lvl>
  </w:abstractNum>
  <w:abstractNum w:abstractNumId="79">
    <w:nsid w:val="4A2AC315"/>
    <w:multiLevelType w:val="hybridMultilevel"/>
    <w:lvl w:ilvl="0">
      <w:lvlJc w:val="left"/>
      <w:lvlText w:val="•"/>
      <w:numFmt w:val="bullet"/>
      <w:start w:val="1"/>
    </w:lvl>
  </w:abstractNum>
  <w:abstractNum w:abstractNumId="80">
    <w:nsid w:val="39EE015C"/>
    <w:multiLevelType w:val="hybridMultilevel"/>
    <w:lvl w:ilvl="0">
      <w:lvlJc w:val="left"/>
      <w:lvlText w:val="•"/>
      <w:numFmt w:val="bullet"/>
      <w:start w:val="1"/>
    </w:lvl>
  </w:abstractNum>
  <w:abstractNum w:abstractNumId="81">
    <w:nsid w:val="57FC4FBB"/>
    <w:multiLevelType w:val="hybridMultilevel"/>
    <w:lvl w:ilvl="0">
      <w:lvlJc w:val="left"/>
      <w:lvlText w:val="(%1)"/>
      <w:numFmt w:val="decimal"/>
      <w:start w:val="1"/>
    </w:lvl>
  </w:abstractNum>
  <w:abstractNum w:abstractNumId="82">
    <w:nsid w:val="CC1016F"/>
    <w:multiLevelType w:val="hybridMultilevel"/>
    <w:lvl w:ilvl="0">
      <w:lvlJc w:val="left"/>
      <w:lvlText w:val="(%1)"/>
      <w:numFmt w:val="decimal"/>
      <w:start w:val="4"/>
    </w:lvl>
  </w:abstractNum>
  <w:abstractNum w:abstractNumId="83">
    <w:nsid w:val="43F18422"/>
    <w:multiLevelType w:val="hybridMultilevel"/>
    <w:lvl w:ilvl="0">
      <w:lvlJc w:val="left"/>
      <w:lvlText w:val="•"/>
      <w:numFmt w:val="bullet"/>
      <w:start w:val="1"/>
    </w:lvl>
  </w:abstractNum>
  <w:abstractNum w:abstractNumId="84">
    <w:nsid w:val="60EF0119"/>
    <w:multiLevelType w:val="hybridMultilevel"/>
    <w:lvl w:ilvl="0">
      <w:lvlJc w:val="left"/>
      <w:lvlText w:val="•"/>
      <w:numFmt w:val="bullet"/>
      <w:start w:val="1"/>
    </w:lvl>
  </w:abstractNum>
  <w:abstractNum w:abstractNumId="85">
    <w:nsid w:val="26F324BA"/>
    <w:multiLevelType w:val="hybridMultilevel"/>
    <w:lvl w:ilvl="0">
      <w:lvlJc w:val="left"/>
      <w:lvlText w:val="•"/>
      <w:numFmt w:val="bullet"/>
      <w:start w:val="1"/>
    </w:lvl>
  </w:abstractNum>
  <w:abstractNum w:abstractNumId="86">
    <w:nsid w:val="7F01579B"/>
    <w:multiLevelType w:val="hybridMultilevel"/>
    <w:lvl w:ilvl="0">
      <w:lvlJc w:val="left"/>
      <w:lvlText w:val="(%1)"/>
      <w:numFmt w:val="decimal"/>
      <w:start w:val="1"/>
    </w:lvl>
  </w:abstractNum>
  <w:abstractNum w:abstractNumId="87">
    <w:nsid w:val="49DA307D"/>
    <w:multiLevelType w:val="hybridMultilevel"/>
    <w:lvl w:ilvl="0">
      <w:lvlJc w:val="left"/>
      <w:lvlText w:val="(%1)"/>
      <w:numFmt w:val="decimal"/>
      <w:start w:val="2"/>
    </w:lvl>
  </w:abstractNum>
  <w:abstractNum w:abstractNumId="88">
    <w:nsid w:val="7055A5F5"/>
    <w:multiLevelType w:val="hybridMultilevel"/>
    <w:lvl w:ilvl="0">
      <w:lvlJc w:val="left"/>
      <w:lvlText w:val="(%1)"/>
      <w:numFmt w:val="decimal"/>
      <w:start w:val="9"/>
    </w:lvl>
  </w:abstractNum>
  <w:abstractNum w:abstractNumId="89">
    <w:nsid w:val="5FB8370B"/>
    <w:multiLevelType w:val="hybridMultilevel"/>
    <w:lvl w:ilvl="0">
      <w:lvlJc w:val="left"/>
      <w:lvlText w:val="(%1)"/>
      <w:numFmt w:val="decimal"/>
      <w:start w:val="2"/>
    </w:lvl>
  </w:abstractNum>
  <w:abstractNum w:abstractNumId="90">
    <w:nsid w:val="50801EE1"/>
    <w:multiLevelType w:val="hybridMultilevel"/>
    <w:lvl w:ilvl="0">
      <w:lvlJc w:val="left"/>
      <w:lvlText w:val="(%1)"/>
      <w:numFmt w:val="decimal"/>
      <w:start w:val="1"/>
    </w:lvl>
  </w:abstractNum>
  <w:abstractNum w:abstractNumId="91">
    <w:nsid w:val="488AC1A"/>
    <w:multiLevelType w:val="hybridMultilevel"/>
    <w:lvl w:ilvl="0">
      <w:lvlJc w:val="left"/>
      <w:lvlText w:val="(%1)"/>
      <w:numFmt w:val="lowerLetter"/>
      <w:start w:val="2"/>
    </w:lvl>
  </w:abstractNum>
  <w:abstractNum w:abstractNumId="92">
    <w:nsid w:val="5FB8011C"/>
    <w:multiLevelType w:val="hybridMultilevel"/>
    <w:lvl w:ilvl="0">
      <w:lvlJc w:val="left"/>
      <w:lvlText w:val="•"/>
      <w:numFmt w:val="bullet"/>
      <w:start w:val="1"/>
    </w:lvl>
  </w:abstractNum>
  <w:abstractNum w:abstractNumId="93">
    <w:nsid w:val="6AA78F7F"/>
    <w:multiLevelType w:val="hybridMultilevel"/>
    <w:lvl w:ilvl="0">
      <w:lvlJc w:val="left"/>
      <w:lvlText w:val="(%1)"/>
      <w:numFmt w:val="decimal"/>
      <w:start w:val="1"/>
    </w:lvl>
  </w:abstractNum>
  <w:abstractNum w:abstractNumId="94">
    <w:nsid w:val="7672BD23"/>
    <w:multiLevelType w:val="hybridMultilevel"/>
    <w:lvl w:ilvl="0">
      <w:lvlJc w:val="left"/>
      <w:lvlText w:val="(%1)"/>
      <w:numFmt w:val="decimal"/>
      <w:start w:val="5"/>
    </w:lvl>
  </w:abstractNum>
  <w:abstractNum w:abstractNumId="95">
    <w:nsid w:val="6FC75AF8"/>
    <w:multiLevelType w:val="hybridMultilevel"/>
    <w:lvl w:ilvl="0">
      <w:lvlJc w:val="left"/>
      <w:lvlText w:val="•"/>
      <w:numFmt w:val="bullet"/>
      <w:start w:val="1"/>
    </w:lvl>
  </w:abstractNum>
  <w:abstractNum w:abstractNumId="96">
    <w:nsid w:val="6A5F7029"/>
    <w:multiLevelType w:val="hybridMultilevel"/>
    <w:lvl w:ilvl="0">
      <w:lvlJc w:val="left"/>
      <w:lvlText w:val="(%1)"/>
      <w:numFmt w:val="decimal"/>
      <w:start w:val="1"/>
    </w:lvl>
  </w:abstractNum>
  <w:abstractNum w:abstractNumId="97">
    <w:nsid w:val="7D5E18F8"/>
    <w:multiLevelType w:val="hybridMultilevel"/>
    <w:lvl w:ilvl="0">
      <w:lvlJc w:val="left"/>
      <w:lvlText w:val="•"/>
      <w:numFmt w:val="bullet"/>
      <w:start w:val="1"/>
    </w:lvl>
  </w:abstractNum>
  <w:abstractNum w:abstractNumId="98">
    <w:nsid w:val="5F3534A4"/>
    <w:multiLevelType w:val="hybridMultilevel"/>
    <w:lvl w:ilvl="0">
      <w:lvlJc w:val="left"/>
      <w:lvlText w:val="(%1)"/>
      <w:numFmt w:val="decimal"/>
      <w:start w:val="1"/>
    </w:lvl>
  </w:abstractNum>
  <w:abstractNum w:abstractNumId="99">
    <w:nsid w:val="73A1821B"/>
    <w:multiLevelType w:val="hybridMultilevel"/>
    <w:lvl w:ilvl="0">
      <w:lvlJc w:val="left"/>
      <w:lvlText w:val="%1."/>
      <w:numFmt w:val="decimal"/>
      <w:start w:val="1"/>
    </w:lvl>
  </w:abstractNum>
  <w:abstractNum w:abstractNumId="100">
    <w:nsid w:val="7DE67713"/>
    <w:multiLevelType w:val="hybridMultilevel"/>
    <w:lvl w:ilvl="0">
      <w:lvlJc w:val="left"/>
      <w:lvlText w:val="•"/>
      <w:numFmt w:val="bullet"/>
      <w:start w:val="1"/>
    </w:lvl>
  </w:abstractNum>
  <w:abstractNum w:abstractNumId="101">
    <w:nsid w:val="555C55B5"/>
    <w:multiLevelType w:val="hybridMultilevel"/>
    <w:lvl w:ilvl="0">
      <w:lvlJc w:val="left"/>
      <w:lvlText w:val="•"/>
      <w:numFmt w:val="bullet"/>
      <w:start w:val="1"/>
    </w:lvl>
  </w:abstractNum>
  <w:abstractNum w:abstractNumId="102">
    <w:nsid w:val="3FA62ACA"/>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jpe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jpe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jpe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jpe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jpe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jpeg"/><Relationship Id="rId116" Type="http://schemas.openxmlformats.org/officeDocument/2006/relationships/image" Target="media/image109.png"/><Relationship Id="rId117" Type="http://schemas.openxmlformats.org/officeDocument/2006/relationships/image" Target="media/image110.jpe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jpe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jpe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jpe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jpe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jpe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jpe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jpe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jpe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jpe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jpe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jpe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jpe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jpe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jpe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jpe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jpe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jpe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jpe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jpe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jpe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jpe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jpe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jpe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jpeg"/><Relationship Id="rId265" Type="http://schemas.openxmlformats.org/officeDocument/2006/relationships/image" Target="media/image258.jpe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jpe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jpe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jpeg"/><Relationship Id="rId283" Type="http://schemas.openxmlformats.org/officeDocument/2006/relationships/image" Target="media/image276.png"/><Relationship Id="rId284" Type="http://schemas.openxmlformats.org/officeDocument/2006/relationships/image" Target="media/image277.jpe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jpeg"/><Relationship Id="rId291" Type="http://schemas.openxmlformats.org/officeDocument/2006/relationships/image" Target="media/image284.png"/><Relationship Id="rId292" Type="http://schemas.openxmlformats.org/officeDocument/2006/relationships/image" Target="media/image285.jpe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jpe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jpe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jpe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jpe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jpeg"/><Relationship Id="rId314" Type="http://schemas.openxmlformats.org/officeDocument/2006/relationships/image" Target="media/image307.jpe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jpeg"/><Relationship Id="rId319" Type="http://schemas.openxmlformats.org/officeDocument/2006/relationships/image" Target="media/image312.jpe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jpe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jpe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jpe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jpe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jpe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jpeg"/><Relationship Id="rId344" Type="http://schemas.openxmlformats.org/officeDocument/2006/relationships/image" Target="media/image337.jpeg"/><Relationship Id="rId345" Type="http://schemas.openxmlformats.org/officeDocument/2006/relationships/image" Target="media/image338.jpe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jpe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jpe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jpe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jpe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jpe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jpe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jpe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jpe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jpeg"/><Relationship Id="rId387" Type="http://schemas.openxmlformats.org/officeDocument/2006/relationships/image" Target="media/image380.png"/><Relationship Id="rId388" Type="http://schemas.openxmlformats.org/officeDocument/2006/relationships/image" Target="media/image381.jpe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jpe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jpe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jpe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jpe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jpe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jpe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jpe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jpe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jpe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jpe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jpe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jpeg"/><Relationship Id="rId439" Type="http://schemas.openxmlformats.org/officeDocument/2006/relationships/image" Target="media/image432.png"/><Relationship Id="rId440" Type="http://schemas.openxmlformats.org/officeDocument/2006/relationships/image" Target="media/image433.jpe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jpe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jpe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jpe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jpe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jpe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jpe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jpe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jpeg"/><Relationship Id="rId476" Type="http://schemas.openxmlformats.org/officeDocument/2006/relationships/image" Target="media/image469.png"/><Relationship Id="rId477" Type="http://schemas.openxmlformats.org/officeDocument/2006/relationships/image" Target="media/image470.jpe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jpe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jpe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jpe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jpeg"/><Relationship Id="rId491" Type="http://schemas.openxmlformats.org/officeDocument/2006/relationships/image" Target="media/image484.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2020-01-20T01:07:49Z</dcterms:created>
  <dcterms:modified xsi:type="dcterms:W3CDTF">2020-01-20T01:07:49Z</dcterms:modified>
</cp:coreProperties>
</file>