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Times New Roman" w:cs="Times New Roman" w:eastAsia="Times New Roman" w:hAnsi="Times New Roman"/>
          <w:sz w:val="25"/>
          <w:szCs w:val="25"/>
          <w:b w:val="1"/>
          <w:bCs w:val="1"/>
          <w:color w:val="auto"/>
        </w:rPr>
        <w:t>UNITED STATES</w:t>
      </w:r>
    </w:p>
    <w:p>
      <w:pPr>
        <w:spacing w:after="0" w:line="44"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6"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95"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5"/>
          <w:szCs w:val="25"/>
          <w:b w:val="1"/>
          <w:bCs w:val="1"/>
          <w:color w:val="auto"/>
        </w:rPr>
        <w:t>SCHEDULE 14A</w:t>
      </w:r>
    </w:p>
    <w:p>
      <w:pPr>
        <w:spacing w:after="0" w:line="23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Proxy Statement Pursuant to Section 14(a) of</w:t>
      </w:r>
    </w:p>
    <w:p>
      <w:pPr>
        <w:spacing w:after="0" w:line="31" w:lineRule="exact"/>
        <w:rPr>
          <w:sz w:val="24"/>
          <w:szCs w:val="24"/>
          <w:color w:val="auto"/>
        </w:rPr>
      </w:pPr>
    </w:p>
    <w:p>
      <w:pPr>
        <w:jc w:val="center"/>
        <w:ind w:right="-39"/>
        <w:spacing w:after="0"/>
        <w:tabs>
          <w:tab w:leader="none" w:pos="220" w:val="left"/>
        </w:tabs>
        <w:rPr>
          <w:sz w:val="20"/>
          <w:szCs w:val="20"/>
          <w:color w:val="auto"/>
        </w:rPr>
      </w:pPr>
      <w:r>
        <w:rPr>
          <w:rFonts w:ascii="Times New Roman" w:cs="Times New Roman" w:eastAsia="Times New Roman" w:hAnsi="Times New Roman"/>
          <w:sz w:val="18"/>
          <w:szCs w:val="18"/>
          <w:b w:val="1"/>
          <w:bCs w:val="1"/>
          <w:color w:val="auto"/>
        </w:rPr>
        <w:t>the Securities Exchange Act of 1934 (Amendment No.</w:t>
        <w:tab/>
        <w:t>)</w:t>
      </w:r>
    </w:p>
    <w:p>
      <w:pPr>
        <w:spacing w:after="0" w:line="20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Filed by the Registrant x</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Filed by a Party other than the Registrant o</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Check the appropriate box:</w:t>
      </w:r>
    </w:p>
    <w:p>
      <w:pPr>
        <w:spacing w:after="0" w:line="27" w:lineRule="exact"/>
        <w:rPr>
          <w:sz w:val="24"/>
          <w:szCs w:val="24"/>
          <w:color w:val="auto"/>
        </w:rPr>
      </w:pPr>
    </w:p>
    <w:p>
      <w:pPr>
        <w:ind w:left="580" w:hanging="580"/>
        <w:spacing w:after="0"/>
        <w:tabs>
          <w:tab w:leader="none" w:pos="5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Preliminary Proxy Statement</w:t>
      </w:r>
    </w:p>
    <w:p>
      <w:pPr>
        <w:spacing w:after="0" w:line="9" w:lineRule="exact"/>
        <w:rPr>
          <w:rFonts w:ascii="Times New Roman" w:cs="Times New Roman" w:eastAsia="Times New Roman" w:hAnsi="Times New Roman"/>
          <w:sz w:val="18"/>
          <w:szCs w:val="18"/>
          <w:color w:val="auto"/>
        </w:rPr>
      </w:pPr>
    </w:p>
    <w:p>
      <w:pPr>
        <w:ind w:left="580" w:hanging="580"/>
        <w:spacing w:after="0"/>
        <w:tabs>
          <w:tab w:leader="none" w:pos="5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Confidential, for Use of the Commission Only (as permitted by Rule 14a-6(e)(2))</w:t>
      </w:r>
    </w:p>
    <w:p>
      <w:pPr>
        <w:spacing w:after="0" w:line="9" w:lineRule="exact"/>
        <w:rPr>
          <w:rFonts w:ascii="Times New Roman" w:cs="Times New Roman" w:eastAsia="Times New Roman" w:hAnsi="Times New Roman"/>
          <w:sz w:val="18"/>
          <w:szCs w:val="18"/>
          <w:color w:val="auto"/>
        </w:rPr>
      </w:pPr>
    </w:p>
    <w:p>
      <w:pPr>
        <w:ind w:left="580" w:hanging="580"/>
        <w:spacing w:after="0"/>
        <w:tabs>
          <w:tab w:leader="none" w:pos="5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Definitive Proxy Statement</w:t>
      </w:r>
    </w:p>
    <w:p>
      <w:pPr>
        <w:spacing w:after="0" w:line="9" w:lineRule="exact"/>
        <w:rPr>
          <w:sz w:val="24"/>
          <w:szCs w:val="24"/>
          <w:color w:val="auto"/>
        </w:rPr>
      </w:pPr>
    </w:p>
    <w:p>
      <w:pPr>
        <w:ind w:left="580" w:hanging="580"/>
        <w:spacing w:after="0"/>
        <w:tabs>
          <w:tab w:leader="none" w:pos="5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Definitive Additional Materials</w:t>
      </w:r>
    </w:p>
    <w:p>
      <w:pPr>
        <w:spacing w:after="0" w:line="9" w:lineRule="exact"/>
        <w:rPr>
          <w:sz w:val="24"/>
          <w:szCs w:val="24"/>
          <w:color w:val="auto"/>
        </w:rPr>
      </w:pPr>
    </w:p>
    <w:p>
      <w:pPr>
        <w:ind w:left="580" w:hanging="580"/>
        <w:spacing w:after="0"/>
        <w:tabs>
          <w:tab w:leader="none" w:pos="5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Soliciting Material under §240.14a-12</w:t>
      </w:r>
    </w:p>
    <w:p>
      <w:pPr>
        <w:spacing w:after="0" w:line="196"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5"/>
          <w:szCs w:val="25"/>
          <w:b w:val="1"/>
          <w:bCs w:val="1"/>
          <w:color w:val="auto"/>
        </w:rPr>
        <w:t>Pinnacle West Capital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24765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7"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(Name of Registrant as Specified In Its Charter)</w:t>
      </w:r>
    </w:p>
    <w:p>
      <w:pPr>
        <w:spacing w:after="0" w:line="200" w:lineRule="exact"/>
        <w:rPr>
          <w:sz w:val="24"/>
          <w:szCs w:val="24"/>
          <w:color w:val="auto"/>
        </w:rPr>
      </w:pPr>
    </w:p>
    <w:p>
      <w:pPr>
        <w:spacing w:after="0" w:line="241" w:lineRule="exact"/>
        <w:rPr>
          <w:sz w:val="24"/>
          <w:szCs w:val="24"/>
          <w:color w:val="auto"/>
        </w:rPr>
      </w:pPr>
    </w:p>
    <w:p>
      <w:pPr>
        <w:ind w:left="3100"/>
        <w:spacing w:after="0"/>
        <w:rPr>
          <w:sz w:val="20"/>
          <w:szCs w:val="20"/>
          <w:color w:val="auto"/>
        </w:rPr>
      </w:pPr>
      <w:r>
        <w:rPr>
          <w:rFonts w:ascii="Times New Roman" w:cs="Times New Roman" w:eastAsia="Times New Roman" w:hAnsi="Times New Roman"/>
          <w:sz w:val="18"/>
          <w:szCs w:val="18"/>
          <w:color w:val="auto"/>
        </w:rPr>
        <w:t>(Name of Person(s) Filing Proxy Statement, if other than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-127635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Payment of Filing Fee (Check the appropriate box):</w:t>
      </w:r>
    </w:p>
    <w:p>
      <w:pPr>
        <w:spacing w:after="0" w:line="27" w:lineRule="exact"/>
        <w:rPr>
          <w:sz w:val="24"/>
          <w:szCs w:val="24"/>
          <w:color w:val="auto"/>
        </w:rPr>
      </w:pPr>
    </w:p>
    <w:p>
      <w:pPr>
        <w:ind w:left="580" w:hanging="580"/>
        <w:spacing w:after="0"/>
        <w:tabs>
          <w:tab w:leader="none" w:pos="5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fee required.</w:t>
      </w:r>
    </w:p>
    <w:p>
      <w:pPr>
        <w:spacing w:after="0" w:line="9" w:lineRule="exact"/>
        <w:rPr>
          <w:sz w:val="24"/>
          <w:szCs w:val="24"/>
          <w:color w:val="auto"/>
        </w:rPr>
      </w:pPr>
    </w:p>
    <w:p>
      <w:pPr>
        <w:ind w:left="580" w:hanging="580"/>
        <w:spacing w:after="0"/>
        <w:tabs>
          <w:tab w:leader="none" w:pos="5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Fee computed on table below per Exchange Act Rules 14a-6(i)(1) and 0-11.</w:t>
      </w:r>
    </w:p>
    <w:p>
      <w:pPr>
        <w:spacing w:after="0" w:line="9" w:lineRule="exact"/>
        <w:rPr>
          <w:rFonts w:ascii="Times New Roman" w:cs="Times New Roman" w:eastAsia="Times New Roman" w:hAnsi="Times New Roman"/>
          <w:sz w:val="18"/>
          <w:szCs w:val="18"/>
          <w:color w:val="auto"/>
        </w:rPr>
      </w:pPr>
    </w:p>
    <w:p>
      <w:pPr>
        <w:ind w:left="1100" w:hanging="519"/>
        <w:spacing w:after="0"/>
        <w:tabs>
          <w:tab w:leader="none" w:pos="110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Title of each class of securities to which transaction applies:</w:t>
      </w:r>
    </w:p>
    <w:p>
      <w:pPr>
        <w:spacing w:after="0" w:line="220" w:lineRule="exact"/>
        <w:rPr>
          <w:rFonts w:ascii="Times New Roman" w:cs="Times New Roman" w:eastAsia="Times New Roman" w:hAnsi="Times New Roman"/>
          <w:sz w:val="18"/>
          <w:szCs w:val="18"/>
          <w:color w:val="auto"/>
        </w:rPr>
      </w:pPr>
    </w:p>
    <w:p>
      <w:pPr>
        <w:ind w:left="1100" w:hanging="519"/>
        <w:spacing w:after="0"/>
        <w:tabs>
          <w:tab w:leader="none" w:pos="110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number of securities to which transaction applies:</w:t>
      </w:r>
    </w:p>
    <w:p>
      <w:pPr>
        <w:spacing w:after="0" w:line="238" w:lineRule="exact"/>
        <w:rPr>
          <w:rFonts w:ascii="Times New Roman" w:cs="Times New Roman" w:eastAsia="Times New Roman" w:hAnsi="Times New Roman"/>
          <w:sz w:val="18"/>
          <w:szCs w:val="18"/>
          <w:color w:val="auto"/>
        </w:rPr>
      </w:pPr>
    </w:p>
    <w:p>
      <w:pPr>
        <w:ind w:left="1100" w:hanging="519"/>
        <w:spacing w:after="0" w:line="282" w:lineRule="auto"/>
        <w:tabs>
          <w:tab w:leader="none" w:pos="110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 unit price or other underlying value of transaction computed pursuant to Exchange Act Rule 0-11 (set forth the amount on which the filing fee is calculated and state how it was determined):</w:t>
      </w:r>
    </w:p>
    <w:p>
      <w:pPr>
        <w:spacing w:after="0" w:line="175" w:lineRule="exact"/>
        <w:rPr>
          <w:rFonts w:ascii="Times New Roman" w:cs="Times New Roman" w:eastAsia="Times New Roman" w:hAnsi="Times New Roman"/>
          <w:sz w:val="18"/>
          <w:szCs w:val="18"/>
          <w:color w:val="auto"/>
        </w:rPr>
      </w:pPr>
    </w:p>
    <w:p>
      <w:pPr>
        <w:ind w:left="1100" w:hanging="519"/>
        <w:spacing w:after="0"/>
        <w:tabs>
          <w:tab w:leader="none" w:pos="110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Proposed maximum aggregate value of transaction:</w:t>
      </w:r>
    </w:p>
    <w:p>
      <w:pPr>
        <w:spacing w:after="0" w:line="238" w:lineRule="exact"/>
        <w:rPr>
          <w:rFonts w:ascii="Times New Roman" w:cs="Times New Roman" w:eastAsia="Times New Roman" w:hAnsi="Times New Roman"/>
          <w:sz w:val="18"/>
          <w:szCs w:val="18"/>
          <w:color w:val="auto"/>
        </w:rPr>
      </w:pPr>
    </w:p>
    <w:p>
      <w:pPr>
        <w:ind w:left="1100" w:hanging="519"/>
        <w:spacing w:after="0"/>
        <w:tabs>
          <w:tab w:leader="none" w:pos="110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 fee paid:</w:t>
      </w:r>
    </w:p>
    <w:p>
      <w:pPr>
        <w:spacing w:after="0" w:line="225" w:lineRule="exact"/>
        <w:rPr>
          <w:rFonts w:ascii="Times New Roman" w:cs="Times New Roman" w:eastAsia="Times New Roman" w:hAnsi="Times New Roman"/>
          <w:sz w:val="18"/>
          <w:szCs w:val="18"/>
          <w:color w:val="auto"/>
        </w:rPr>
      </w:pPr>
    </w:p>
    <w:p>
      <w:pPr>
        <w:ind w:left="580" w:hanging="580"/>
        <w:spacing w:after="0"/>
        <w:tabs>
          <w:tab w:leader="none" w:pos="5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Fee paid previously with preliminary materials.</w:t>
      </w:r>
    </w:p>
    <w:p>
      <w:pPr>
        <w:spacing w:after="0" w:line="27" w:lineRule="exact"/>
        <w:rPr>
          <w:rFonts w:ascii="Times New Roman" w:cs="Times New Roman" w:eastAsia="Times New Roman" w:hAnsi="Times New Roman"/>
          <w:sz w:val="18"/>
          <w:szCs w:val="18"/>
          <w:color w:val="auto"/>
        </w:rPr>
      </w:pPr>
    </w:p>
    <w:p>
      <w:pPr>
        <w:ind w:left="580" w:right="260" w:hanging="580"/>
        <w:spacing w:after="0" w:line="250" w:lineRule="auto"/>
        <w:tabs>
          <w:tab w:leader="none" w:pos="5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ind w:left="1080" w:hanging="499"/>
        <w:spacing w:after="0"/>
        <w:tabs>
          <w:tab w:leader="none" w:pos="108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 Previously Paid:</w:t>
      </w:r>
    </w:p>
    <w:p>
      <w:pPr>
        <w:spacing w:after="0" w:line="220" w:lineRule="exact"/>
        <w:rPr>
          <w:rFonts w:ascii="Times New Roman" w:cs="Times New Roman" w:eastAsia="Times New Roman" w:hAnsi="Times New Roman"/>
          <w:sz w:val="18"/>
          <w:szCs w:val="18"/>
          <w:color w:val="auto"/>
        </w:rPr>
      </w:pPr>
    </w:p>
    <w:p>
      <w:pPr>
        <w:ind w:left="1080" w:hanging="499"/>
        <w:spacing w:after="0"/>
        <w:tabs>
          <w:tab w:leader="none" w:pos="108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Form, Schedule or Registration Statement No.:</w:t>
      </w:r>
    </w:p>
    <w:p>
      <w:pPr>
        <w:spacing w:after="0" w:line="238" w:lineRule="exact"/>
        <w:rPr>
          <w:rFonts w:ascii="Times New Roman" w:cs="Times New Roman" w:eastAsia="Times New Roman" w:hAnsi="Times New Roman"/>
          <w:sz w:val="18"/>
          <w:szCs w:val="18"/>
          <w:color w:val="auto"/>
        </w:rPr>
      </w:pPr>
    </w:p>
    <w:p>
      <w:pPr>
        <w:ind w:left="1080" w:hanging="499"/>
        <w:spacing w:after="0"/>
        <w:tabs>
          <w:tab w:leader="none" w:pos="108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Filing Party:</w:t>
      </w:r>
    </w:p>
    <w:p>
      <w:pPr>
        <w:spacing w:after="0" w:line="238" w:lineRule="exact"/>
        <w:rPr>
          <w:rFonts w:ascii="Times New Roman" w:cs="Times New Roman" w:eastAsia="Times New Roman" w:hAnsi="Times New Roman"/>
          <w:sz w:val="18"/>
          <w:szCs w:val="18"/>
          <w:color w:val="auto"/>
        </w:rPr>
      </w:pPr>
    </w:p>
    <w:p>
      <w:pPr>
        <w:ind w:left="1080" w:hanging="499"/>
        <w:spacing w:after="0"/>
        <w:tabs>
          <w:tab w:leader="none" w:pos="108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678180</wp:posOffset>
            </wp:positionH>
            <wp:positionV relativeFrom="paragraph">
              <wp:posOffset>154940</wp:posOffset>
            </wp:positionV>
            <wp:extent cx="656018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60185" cy="8890"/>
                    </a:xfrm>
                    <a:prstGeom prst="rect">
                      <a:avLst/>
                    </a:prstGeom>
                    <a:noFill/>
                  </pic:spPr>
                </pic:pic>
              </a:graphicData>
            </a:graphic>
          </wp:anchor>
        </w:drawing>
        <w:drawing>
          <wp:anchor simplePos="0" relativeHeight="251657728" behindDoc="1" locked="0" layoutInCell="0" allowOverlap="1">
            <wp:simplePos x="0" y="0"/>
            <wp:positionH relativeFrom="column">
              <wp:posOffset>678180</wp:posOffset>
            </wp:positionH>
            <wp:positionV relativeFrom="paragraph">
              <wp:posOffset>-127635</wp:posOffset>
            </wp:positionV>
            <wp:extent cx="656018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560185" cy="8890"/>
                    </a:xfrm>
                    <a:prstGeom prst="rect">
                      <a:avLst/>
                    </a:prstGeom>
                    <a:noFill/>
                  </pic:spPr>
                </pic:pic>
              </a:graphicData>
            </a:graphic>
          </wp:anchor>
        </w:drawing>
        <w:drawing>
          <wp:anchor simplePos="0" relativeHeight="251657728" behindDoc="1" locked="0" layoutInCell="0" allowOverlap="1">
            <wp:simplePos x="0" y="0"/>
            <wp:positionH relativeFrom="column">
              <wp:posOffset>678180</wp:posOffset>
            </wp:positionH>
            <wp:positionV relativeFrom="paragraph">
              <wp:posOffset>-410845</wp:posOffset>
            </wp:positionV>
            <wp:extent cx="65601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560185" cy="8890"/>
                    </a:xfrm>
                    <a:prstGeom prst="rect">
                      <a:avLst/>
                    </a:prstGeom>
                    <a:noFill/>
                  </pic:spPr>
                </pic:pic>
              </a:graphicData>
            </a:graphic>
          </wp:anchor>
        </w:drawing>
        <w:drawing>
          <wp:anchor simplePos="0" relativeHeight="251657728" behindDoc="1" locked="0" layoutInCell="0" allowOverlap="1">
            <wp:simplePos x="0" y="0"/>
            <wp:positionH relativeFrom="column">
              <wp:posOffset>678180</wp:posOffset>
            </wp:positionH>
            <wp:positionV relativeFrom="paragraph">
              <wp:posOffset>-693420</wp:posOffset>
            </wp:positionV>
            <wp:extent cx="656018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560185" cy="8890"/>
                    </a:xfrm>
                    <a:prstGeom prst="rect">
                      <a:avLst/>
                    </a:prstGeom>
                    <a:noFill/>
                  </pic:spPr>
                </pic:pic>
              </a:graphicData>
            </a:graphic>
          </wp:anchor>
        </w:drawing>
        <w:drawing>
          <wp:anchor simplePos="0" relativeHeight="251657728" behindDoc="1" locked="0" layoutInCell="0" allowOverlap="1">
            <wp:simplePos x="0" y="0"/>
            <wp:positionH relativeFrom="column">
              <wp:posOffset>695325</wp:posOffset>
            </wp:positionH>
            <wp:positionV relativeFrom="paragraph">
              <wp:posOffset>-1379855</wp:posOffset>
            </wp:positionV>
            <wp:extent cx="654304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43040" cy="8890"/>
                    </a:xfrm>
                    <a:prstGeom prst="rect">
                      <a:avLst/>
                    </a:prstGeom>
                    <a:noFill/>
                  </pic:spPr>
                </pic:pic>
              </a:graphicData>
            </a:graphic>
          </wp:anchor>
        </w:drawing>
        <w:drawing>
          <wp:anchor simplePos="0" relativeHeight="251657728" behindDoc="1" locked="0" layoutInCell="0" allowOverlap="1">
            <wp:simplePos x="0" y="0"/>
            <wp:positionH relativeFrom="column">
              <wp:posOffset>695325</wp:posOffset>
            </wp:positionH>
            <wp:positionV relativeFrom="paragraph">
              <wp:posOffset>-1663065</wp:posOffset>
            </wp:positionV>
            <wp:extent cx="654304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43040" cy="8890"/>
                    </a:xfrm>
                    <a:prstGeom prst="rect">
                      <a:avLst/>
                    </a:prstGeom>
                    <a:noFill/>
                  </pic:spPr>
                </pic:pic>
              </a:graphicData>
            </a:graphic>
          </wp:anchor>
        </w:drawing>
        <w:drawing>
          <wp:anchor simplePos="0" relativeHeight="251657728" behindDoc="1" locked="0" layoutInCell="0" allowOverlap="1">
            <wp:simplePos x="0" y="0"/>
            <wp:positionH relativeFrom="column">
              <wp:posOffset>695325</wp:posOffset>
            </wp:positionH>
            <wp:positionV relativeFrom="paragraph">
              <wp:posOffset>-1945640</wp:posOffset>
            </wp:positionV>
            <wp:extent cx="654304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43040" cy="8890"/>
                    </a:xfrm>
                    <a:prstGeom prst="rect">
                      <a:avLst/>
                    </a:prstGeom>
                    <a:noFill/>
                  </pic:spPr>
                </pic:pic>
              </a:graphicData>
            </a:graphic>
          </wp:anchor>
        </w:drawing>
        <w:drawing>
          <wp:anchor simplePos="0" relativeHeight="251657728" behindDoc="1" locked="0" layoutInCell="0" allowOverlap="1">
            <wp:simplePos x="0" y="0"/>
            <wp:positionH relativeFrom="column">
              <wp:posOffset>695325</wp:posOffset>
            </wp:positionH>
            <wp:positionV relativeFrom="paragraph">
              <wp:posOffset>-2366010</wp:posOffset>
            </wp:positionV>
            <wp:extent cx="654304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543040" cy="8890"/>
                    </a:xfrm>
                    <a:prstGeom prst="rect">
                      <a:avLst/>
                    </a:prstGeom>
                    <a:noFill/>
                  </pic:spPr>
                </pic:pic>
              </a:graphicData>
            </a:graphic>
          </wp:anchor>
        </w:drawing>
        <w:drawing>
          <wp:anchor simplePos="0" relativeHeight="251657728" behindDoc="1" locked="0" layoutInCell="0" allowOverlap="1">
            <wp:simplePos x="0" y="0"/>
            <wp:positionH relativeFrom="column">
              <wp:posOffset>695325</wp:posOffset>
            </wp:positionH>
            <wp:positionV relativeFrom="paragraph">
              <wp:posOffset>-2649220</wp:posOffset>
            </wp:positionV>
            <wp:extent cx="654304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543040" cy="889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367030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60" w:top="435" w:right="27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277495</wp:posOffset>
            </wp:positionH>
            <wp:positionV relativeFrom="page">
              <wp:posOffset>88900</wp:posOffset>
            </wp:positionV>
            <wp:extent cx="7006590" cy="93560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006590" cy="93560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277495</wp:posOffset>
            </wp:positionH>
            <wp:positionV relativeFrom="page">
              <wp:posOffset>88900</wp:posOffset>
            </wp:positionV>
            <wp:extent cx="7006590" cy="93560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006590" cy="935609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o"/>
      <w:numFmt w:val="bullet"/>
      <w:start w:val="1"/>
    </w:lvl>
  </w:abstractNum>
  <w:abstractNum w:abstractNumId="1">
    <w:nsid w:val="2AE8944A"/>
    <w:multiLevelType w:val="hybridMultilevel"/>
    <w:lvl w:ilvl="0">
      <w:lvlJc w:val="left"/>
      <w:lvlText w:val="x"/>
      <w:numFmt w:val="bullet"/>
      <w:start w:val="1"/>
    </w:lvl>
  </w:abstractNum>
  <w:abstractNum w:abstractNumId="2">
    <w:nsid w:val="625558EC"/>
    <w:multiLevelType w:val="hybridMultilevel"/>
    <w:lvl w:ilvl="0">
      <w:lvlJc w:val="left"/>
      <w:lvlText w:val="o"/>
      <w:numFmt w:val="bullet"/>
      <w:start w:val="1"/>
    </w:lvl>
  </w:abstractNum>
  <w:abstractNum w:abstractNumId="3">
    <w:nsid w:val="238E1F29"/>
    <w:multiLevelType w:val="hybridMultilevel"/>
    <w:lvl w:ilvl="0">
      <w:lvlJc w:val="left"/>
      <w:lvlText w:val="x"/>
      <w:numFmt w:val="bullet"/>
      <w:start w:val="1"/>
    </w:lvl>
  </w:abstractNum>
  <w:abstractNum w:abstractNumId="4">
    <w:nsid w:val="46E87CCD"/>
    <w:multiLevelType w:val="hybridMultilevel"/>
    <w:lvl w:ilvl="0">
      <w:lvlJc w:val="left"/>
      <w:lvlText w:val="o"/>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2020-01-16T19:41:39Z</dcterms:created>
  <dcterms:modified xsi:type="dcterms:W3CDTF">2020-01-16T19:41:39Z</dcterms:modified>
</cp:coreProperties>
</file>