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119"/>
        <w:spacing w:after="0"/>
        <w:rPr>
          <w:sz w:val="20"/>
          <w:szCs w:val="20"/>
          <w:color w:val="auto"/>
        </w:rPr>
      </w:pPr>
      <w:r>
        <w:rPr>
          <w:rFonts w:ascii="Arial" w:cs="Arial" w:eastAsia="Arial" w:hAnsi="Arial"/>
          <w:sz w:val="17"/>
          <w:szCs w:val="17"/>
          <w:b w:val="1"/>
          <w:bCs w:val="1"/>
          <w:color w:val="auto"/>
        </w:rPr>
        <w:t>UNITED STATES</w:t>
      </w:r>
    </w:p>
    <w:p>
      <w:pPr>
        <w:spacing w:after="0" w:line="20" w:lineRule="exact"/>
        <w:rPr>
          <w:sz w:val="24"/>
          <w:szCs w:val="24"/>
          <w:color w:val="auto"/>
        </w:rPr>
      </w:pPr>
    </w:p>
    <w:p>
      <w:pPr>
        <w:jc w:val="center"/>
        <w:ind w:right="-119"/>
        <w:spacing w:after="0"/>
        <w:rPr>
          <w:sz w:val="20"/>
          <w:szCs w:val="20"/>
          <w:color w:val="auto"/>
        </w:rPr>
      </w:pPr>
      <w:r>
        <w:rPr>
          <w:rFonts w:ascii="Arial" w:cs="Arial" w:eastAsia="Arial" w:hAnsi="Arial"/>
          <w:sz w:val="17"/>
          <w:szCs w:val="17"/>
          <w:b w:val="1"/>
          <w:bCs w:val="1"/>
          <w:color w:val="auto"/>
        </w:rPr>
        <w:t>SECURITIES AND EXCHANGE COMMISSION</w:t>
      </w:r>
    </w:p>
    <w:p>
      <w:pPr>
        <w:spacing w:after="0" w:line="2" w:lineRule="exact"/>
        <w:rPr>
          <w:sz w:val="24"/>
          <w:szCs w:val="24"/>
          <w:color w:val="auto"/>
        </w:rPr>
      </w:pPr>
    </w:p>
    <w:p>
      <w:pPr>
        <w:jc w:val="center"/>
        <w:ind w:right="-119"/>
        <w:spacing w:after="0"/>
        <w:rPr>
          <w:sz w:val="20"/>
          <w:szCs w:val="20"/>
          <w:color w:val="auto"/>
        </w:rPr>
      </w:pPr>
      <w:r>
        <w:rPr>
          <w:rFonts w:ascii="Arial" w:cs="Arial" w:eastAsia="Arial" w:hAnsi="Arial"/>
          <w:sz w:val="17"/>
          <w:szCs w:val="17"/>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3096895</wp:posOffset>
            </wp:positionH>
            <wp:positionV relativeFrom="paragraph">
              <wp:posOffset>222250</wp:posOffset>
            </wp:positionV>
            <wp:extent cx="1089025" cy="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1089025" cy="6985"/>
                    </a:xfrm>
                    <a:prstGeom prst="rect">
                      <a:avLst/>
                    </a:prstGeom>
                    <a:noFill/>
                  </pic:spPr>
                </pic:pic>
              </a:graphicData>
            </a:graphic>
          </wp:anchor>
        </w:drawing>
      </w:r>
    </w:p>
    <w:p>
      <w:pPr>
        <w:spacing w:after="0" w:line="200" w:lineRule="exact"/>
        <w:rPr>
          <w:sz w:val="24"/>
          <w:szCs w:val="24"/>
          <w:color w:val="auto"/>
        </w:rPr>
      </w:pPr>
    </w:p>
    <w:p>
      <w:pPr>
        <w:spacing w:after="0" w:line="325" w:lineRule="exact"/>
        <w:rPr>
          <w:sz w:val="24"/>
          <w:szCs w:val="24"/>
          <w:color w:val="auto"/>
        </w:rPr>
      </w:pPr>
    </w:p>
    <w:p>
      <w:pPr>
        <w:jc w:val="center"/>
        <w:ind w:right="-119"/>
        <w:spacing w:after="0"/>
        <w:rPr>
          <w:sz w:val="20"/>
          <w:szCs w:val="20"/>
          <w:color w:val="auto"/>
        </w:rPr>
      </w:pPr>
      <w:r>
        <w:rPr>
          <w:rFonts w:ascii="Arial" w:cs="Arial" w:eastAsia="Arial" w:hAnsi="Arial"/>
          <w:sz w:val="17"/>
          <w:szCs w:val="17"/>
          <w:b w:val="1"/>
          <w:bCs w:val="1"/>
          <w:color w:val="auto"/>
        </w:rPr>
        <w:t>FORM 8-K</w:t>
      </w:r>
    </w:p>
    <w:p>
      <w:pPr>
        <w:spacing w:after="0" w:line="200" w:lineRule="exact"/>
        <w:rPr>
          <w:sz w:val="24"/>
          <w:szCs w:val="24"/>
          <w:color w:val="auto"/>
        </w:rPr>
      </w:pPr>
    </w:p>
    <w:p>
      <w:pPr>
        <w:jc w:val="center"/>
        <w:ind w:right="-119"/>
        <w:spacing w:after="0"/>
        <w:rPr>
          <w:sz w:val="20"/>
          <w:szCs w:val="20"/>
          <w:color w:val="auto"/>
        </w:rPr>
      </w:pPr>
      <w:r>
        <w:rPr>
          <w:rFonts w:ascii="Arial" w:cs="Arial" w:eastAsia="Arial" w:hAnsi="Arial"/>
          <w:sz w:val="17"/>
          <w:szCs w:val="17"/>
          <w:b w:val="1"/>
          <w:bCs w:val="1"/>
          <w:color w:val="auto"/>
        </w:rPr>
        <w:t>CURRENT REPORT</w:t>
      </w:r>
    </w:p>
    <w:p>
      <w:pPr>
        <w:spacing w:after="0" w:line="20" w:lineRule="exact"/>
        <w:rPr>
          <w:sz w:val="24"/>
          <w:szCs w:val="24"/>
          <w:color w:val="auto"/>
        </w:rPr>
      </w:pPr>
    </w:p>
    <w:p>
      <w:pPr>
        <w:jc w:val="center"/>
        <w:ind w:right="-119"/>
        <w:spacing w:after="0"/>
        <w:rPr>
          <w:sz w:val="20"/>
          <w:szCs w:val="20"/>
          <w:color w:val="auto"/>
        </w:rPr>
      </w:pPr>
      <w:r>
        <w:rPr>
          <w:rFonts w:ascii="Arial" w:cs="Arial" w:eastAsia="Arial" w:hAnsi="Arial"/>
          <w:sz w:val="17"/>
          <w:szCs w:val="17"/>
          <w:b w:val="1"/>
          <w:bCs w:val="1"/>
          <w:color w:val="auto"/>
        </w:rPr>
        <w:t>Pursuant to Section 13 or 15(d) of the</w:t>
      </w:r>
    </w:p>
    <w:p>
      <w:pPr>
        <w:spacing w:after="0" w:line="2" w:lineRule="exact"/>
        <w:rPr>
          <w:sz w:val="24"/>
          <w:szCs w:val="24"/>
          <w:color w:val="auto"/>
        </w:rPr>
      </w:pPr>
    </w:p>
    <w:p>
      <w:pPr>
        <w:jc w:val="center"/>
        <w:ind w:right="-119"/>
        <w:spacing w:after="0"/>
        <w:rPr>
          <w:sz w:val="20"/>
          <w:szCs w:val="20"/>
          <w:color w:val="auto"/>
        </w:rPr>
      </w:pPr>
      <w:r>
        <w:rPr>
          <w:rFonts w:ascii="Arial" w:cs="Arial" w:eastAsia="Arial" w:hAnsi="Arial"/>
          <w:sz w:val="17"/>
          <w:szCs w:val="17"/>
          <w:b w:val="1"/>
          <w:bCs w:val="1"/>
          <w:color w:val="auto"/>
        </w:rPr>
        <w:t>Securities Exchange Act of 1934</w:t>
      </w:r>
    </w:p>
    <w:p>
      <w:pPr>
        <w:spacing w:after="0" w:line="186" w:lineRule="exact"/>
        <w:rPr>
          <w:sz w:val="24"/>
          <w:szCs w:val="24"/>
          <w:color w:val="auto"/>
        </w:rPr>
      </w:pPr>
    </w:p>
    <w:p>
      <w:pPr>
        <w:jc w:val="center"/>
        <w:ind w:right="-99"/>
        <w:spacing w:after="0"/>
        <w:tabs>
          <w:tab w:leader="none" w:pos="140" w:val="left"/>
        </w:tabs>
        <w:rPr>
          <w:sz w:val="20"/>
          <w:szCs w:val="20"/>
          <w:color w:val="auto"/>
        </w:rPr>
      </w:pPr>
      <w:r>
        <w:rPr>
          <w:rFonts w:ascii="Arial" w:cs="Arial" w:eastAsia="Arial" w:hAnsi="Arial"/>
          <w:sz w:val="17"/>
          <w:szCs w:val="17"/>
          <w:color w:val="auto"/>
        </w:rPr>
        <w:t>Date of report (Date of earliest event reported):</w:t>
      </w:r>
      <w:r>
        <w:rPr>
          <w:sz w:val="20"/>
          <w:szCs w:val="20"/>
          <w:color w:val="auto"/>
        </w:rPr>
        <w:tab/>
      </w:r>
      <w:r>
        <w:rPr>
          <w:rFonts w:ascii="Arial" w:cs="Arial" w:eastAsia="Arial" w:hAnsi="Arial"/>
          <w:sz w:val="15"/>
          <w:szCs w:val="15"/>
          <w:color w:val="auto"/>
        </w:rPr>
        <w:t>May 2, 2017</w:t>
      </w:r>
    </w:p>
    <w:p>
      <w:pPr>
        <w:spacing w:after="0" w:line="332" w:lineRule="exact"/>
        <w:rPr>
          <w:sz w:val="24"/>
          <w:szCs w:val="24"/>
          <w:color w:val="auto"/>
        </w:rPr>
      </w:pPr>
    </w:p>
    <w:tbl>
      <w:tblPr>
        <w:tblLayout w:type="fixed"/>
        <w:tblInd w:w="0" w:type="dxa"/>
        <w:tblCellMar>
          <w:top w:w="0" w:type="dxa"/>
          <w:left w:w="0" w:type="dxa"/>
          <w:bottom w:w="0" w:type="dxa"/>
          <w:right w:w="0" w:type="dxa"/>
        </w:tblCellMar>
      </w:tblPr>
      <w:tr>
        <w:trPr>
          <w:trHeight w:val="198"/>
        </w:trPr>
        <w:tc>
          <w:tcPr>
            <w:tcW w:w="2780" w:type="dxa"/>
            <w:vAlign w:val="bottom"/>
          </w:tcPr>
          <w:p>
            <w:pPr>
              <w:spacing w:after="0"/>
              <w:rPr>
                <w:sz w:val="17"/>
                <w:szCs w:val="17"/>
                <w:color w:val="auto"/>
              </w:rPr>
            </w:pPr>
          </w:p>
        </w:tc>
        <w:tc>
          <w:tcPr>
            <w:tcW w:w="5320" w:type="dxa"/>
            <w:vAlign w:val="bottom"/>
          </w:tcPr>
          <w:p>
            <w:pPr>
              <w:jc w:val="center"/>
              <w:ind w:left="56"/>
              <w:spacing w:after="0"/>
              <w:rPr>
                <w:sz w:val="20"/>
                <w:szCs w:val="20"/>
                <w:color w:val="auto"/>
              </w:rPr>
            </w:pPr>
            <w:r>
              <w:rPr>
                <w:rFonts w:ascii="Arial" w:cs="Arial" w:eastAsia="Arial" w:hAnsi="Arial"/>
                <w:sz w:val="17"/>
                <w:szCs w:val="17"/>
                <w:color w:val="auto"/>
                <w:w w:val="89"/>
              </w:rPr>
              <w:t>Exact Name of Registrant as Specified in Charter; State of</w:t>
            </w:r>
          </w:p>
        </w:tc>
        <w:tc>
          <w:tcPr>
            <w:tcW w:w="2900" w:type="dxa"/>
            <w:vAlign w:val="bottom"/>
          </w:tcPr>
          <w:p>
            <w:pPr>
              <w:spacing w:after="0"/>
              <w:rPr>
                <w:sz w:val="17"/>
                <w:szCs w:val="17"/>
                <w:color w:val="auto"/>
              </w:rPr>
            </w:pPr>
          </w:p>
        </w:tc>
      </w:tr>
      <w:tr>
        <w:trPr>
          <w:trHeight w:val="198"/>
        </w:trPr>
        <w:tc>
          <w:tcPr>
            <w:tcW w:w="2780" w:type="dxa"/>
            <w:vAlign w:val="bottom"/>
          </w:tcPr>
          <w:p>
            <w:pPr>
              <w:spacing w:after="0"/>
              <w:rPr>
                <w:sz w:val="17"/>
                <w:szCs w:val="17"/>
                <w:color w:val="auto"/>
              </w:rPr>
            </w:pPr>
          </w:p>
        </w:tc>
        <w:tc>
          <w:tcPr>
            <w:tcW w:w="5320" w:type="dxa"/>
            <w:vAlign w:val="bottom"/>
          </w:tcPr>
          <w:p>
            <w:pPr>
              <w:jc w:val="center"/>
              <w:ind w:left="76"/>
              <w:spacing w:after="0"/>
              <w:rPr>
                <w:sz w:val="20"/>
                <w:szCs w:val="20"/>
                <w:color w:val="auto"/>
              </w:rPr>
            </w:pPr>
            <w:r>
              <w:rPr>
                <w:rFonts w:ascii="Arial" w:cs="Arial" w:eastAsia="Arial" w:hAnsi="Arial"/>
                <w:sz w:val="17"/>
                <w:szCs w:val="17"/>
                <w:color w:val="auto"/>
                <w:w w:val="92"/>
              </w:rPr>
              <w:t>Incorporation;</w:t>
            </w:r>
          </w:p>
        </w:tc>
        <w:tc>
          <w:tcPr>
            <w:tcW w:w="2900" w:type="dxa"/>
            <w:vAlign w:val="bottom"/>
          </w:tcPr>
          <w:p>
            <w:pPr>
              <w:jc w:val="center"/>
              <w:ind w:right="76"/>
              <w:spacing w:after="0"/>
              <w:rPr>
                <w:sz w:val="20"/>
                <w:szCs w:val="20"/>
                <w:color w:val="auto"/>
              </w:rPr>
            </w:pPr>
            <w:r>
              <w:rPr>
                <w:rFonts w:ascii="Arial" w:cs="Arial" w:eastAsia="Arial" w:hAnsi="Arial"/>
                <w:sz w:val="17"/>
                <w:szCs w:val="17"/>
                <w:color w:val="auto"/>
                <w:w w:val="93"/>
              </w:rPr>
              <w:t>IRS Employer</w:t>
            </w:r>
          </w:p>
        </w:tc>
      </w:tr>
      <w:tr>
        <w:trPr>
          <w:trHeight w:val="222"/>
        </w:trPr>
        <w:tc>
          <w:tcPr>
            <w:tcW w:w="2780" w:type="dxa"/>
            <w:vAlign w:val="bottom"/>
            <w:tcBorders>
              <w:bottom w:val="single" w:sz="8" w:color="auto"/>
            </w:tcBorders>
          </w:tcPr>
          <w:p>
            <w:pPr>
              <w:jc w:val="center"/>
              <w:ind w:left="236"/>
              <w:spacing w:after="0"/>
              <w:rPr>
                <w:sz w:val="20"/>
                <w:szCs w:val="20"/>
                <w:color w:val="auto"/>
              </w:rPr>
            </w:pPr>
            <w:r>
              <w:rPr>
                <w:rFonts w:ascii="Arial" w:cs="Arial" w:eastAsia="Arial" w:hAnsi="Arial"/>
                <w:sz w:val="17"/>
                <w:szCs w:val="17"/>
                <w:color w:val="auto"/>
                <w:w w:val="91"/>
              </w:rPr>
              <w:t>Commission File Number</w:t>
            </w:r>
          </w:p>
        </w:tc>
        <w:tc>
          <w:tcPr>
            <w:tcW w:w="5320" w:type="dxa"/>
            <w:vAlign w:val="bottom"/>
            <w:tcBorders>
              <w:bottom w:val="single" w:sz="8" w:color="auto"/>
            </w:tcBorders>
          </w:tcPr>
          <w:p>
            <w:pPr>
              <w:jc w:val="center"/>
              <w:ind w:left="56"/>
              <w:spacing w:after="0"/>
              <w:rPr>
                <w:sz w:val="20"/>
                <w:szCs w:val="20"/>
                <w:color w:val="auto"/>
              </w:rPr>
            </w:pPr>
            <w:r>
              <w:rPr>
                <w:rFonts w:ascii="Arial" w:cs="Arial" w:eastAsia="Arial" w:hAnsi="Arial"/>
                <w:sz w:val="17"/>
                <w:szCs w:val="17"/>
                <w:color w:val="auto"/>
                <w:w w:val="88"/>
              </w:rPr>
              <w:t>Address and Telephone Number</w:t>
            </w:r>
          </w:p>
        </w:tc>
        <w:tc>
          <w:tcPr>
            <w:tcW w:w="2900" w:type="dxa"/>
            <w:vAlign w:val="bottom"/>
            <w:tcBorders>
              <w:bottom w:val="single" w:sz="8" w:color="auto"/>
            </w:tcBorders>
          </w:tcPr>
          <w:p>
            <w:pPr>
              <w:jc w:val="center"/>
              <w:ind w:right="76"/>
              <w:spacing w:after="0"/>
              <w:rPr>
                <w:sz w:val="20"/>
                <w:szCs w:val="20"/>
                <w:color w:val="auto"/>
              </w:rPr>
            </w:pPr>
            <w:r>
              <w:rPr>
                <w:rFonts w:ascii="Arial" w:cs="Arial" w:eastAsia="Arial" w:hAnsi="Arial"/>
                <w:sz w:val="17"/>
                <w:szCs w:val="17"/>
                <w:color w:val="auto"/>
                <w:w w:val="93"/>
              </w:rPr>
              <w:t>Identification Number</w:t>
            </w:r>
          </w:p>
        </w:tc>
      </w:tr>
      <w:tr>
        <w:trPr>
          <w:trHeight w:val="450"/>
        </w:trPr>
        <w:tc>
          <w:tcPr>
            <w:tcW w:w="2780" w:type="dxa"/>
            <w:vAlign w:val="bottom"/>
          </w:tcPr>
          <w:p>
            <w:pPr>
              <w:jc w:val="center"/>
              <w:ind w:left="256"/>
              <w:spacing w:after="0"/>
              <w:rPr>
                <w:sz w:val="20"/>
                <w:szCs w:val="20"/>
                <w:color w:val="auto"/>
              </w:rPr>
            </w:pPr>
            <w:r>
              <w:rPr>
                <w:rFonts w:ascii="Arial" w:cs="Arial" w:eastAsia="Arial" w:hAnsi="Arial"/>
                <w:sz w:val="17"/>
                <w:szCs w:val="17"/>
                <w:color w:val="auto"/>
                <w:w w:val="90"/>
              </w:rPr>
              <w:t>1-8962</w:t>
            </w:r>
          </w:p>
        </w:tc>
        <w:tc>
          <w:tcPr>
            <w:tcW w:w="5320" w:type="dxa"/>
            <w:vAlign w:val="bottom"/>
          </w:tcPr>
          <w:p>
            <w:pPr>
              <w:ind w:left="340"/>
              <w:spacing w:after="0"/>
              <w:rPr>
                <w:sz w:val="20"/>
                <w:szCs w:val="20"/>
                <w:color w:val="auto"/>
              </w:rPr>
            </w:pPr>
            <w:r>
              <w:rPr>
                <w:rFonts w:ascii="Arial" w:cs="Arial" w:eastAsia="Arial" w:hAnsi="Arial"/>
                <w:sz w:val="17"/>
                <w:szCs w:val="17"/>
                <w:color w:val="auto"/>
              </w:rPr>
              <w:t>Pinnacle West Capital Corporation</w:t>
            </w:r>
          </w:p>
        </w:tc>
        <w:tc>
          <w:tcPr>
            <w:tcW w:w="2900" w:type="dxa"/>
            <w:vAlign w:val="bottom"/>
          </w:tcPr>
          <w:p>
            <w:pPr>
              <w:jc w:val="center"/>
              <w:ind w:right="76"/>
              <w:spacing w:after="0"/>
              <w:rPr>
                <w:sz w:val="20"/>
                <w:szCs w:val="20"/>
                <w:color w:val="auto"/>
              </w:rPr>
            </w:pPr>
            <w:r>
              <w:rPr>
                <w:rFonts w:ascii="Arial" w:cs="Arial" w:eastAsia="Arial" w:hAnsi="Arial"/>
                <w:sz w:val="17"/>
                <w:szCs w:val="17"/>
                <w:color w:val="auto"/>
                <w:w w:val="90"/>
              </w:rPr>
              <w:t>86-0512431</w:t>
            </w:r>
          </w:p>
        </w:tc>
      </w:tr>
      <w:tr>
        <w:trPr>
          <w:trHeight w:val="198"/>
        </w:trPr>
        <w:tc>
          <w:tcPr>
            <w:tcW w:w="2780" w:type="dxa"/>
            <w:vAlign w:val="bottom"/>
          </w:tcPr>
          <w:p>
            <w:pPr>
              <w:spacing w:after="0"/>
              <w:rPr>
                <w:sz w:val="17"/>
                <w:szCs w:val="17"/>
                <w:color w:val="auto"/>
              </w:rPr>
            </w:pPr>
          </w:p>
        </w:tc>
        <w:tc>
          <w:tcPr>
            <w:tcW w:w="5320" w:type="dxa"/>
            <w:vAlign w:val="bottom"/>
          </w:tcPr>
          <w:p>
            <w:pPr>
              <w:ind w:left="340"/>
              <w:spacing w:after="0"/>
              <w:rPr>
                <w:sz w:val="20"/>
                <w:szCs w:val="20"/>
                <w:color w:val="auto"/>
              </w:rPr>
            </w:pPr>
            <w:r>
              <w:rPr>
                <w:rFonts w:ascii="Arial" w:cs="Arial" w:eastAsia="Arial" w:hAnsi="Arial"/>
                <w:sz w:val="17"/>
                <w:szCs w:val="17"/>
                <w:color w:val="auto"/>
              </w:rPr>
              <w:t>(an Arizona corporation)</w:t>
            </w:r>
          </w:p>
        </w:tc>
        <w:tc>
          <w:tcPr>
            <w:tcW w:w="2900" w:type="dxa"/>
            <w:vAlign w:val="bottom"/>
          </w:tcPr>
          <w:p>
            <w:pPr>
              <w:spacing w:after="0"/>
              <w:rPr>
                <w:sz w:val="17"/>
                <w:szCs w:val="17"/>
                <w:color w:val="auto"/>
              </w:rPr>
            </w:pPr>
          </w:p>
        </w:tc>
      </w:tr>
      <w:tr>
        <w:trPr>
          <w:trHeight w:val="198"/>
        </w:trPr>
        <w:tc>
          <w:tcPr>
            <w:tcW w:w="2780" w:type="dxa"/>
            <w:vAlign w:val="bottom"/>
          </w:tcPr>
          <w:p>
            <w:pPr>
              <w:spacing w:after="0"/>
              <w:rPr>
                <w:sz w:val="17"/>
                <w:szCs w:val="17"/>
                <w:color w:val="auto"/>
              </w:rPr>
            </w:pPr>
          </w:p>
        </w:tc>
        <w:tc>
          <w:tcPr>
            <w:tcW w:w="5320" w:type="dxa"/>
            <w:vAlign w:val="bottom"/>
          </w:tcPr>
          <w:p>
            <w:pPr>
              <w:ind w:left="340"/>
              <w:spacing w:after="0"/>
              <w:rPr>
                <w:sz w:val="20"/>
                <w:szCs w:val="20"/>
                <w:color w:val="auto"/>
              </w:rPr>
            </w:pPr>
            <w:r>
              <w:rPr>
                <w:rFonts w:ascii="Arial" w:cs="Arial" w:eastAsia="Arial" w:hAnsi="Arial"/>
                <w:sz w:val="17"/>
                <w:szCs w:val="17"/>
                <w:color w:val="auto"/>
              </w:rPr>
              <w:t>400 North Fifth Street, P.O. Box 53999</w:t>
            </w:r>
          </w:p>
        </w:tc>
        <w:tc>
          <w:tcPr>
            <w:tcW w:w="2900" w:type="dxa"/>
            <w:vAlign w:val="bottom"/>
          </w:tcPr>
          <w:p>
            <w:pPr>
              <w:spacing w:after="0"/>
              <w:rPr>
                <w:sz w:val="17"/>
                <w:szCs w:val="17"/>
                <w:color w:val="auto"/>
              </w:rPr>
            </w:pPr>
          </w:p>
        </w:tc>
      </w:tr>
      <w:tr>
        <w:trPr>
          <w:trHeight w:val="198"/>
        </w:trPr>
        <w:tc>
          <w:tcPr>
            <w:tcW w:w="2780" w:type="dxa"/>
            <w:vAlign w:val="bottom"/>
          </w:tcPr>
          <w:p>
            <w:pPr>
              <w:spacing w:after="0"/>
              <w:rPr>
                <w:sz w:val="17"/>
                <w:szCs w:val="17"/>
                <w:color w:val="auto"/>
              </w:rPr>
            </w:pPr>
          </w:p>
        </w:tc>
        <w:tc>
          <w:tcPr>
            <w:tcW w:w="5320" w:type="dxa"/>
            <w:vAlign w:val="bottom"/>
          </w:tcPr>
          <w:p>
            <w:pPr>
              <w:ind w:left="340"/>
              <w:spacing w:after="0"/>
              <w:rPr>
                <w:sz w:val="20"/>
                <w:szCs w:val="20"/>
                <w:color w:val="auto"/>
              </w:rPr>
            </w:pPr>
            <w:r>
              <w:rPr>
                <w:rFonts w:ascii="Arial" w:cs="Arial" w:eastAsia="Arial" w:hAnsi="Arial"/>
                <w:sz w:val="17"/>
                <w:szCs w:val="17"/>
                <w:color w:val="auto"/>
              </w:rPr>
              <w:t>Phoenix, AZ 85072-3999</w:t>
            </w:r>
          </w:p>
        </w:tc>
        <w:tc>
          <w:tcPr>
            <w:tcW w:w="2900" w:type="dxa"/>
            <w:vAlign w:val="bottom"/>
          </w:tcPr>
          <w:p>
            <w:pPr>
              <w:spacing w:after="0"/>
              <w:rPr>
                <w:sz w:val="17"/>
                <w:szCs w:val="17"/>
                <w:color w:val="auto"/>
              </w:rPr>
            </w:pPr>
          </w:p>
        </w:tc>
      </w:tr>
      <w:tr>
        <w:trPr>
          <w:trHeight w:val="214"/>
        </w:trPr>
        <w:tc>
          <w:tcPr>
            <w:tcW w:w="2780" w:type="dxa"/>
            <w:vAlign w:val="bottom"/>
          </w:tcPr>
          <w:p>
            <w:pPr>
              <w:spacing w:after="0"/>
              <w:rPr>
                <w:sz w:val="18"/>
                <w:szCs w:val="18"/>
                <w:color w:val="auto"/>
              </w:rPr>
            </w:pPr>
          </w:p>
        </w:tc>
        <w:tc>
          <w:tcPr>
            <w:tcW w:w="5320" w:type="dxa"/>
            <w:vAlign w:val="bottom"/>
          </w:tcPr>
          <w:p>
            <w:pPr>
              <w:ind w:left="340"/>
              <w:spacing w:after="0"/>
              <w:rPr>
                <w:sz w:val="20"/>
                <w:szCs w:val="20"/>
                <w:color w:val="auto"/>
              </w:rPr>
            </w:pPr>
            <w:r>
              <w:rPr>
                <w:rFonts w:ascii="Arial" w:cs="Arial" w:eastAsia="Arial" w:hAnsi="Arial"/>
                <w:sz w:val="17"/>
                <w:szCs w:val="17"/>
                <w:color w:val="auto"/>
              </w:rPr>
              <w:t>(602) 250-1000</w:t>
            </w:r>
          </w:p>
        </w:tc>
        <w:tc>
          <w:tcPr>
            <w:tcW w:w="2900" w:type="dxa"/>
            <w:vAlign w:val="bottom"/>
          </w:tcPr>
          <w:p>
            <w:pPr>
              <w:spacing w:after="0"/>
              <w:rPr>
                <w:sz w:val="18"/>
                <w:szCs w:val="18"/>
                <w:color w:val="auto"/>
              </w:rPr>
            </w:pPr>
          </w:p>
        </w:tc>
      </w:tr>
      <w:tr>
        <w:trPr>
          <w:trHeight w:val="467"/>
        </w:trPr>
        <w:tc>
          <w:tcPr>
            <w:tcW w:w="2780" w:type="dxa"/>
            <w:vAlign w:val="bottom"/>
          </w:tcPr>
          <w:p>
            <w:pPr>
              <w:jc w:val="center"/>
              <w:ind w:left="256"/>
              <w:spacing w:after="0"/>
              <w:rPr>
                <w:sz w:val="20"/>
                <w:szCs w:val="20"/>
                <w:color w:val="auto"/>
              </w:rPr>
            </w:pPr>
            <w:r>
              <w:rPr>
                <w:rFonts w:ascii="Arial" w:cs="Arial" w:eastAsia="Arial" w:hAnsi="Arial"/>
                <w:sz w:val="17"/>
                <w:szCs w:val="17"/>
                <w:color w:val="auto"/>
                <w:w w:val="90"/>
              </w:rPr>
              <w:t>1-4473</w:t>
            </w:r>
          </w:p>
        </w:tc>
        <w:tc>
          <w:tcPr>
            <w:tcW w:w="5320" w:type="dxa"/>
            <w:vAlign w:val="bottom"/>
          </w:tcPr>
          <w:p>
            <w:pPr>
              <w:ind w:left="340"/>
              <w:spacing w:after="0"/>
              <w:rPr>
                <w:sz w:val="20"/>
                <w:szCs w:val="20"/>
                <w:color w:val="auto"/>
              </w:rPr>
            </w:pPr>
            <w:r>
              <w:rPr>
                <w:rFonts w:ascii="Arial" w:cs="Arial" w:eastAsia="Arial" w:hAnsi="Arial"/>
                <w:sz w:val="17"/>
                <w:szCs w:val="17"/>
                <w:color w:val="auto"/>
              </w:rPr>
              <w:t>Arizona Public Service Company</w:t>
            </w:r>
          </w:p>
        </w:tc>
        <w:tc>
          <w:tcPr>
            <w:tcW w:w="2900" w:type="dxa"/>
            <w:vAlign w:val="bottom"/>
          </w:tcPr>
          <w:p>
            <w:pPr>
              <w:jc w:val="center"/>
              <w:ind w:right="56"/>
              <w:spacing w:after="0"/>
              <w:rPr>
                <w:sz w:val="20"/>
                <w:szCs w:val="20"/>
                <w:color w:val="auto"/>
              </w:rPr>
            </w:pPr>
            <w:r>
              <w:rPr>
                <w:rFonts w:ascii="Arial" w:cs="Arial" w:eastAsia="Arial" w:hAnsi="Arial"/>
                <w:sz w:val="17"/>
                <w:szCs w:val="17"/>
                <w:color w:val="auto"/>
                <w:w w:val="88"/>
              </w:rPr>
              <w:t>86-0011170</w:t>
            </w:r>
          </w:p>
        </w:tc>
      </w:tr>
      <w:tr>
        <w:trPr>
          <w:trHeight w:val="198"/>
        </w:trPr>
        <w:tc>
          <w:tcPr>
            <w:tcW w:w="2780" w:type="dxa"/>
            <w:vAlign w:val="bottom"/>
          </w:tcPr>
          <w:p>
            <w:pPr>
              <w:spacing w:after="0"/>
              <w:rPr>
                <w:sz w:val="17"/>
                <w:szCs w:val="17"/>
                <w:color w:val="auto"/>
              </w:rPr>
            </w:pPr>
          </w:p>
        </w:tc>
        <w:tc>
          <w:tcPr>
            <w:tcW w:w="5320" w:type="dxa"/>
            <w:vAlign w:val="bottom"/>
          </w:tcPr>
          <w:p>
            <w:pPr>
              <w:ind w:left="340"/>
              <w:spacing w:after="0"/>
              <w:rPr>
                <w:sz w:val="20"/>
                <w:szCs w:val="20"/>
                <w:color w:val="auto"/>
              </w:rPr>
            </w:pPr>
            <w:r>
              <w:rPr>
                <w:rFonts w:ascii="Arial" w:cs="Arial" w:eastAsia="Arial" w:hAnsi="Arial"/>
                <w:sz w:val="17"/>
                <w:szCs w:val="17"/>
                <w:color w:val="auto"/>
              </w:rPr>
              <w:t>(an Arizona corporation)</w:t>
            </w:r>
          </w:p>
        </w:tc>
        <w:tc>
          <w:tcPr>
            <w:tcW w:w="2900" w:type="dxa"/>
            <w:vAlign w:val="bottom"/>
          </w:tcPr>
          <w:p>
            <w:pPr>
              <w:spacing w:after="0"/>
              <w:rPr>
                <w:sz w:val="17"/>
                <w:szCs w:val="17"/>
                <w:color w:val="auto"/>
              </w:rPr>
            </w:pPr>
          </w:p>
        </w:tc>
      </w:tr>
      <w:tr>
        <w:trPr>
          <w:trHeight w:val="198"/>
        </w:trPr>
        <w:tc>
          <w:tcPr>
            <w:tcW w:w="2780" w:type="dxa"/>
            <w:vAlign w:val="bottom"/>
          </w:tcPr>
          <w:p>
            <w:pPr>
              <w:spacing w:after="0"/>
              <w:rPr>
                <w:sz w:val="17"/>
                <w:szCs w:val="17"/>
                <w:color w:val="auto"/>
              </w:rPr>
            </w:pPr>
          </w:p>
        </w:tc>
        <w:tc>
          <w:tcPr>
            <w:tcW w:w="5320" w:type="dxa"/>
            <w:vAlign w:val="bottom"/>
          </w:tcPr>
          <w:p>
            <w:pPr>
              <w:ind w:left="340"/>
              <w:spacing w:after="0"/>
              <w:rPr>
                <w:sz w:val="20"/>
                <w:szCs w:val="20"/>
                <w:color w:val="auto"/>
              </w:rPr>
            </w:pPr>
            <w:r>
              <w:rPr>
                <w:rFonts w:ascii="Arial" w:cs="Arial" w:eastAsia="Arial" w:hAnsi="Arial"/>
                <w:sz w:val="17"/>
                <w:szCs w:val="17"/>
                <w:color w:val="auto"/>
              </w:rPr>
              <w:t>400 North Fifth Street, P.O. Box 53999</w:t>
            </w:r>
          </w:p>
        </w:tc>
        <w:tc>
          <w:tcPr>
            <w:tcW w:w="2900" w:type="dxa"/>
            <w:vAlign w:val="bottom"/>
          </w:tcPr>
          <w:p>
            <w:pPr>
              <w:spacing w:after="0"/>
              <w:rPr>
                <w:sz w:val="17"/>
                <w:szCs w:val="17"/>
                <w:color w:val="auto"/>
              </w:rPr>
            </w:pPr>
          </w:p>
        </w:tc>
      </w:tr>
      <w:tr>
        <w:trPr>
          <w:trHeight w:val="198"/>
        </w:trPr>
        <w:tc>
          <w:tcPr>
            <w:tcW w:w="2780" w:type="dxa"/>
            <w:vAlign w:val="bottom"/>
          </w:tcPr>
          <w:p>
            <w:pPr>
              <w:spacing w:after="0"/>
              <w:rPr>
                <w:sz w:val="17"/>
                <w:szCs w:val="17"/>
                <w:color w:val="auto"/>
              </w:rPr>
            </w:pPr>
          </w:p>
        </w:tc>
        <w:tc>
          <w:tcPr>
            <w:tcW w:w="5320" w:type="dxa"/>
            <w:vAlign w:val="bottom"/>
          </w:tcPr>
          <w:p>
            <w:pPr>
              <w:ind w:left="340"/>
              <w:spacing w:after="0"/>
              <w:rPr>
                <w:sz w:val="20"/>
                <w:szCs w:val="20"/>
                <w:color w:val="auto"/>
              </w:rPr>
            </w:pPr>
            <w:r>
              <w:rPr>
                <w:rFonts w:ascii="Arial" w:cs="Arial" w:eastAsia="Arial" w:hAnsi="Arial"/>
                <w:sz w:val="17"/>
                <w:szCs w:val="17"/>
                <w:color w:val="auto"/>
              </w:rPr>
              <w:t>Phoenix, AZ 85072-3999</w:t>
            </w:r>
          </w:p>
        </w:tc>
        <w:tc>
          <w:tcPr>
            <w:tcW w:w="2900" w:type="dxa"/>
            <w:vAlign w:val="bottom"/>
          </w:tcPr>
          <w:p>
            <w:pPr>
              <w:spacing w:after="0"/>
              <w:rPr>
                <w:sz w:val="17"/>
                <w:szCs w:val="17"/>
                <w:color w:val="auto"/>
              </w:rPr>
            </w:pPr>
          </w:p>
        </w:tc>
      </w:tr>
      <w:tr>
        <w:trPr>
          <w:trHeight w:val="214"/>
        </w:trPr>
        <w:tc>
          <w:tcPr>
            <w:tcW w:w="2780" w:type="dxa"/>
            <w:vAlign w:val="bottom"/>
          </w:tcPr>
          <w:p>
            <w:pPr>
              <w:spacing w:after="0"/>
              <w:rPr>
                <w:sz w:val="18"/>
                <w:szCs w:val="18"/>
                <w:color w:val="auto"/>
              </w:rPr>
            </w:pPr>
          </w:p>
        </w:tc>
        <w:tc>
          <w:tcPr>
            <w:tcW w:w="5320" w:type="dxa"/>
            <w:vAlign w:val="bottom"/>
          </w:tcPr>
          <w:p>
            <w:pPr>
              <w:ind w:left="340"/>
              <w:spacing w:after="0"/>
              <w:rPr>
                <w:sz w:val="20"/>
                <w:szCs w:val="20"/>
                <w:color w:val="auto"/>
              </w:rPr>
            </w:pPr>
            <w:r>
              <w:rPr>
                <w:rFonts w:ascii="Arial" w:cs="Arial" w:eastAsia="Arial" w:hAnsi="Arial"/>
                <w:sz w:val="17"/>
                <w:szCs w:val="17"/>
                <w:color w:val="auto"/>
              </w:rPr>
              <w:t>(602) 250-1000</w:t>
            </w:r>
          </w:p>
        </w:tc>
        <w:tc>
          <w:tcPr>
            <w:tcW w:w="2900" w:type="dxa"/>
            <w:vAlign w:val="bottom"/>
          </w:tcPr>
          <w:p>
            <w:pPr>
              <w:spacing w:after="0"/>
              <w:rPr>
                <w:sz w:val="18"/>
                <w:szCs w:val="18"/>
                <w:color w:val="auto"/>
              </w:rPr>
            </w:pPr>
          </w:p>
        </w:tc>
      </w:tr>
    </w:tbl>
    <w:p>
      <w:pPr>
        <w:spacing w:after="0" w:line="204" w:lineRule="exact"/>
        <w:rPr>
          <w:sz w:val="24"/>
          <w:szCs w:val="24"/>
          <w:color w:val="auto"/>
        </w:rPr>
      </w:pPr>
    </w:p>
    <w:p>
      <w:pPr>
        <w:ind w:right="260" w:firstLine="527"/>
        <w:spacing w:after="0" w:line="265" w:lineRule="auto"/>
        <w:rPr>
          <w:sz w:val="20"/>
          <w:szCs w:val="20"/>
          <w:color w:val="auto"/>
        </w:rPr>
      </w:pPr>
      <w:r>
        <w:rPr>
          <w:rFonts w:ascii="Arial" w:cs="Arial" w:eastAsia="Arial" w:hAnsi="Arial"/>
          <w:sz w:val="17"/>
          <w:szCs w:val="17"/>
          <w:color w:val="auto"/>
        </w:rPr>
        <w:t>Check the appropriate box below if the Form 8-K filing is intended to simultaneously satisfy the filing obligation of the registrant under any of the following provisions:</w:t>
      </w:r>
    </w:p>
    <w:p>
      <w:pPr>
        <w:spacing w:after="0" w:line="162" w:lineRule="exact"/>
        <w:rPr>
          <w:sz w:val="24"/>
          <w:szCs w:val="24"/>
          <w:color w:val="auto"/>
        </w:rPr>
      </w:pPr>
    </w:p>
    <w:p>
      <w:pPr>
        <w:ind w:left="720" w:hanging="185"/>
        <w:spacing w:after="0"/>
        <w:tabs>
          <w:tab w:leader="none" w:pos="720" w:val="left"/>
        </w:tabs>
        <w:numPr>
          <w:ilvl w:val="0"/>
          <w:numId w:val="1"/>
        </w:numPr>
        <w:rPr>
          <w:rFonts w:ascii="MS PGothic" w:cs="MS PGothic" w:eastAsia="MS PGothic" w:hAnsi="MS PGothic"/>
          <w:sz w:val="17"/>
          <w:szCs w:val="17"/>
          <w:color w:val="auto"/>
        </w:rPr>
      </w:pPr>
      <w:r>
        <w:rPr>
          <w:rFonts w:ascii="Arial" w:cs="Arial" w:eastAsia="Arial" w:hAnsi="Arial"/>
          <w:sz w:val="17"/>
          <w:szCs w:val="17"/>
          <w:color w:val="auto"/>
        </w:rPr>
        <w:t>Written communications pursuant to Rule 425 under the Securities Act (17 CFR 230.425)</w:t>
      </w:r>
    </w:p>
    <w:p>
      <w:pPr>
        <w:spacing w:after="0" w:line="200" w:lineRule="exact"/>
        <w:rPr>
          <w:rFonts w:ascii="MS PGothic" w:cs="MS PGothic" w:eastAsia="MS PGothic" w:hAnsi="MS PGothic"/>
          <w:sz w:val="17"/>
          <w:szCs w:val="17"/>
          <w:color w:val="auto"/>
        </w:rPr>
      </w:pPr>
    </w:p>
    <w:p>
      <w:pPr>
        <w:ind w:left="720" w:hanging="185"/>
        <w:spacing w:after="0"/>
        <w:tabs>
          <w:tab w:leader="none" w:pos="720" w:val="left"/>
        </w:tabs>
        <w:numPr>
          <w:ilvl w:val="0"/>
          <w:numId w:val="1"/>
        </w:numPr>
        <w:rPr>
          <w:rFonts w:ascii="MS PGothic" w:cs="MS PGothic" w:eastAsia="MS PGothic" w:hAnsi="MS PGothic"/>
          <w:sz w:val="17"/>
          <w:szCs w:val="17"/>
          <w:color w:val="auto"/>
        </w:rPr>
      </w:pPr>
      <w:r>
        <w:rPr>
          <w:rFonts w:ascii="Arial" w:cs="Arial" w:eastAsia="Arial" w:hAnsi="Arial"/>
          <w:sz w:val="17"/>
          <w:szCs w:val="17"/>
          <w:color w:val="auto"/>
        </w:rPr>
        <w:t>Soliciting material pursuant to Rule 14a-12 under the Exchange Act (17 CFR 240.14a-12)</w:t>
      </w:r>
    </w:p>
    <w:p>
      <w:pPr>
        <w:spacing w:after="0" w:line="200" w:lineRule="exact"/>
        <w:rPr>
          <w:rFonts w:ascii="MS PGothic" w:cs="MS PGothic" w:eastAsia="MS PGothic" w:hAnsi="MS PGothic"/>
          <w:sz w:val="17"/>
          <w:szCs w:val="17"/>
          <w:color w:val="auto"/>
        </w:rPr>
      </w:pPr>
    </w:p>
    <w:p>
      <w:pPr>
        <w:ind w:left="720" w:hanging="185"/>
        <w:spacing w:after="0"/>
        <w:tabs>
          <w:tab w:leader="none" w:pos="720" w:val="left"/>
        </w:tabs>
        <w:numPr>
          <w:ilvl w:val="0"/>
          <w:numId w:val="1"/>
        </w:numPr>
        <w:rPr>
          <w:rFonts w:ascii="MS PGothic" w:cs="MS PGothic" w:eastAsia="MS PGothic" w:hAnsi="MS PGothic"/>
          <w:sz w:val="17"/>
          <w:szCs w:val="17"/>
          <w:color w:val="auto"/>
        </w:rPr>
      </w:pPr>
      <w:r>
        <w:rPr>
          <w:rFonts w:ascii="Arial" w:cs="Arial" w:eastAsia="Arial" w:hAnsi="Arial"/>
          <w:sz w:val="17"/>
          <w:szCs w:val="17"/>
          <w:color w:val="auto"/>
        </w:rPr>
        <w:t>Pre-commencement communications pursuant to Rule 14d-2(b) under the Exchange Act (17 CFR 240.14d-2(b))</w:t>
      </w:r>
    </w:p>
    <w:p>
      <w:pPr>
        <w:spacing w:after="0" w:line="200" w:lineRule="exact"/>
        <w:rPr>
          <w:rFonts w:ascii="MS PGothic" w:cs="MS PGothic" w:eastAsia="MS PGothic" w:hAnsi="MS PGothic"/>
          <w:sz w:val="17"/>
          <w:szCs w:val="17"/>
          <w:color w:val="auto"/>
        </w:rPr>
      </w:pPr>
    </w:p>
    <w:p>
      <w:pPr>
        <w:ind w:left="720" w:hanging="185"/>
        <w:spacing w:after="0"/>
        <w:tabs>
          <w:tab w:leader="none" w:pos="720" w:val="left"/>
        </w:tabs>
        <w:numPr>
          <w:ilvl w:val="0"/>
          <w:numId w:val="1"/>
        </w:numPr>
        <w:rPr>
          <w:rFonts w:ascii="MS PGothic" w:cs="MS PGothic" w:eastAsia="MS PGothic" w:hAnsi="MS PGothic"/>
          <w:sz w:val="17"/>
          <w:szCs w:val="17"/>
          <w:color w:val="auto"/>
        </w:rPr>
      </w:pPr>
      <w:r>
        <w:rPr>
          <w:rFonts w:ascii="Arial" w:cs="Arial" w:eastAsia="Arial" w:hAnsi="Arial"/>
          <w:sz w:val="17"/>
          <w:szCs w:val="17"/>
          <w:color w:val="auto"/>
        </w:rPr>
        <w:t>Pre-commencement communications pursuant to Rule 13e-4(c) under the Exchange Act (17 CFR 240.13e-4(c))</w:t>
      </w:r>
    </w:p>
    <w:p>
      <w:pPr>
        <w:spacing w:after="0" w:line="200" w:lineRule="exact"/>
        <w:rPr>
          <w:sz w:val="24"/>
          <w:szCs w:val="24"/>
          <w:color w:val="auto"/>
        </w:rPr>
      </w:pPr>
    </w:p>
    <w:p>
      <w:pPr>
        <w:jc w:val="both"/>
        <w:ind w:right="20" w:firstLine="527"/>
        <w:spacing w:after="0" w:line="215" w:lineRule="exact"/>
        <w:rPr>
          <w:sz w:val="20"/>
          <w:szCs w:val="20"/>
          <w:color w:val="auto"/>
        </w:rPr>
      </w:pPr>
      <w:r>
        <w:rPr>
          <w:rFonts w:ascii="Arial" w:cs="Arial" w:eastAsia="Arial" w:hAnsi="Arial"/>
          <w:sz w:val="17"/>
          <w:szCs w:val="17"/>
          <w:color w:val="auto"/>
        </w:rPr>
        <w:t xml:space="preserve">Indicate by check mark whether the registrant is an emerging growth company as defined in Rule 405 of the Securities Act of 1933 (§230.405 of this chapter) or Rule 12b-2 of the Securities Exchange Act of 1934 (§240.12b-2 of this chapter). Emerging growth company </w:t>
      </w:r>
      <w:r>
        <w:rPr>
          <w:rFonts w:ascii="MS PGothic" w:cs="MS PGothic" w:eastAsia="MS PGothic" w:hAnsi="MS PGothic"/>
          <w:sz w:val="17"/>
          <w:szCs w:val="17"/>
          <w:color w:val="auto"/>
        </w:rPr>
        <w:t>☐</w:t>
      </w:r>
    </w:p>
    <w:p>
      <w:pPr>
        <w:spacing w:after="0" w:line="165" w:lineRule="exact"/>
        <w:rPr>
          <w:sz w:val="24"/>
          <w:szCs w:val="24"/>
          <w:color w:val="auto"/>
        </w:rPr>
      </w:pPr>
    </w:p>
    <w:p>
      <w:pPr>
        <w:ind w:right="280" w:firstLine="527"/>
        <w:spacing w:after="0" w:line="215" w:lineRule="exact"/>
        <w:rPr>
          <w:sz w:val="20"/>
          <w:szCs w:val="20"/>
          <w:color w:val="auto"/>
        </w:rPr>
      </w:pPr>
      <w:r>
        <w:rPr>
          <w:rFonts w:ascii="Arial" w:cs="Arial" w:eastAsia="Arial" w:hAnsi="Arial"/>
          <w:sz w:val="17"/>
          <w:szCs w:val="17"/>
          <w:color w:val="auto"/>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MS PGothic" w:cs="MS PGothic" w:eastAsia="MS PGothic" w:hAnsi="MS PGothic"/>
          <w:sz w:val="17"/>
          <w:szCs w:val="17"/>
          <w:color w:val="auto"/>
        </w:rPr>
        <w:t>☐</w:t>
      </w:r>
    </w:p>
    <w:p>
      <w:pPr>
        <w:spacing w:after="0" w:line="165" w:lineRule="exact"/>
        <w:rPr>
          <w:sz w:val="24"/>
          <w:szCs w:val="24"/>
          <w:color w:val="auto"/>
        </w:rPr>
      </w:pPr>
    </w:p>
    <w:p>
      <w:pPr>
        <w:jc w:val="both"/>
        <w:ind w:firstLine="527"/>
        <w:spacing w:after="0" w:line="250" w:lineRule="auto"/>
        <w:rPr>
          <w:sz w:val="20"/>
          <w:szCs w:val="20"/>
          <w:color w:val="auto"/>
        </w:rPr>
      </w:pPr>
      <w:r>
        <w:rPr>
          <w:rFonts w:ascii="Arial" w:cs="Arial" w:eastAsia="Arial" w:hAnsi="Arial"/>
          <w:sz w:val="17"/>
          <w:szCs w:val="17"/>
          <w:color w:val="auto"/>
        </w:rPr>
        <w:t>This combined Form 8-K is separately filed or furnished by Pinnacle West Capital Corporation and Arizona Public Service Company. Each registrant is filing or furnishing on its own behalf all of the information contained in this Form 8-K that relates to such registrant and, where required, its subsidiaries. Except as stated in the preceding sentence, neither registrant is filing or furnishing any information that does not relate to such registrant, and therefore makes no representation as to any such information.</w:t>
      </w:r>
    </w:p>
    <w:p>
      <w:pPr>
        <w:sectPr>
          <w:pgSz w:w="11900" w:h="16838" w:orient="portrait"/>
          <w:cols w:equalWidth="0" w:num="1">
            <w:col w:w="11360"/>
          </w:cols>
          <w:pgMar w:left="220" w:top="587" w:right="319" w:bottom="1440" w:gutter="0" w:footer="0" w:header="0"/>
        </w:sectPr>
      </w:pPr>
    </w:p>
    <w:bookmarkStart w:id="1" w:name="page2"/>
    <w:bookmarkEnd w:id="1"/>
    <w:p>
      <w:pPr>
        <w:spacing w:after="0"/>
        <w:rPr>
          <w:sz w:val="20"/>
          <w:szCs w:val="20"/>
          <w:color w:val="auto"/>
        </w:rPr>
      </w:pPr>
      <w:r>
        <w:rPr>
          <w:rFonts w:ascii="Arial" w:cs="Arial" w:eastAsia="Arial" w:hAnsi="Arial"/>
          <w:sz w:val="16"/>
          <w:szCs w:val="16"/>
          <w:b w:val="1"/>
          <w:bCs w:val="1"/>
          <w:color w:val="auto"/>
        </w:rPr>
        <w:t>Item 2.02. Results of Operations and Financial Condition.</w:t>
      </w:r>
    </w:p>
    <w:p>
      <w:pPr>
        <w:spacing w:after="0" w:line="194" w:lineRule="exact"/>
        <w:rPr>
          <w:sz w:val="20"/>
          <w:szCs w:val="20"/>
          <w:color w:val="auto"/>
        </w:rPr>
      </w:pPr>
    </w:p>
    <w:p>
      <w:pPr>
        <w:ind w:left="540"/>
        <w:spacing w:after="0"/>
        <w:rPr>
          <w:sz w:val="20"/>
          <w:szCs w:val="20"/>
          <w:color w:val="auto"/>
        </w:rPr>
      </w:pPr>
      <w:r>
        <w:rPr>
          <w:rFonts w:ascii="Arial" w:cs="Arial" w:eastAsia="Arial" w:hAnsi="Arial"/>
          <w:sz w:val="16"/>
          <w:szCs w:val="16"/>
          <w:color w:val="auto"/>
        </w:rPr>
        <w:t>The following information is furnished pursuant to Item 2.02.</w:t>
      </w:r>
    </w:p>
    <w:p>
      <w:pPr>
        <w:spacing w:after="0" w:line="190" w:lineRule="exact"/>
        <w:rPr>
          <w:sz w:val="20"/>
          <w:szCs w:val="20"/>
          <w:color w:val="auto"/>
        </w:rPr>
      </w:pPr>
    </w:p>
    <w:p>
      <w:pPr>
        <w:ind w:firstLine="527"/>
        <w:spacing w:after="0" w:line="271" w:lineRule="auto"/>
        <w:rPr>
          <w:sz w:val="20"/>
          <w:szCs w:val="20"/>
          <w:color w:val="auto"/>
        </w:rPr>
      </w:pPr>
      <w:r>
        <w:rPr>
          <w:rFonts w:ascii="Arial" w:cs="Arial" w:eastAsia="Arial" w:hAnsi="Arial"/>
          <w:sz w:val="16"/>
          <w:szCs w:val="16"/>
          <w:color w:val="auto"/>
        </w:rPr>
        <w:t>On May 2, 2017, Pinnacle West Capital Corporation (the “Company” or “Pinnacle West”) issued a press release regarding its financial results for the fiscal quarter ended March 31, 2017. A copy of the press release is attached hereto as Exhibit 99.1.</w:t>
      </w:r>
    </w:p>
    <w:p>
      <w:pPr>
        <w:spacing w:after="0" w:line="141"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Item 7.01. Regulation FD Disclosure.</w:t>
      </w:r>
    </w:p>
    <w:p>
      <w:pPr>
        <w:spacing w:after="0" w:line="194" w:lineRule="exact"/>
        <w:rPr>
          <w:sz w:val="20"/>
          <w:szCs w:val="20"/>
          <w:color w:val="auto"/>
        </w:rPr>
      </w:pPr>
    </w:p>
    <w:p>
      <w:pPr>
        <w:ind w:left="540"/>
        <w:spacing w:after="0"/>
        <w:rPr>
          <w:sz w:val="20"/>
          <w:szCs w:val="20"/>
          <w:color w:val="auto"/>
        </w:rPr>
      </w:pPr>
      <w:r>
        <w:rPr>
          <w:rFonts w:ascii="Arial" w:cs="Arial" w:eastAsia="Arial" w:hAnsi="Arial"/>
          <w:sz w:val="16"/>
          <w:szCs w:val="16"/>
          <w:color w:val="auto"/>
        </w:rPr>
        <w:t>The following information is furnished pursuant to Item 7.01.</w:t>
      </w:r>
    </w:p>
    <w:p>
      <w:pPr>
        <w:spacing w:after="0" w:line="190" w:lineRule="exact"/>
        <w:rPr>
          <w:sz w:val="20"/>
          <w:szCs w:val="20"/>
          <w:color w:val="auto"/>
        </w:rPr>
      </w:pPr>
    </w:p>
    <w:p>
      <w:pPr>
        <w:jc w:val="both"/>
        <w:ind w:right="220" w:firstLine="527"/>
        <w:spacing w:after="0" w:line="257" w:lineRule="auto"/>
        <w:rPr>
          <w:sz w:val="20"/>
          <w:szCs w:val="20"/>
          <w:color w:val="auto"/>
        </w:rPr>
      </w:pPr>
      <w:r>
        <w:rPr>
          <w:rFonts w:ascii="Arial" w:cs="Arial" w:eastAsia="Arial" w:hAnsi="Arial"/>
          <w:sz w:val="16"/>
          <w:szCs w:val="16"/>
          <w:color w:val="auto"/>
        </w:rPr>
        <w:t>The Company is providing a copy of the slide presentation made in connection with the quarterly earnings conference call on May 2, 2017. This information contains Company operating results for the fiscal quarter ended March 31, 2017 and a quarterly consolidated statistical summary. The slide presentation is attached hereto as Exhibits 99.2 and is concurrently being posted to the Company’s website at www.pinnaclewest.com.</w:t>
      </w:r>
    </w:p>
    <w:p>
      <w:pPr>
        <w:spacing w:after="0" w:line="152" w:lineRule="exact"/>
        <w:rPr>
          <w:sz w:val="20"/>
          <w:szCs w:val="20"/>
          <w:color w:val="auto"/>
        </w:rPr>
      </w:pPr>
    </w:p>
    <w:p>
      <w:pPr>
        <w:spacing w:after="0"/>
        <w:tabs>
          <w:tab w:leader="none" w:pos="820" w:val="left"/>
        </w:tabs>
        <w:rPr>
          <w:sz w:val="20"/>
          <w:szCs w:val="20"/>
          <w:color w:val="auto"/>
        </w:rPr>
      </w:pPr>
      <w:r>
        <w:rPr>
          <w:rFonts w:ascii="Arial" w:cs="Arial" w:eastAsia="Arial" w:hAnsi="Arial"/>
          <w:sz w:val="16"/>
          <w:szCs w:val="16"/>
          <w:b w:val="1"/>
          <w:bCs w:val="1"/>
          <w:color w:val="auto"/>
        </w:rPr>
        <w:t>Item 9.01.</w:t>
      </w:r>
      <w:r>
        <w:rPr>
          <w:sz w:val="20"/>
          <w:szCs w:val="20"/>
          <w:color w:val="auto"/>
        </w:rPr>
        <w:tab/>
      </w:r>
      <w:r>
        <w:rPr>
          <w:rFonts w:ascii="Arial" w:cs="Arial" w:eastAsia="Arial" w:hAnsi="Arial"/>
          <w:sz w:val="14"/>
          <w:szCs w:val="14"/>
          <w:b w:val="1"/>
          <w:bCs w:val="1"/>
          <w:color w:val="auto"/>
        </w:rPr>
        <w:t>Financial Statements and Exhibits.</w:t>
      </w:r>
    </w:p>
    <w:p>
      <w:pPr>
        <w:spacing w:after="0" w:line="21" w:lineRule="exact"/>
        <w:rPr>
          <w:sz w:val="20"/>
          <w:szCs w:val="20"/>
          <w:color w:val="auto"/>
        </w:rPr>
      </w:pPr>
    </w:p>
    <w:p>
      <w:pPr>
        <w:ind w:left="540"/>
        <w:spacing w:after="0"/>
        <w:tabs>
          <w:tab w:leader="none" w:pos="860" w:val="left"/>
        </w:tabs>
        <w:rPr>
          <w:sz w:val="20"/>
          <w:szCs w:val="20"/>
          <w:color w:val="auto"/>
        </w:rPr>
      </w:pPr>
      <w:r>
        <w:rPr>
          <w:rFonts w:ascii="Arial" w:cs="Arial" w:eastAsia="Arial" w:hAnsi="Arial"/>
          <w:sz w:val="16"/>
          <w:szCs w:val="16"/>
          <w:b w:val="1"/>
          <w:bCs w:val="1"/>
          <w:color w:val="auto"/>
        </w:rPr>
        <w:t>(d)</w:t>
      </w:r>
      <w:r>
        <w:rPr>
          <w:sz w:val="20"/>
          <w:szCs w:val="20"/>
          <w:color w:val="auto"/>
        </w:rPr>
        <w:tab/>
      </w:r>
      <w:r>
        <w:rPr>
          <w:rFonts w:ascii="Arial" w:cs="Arial" w:eastAsia="Arial" w:hAnsi="Arial"/>
          <w:sz w:val="14"/>
          <w:szCs w:val="14"/>
          <w:b w:val="1"/>
          <w:bCs w:val="1"/>
          <w:color w:val="auto"/>
        </w:rPr>
        <w:t>Exhibits</w:t>
      </w:r>
    </w:p>
    <w:p>
      <w:pPr>
        <w:spacing w:after="0" w:line="304" w:lineRule="exact"/>
        <w:rPr>
          <w:sz w:val="20"/>
          <w:szCs w:val="20"/>
          <w:color w:val="auto"/>
        </w:rPr>
      </w:pPr>
    </w:p>
    <w:tbl>
      <w:tblPr>
        <w:tblLayout w:type="fixed"/>
        <w:tblInd w:w="500" w:type="dxa"/>
        <w:tblCellMar>
          <w:top w:w="0" w:type="dxa"/>
          <w:left w:w="0" w:type="dxa"/>
          <w:bottom w:w="0" w:type="dxa"/>
          <w:right w:w="0" w:type="dxa"/>
        </w:tblCellMar>
      </w:tblPr>
      <w:tr>
        <w:trPr>
          <w:trHeight w:val="219"/>
        </w:trPr>
        <w:tc>
          <w:tcPr>
            <w:tcW w:w="1360" w:type="dxa"/>
            <w:vAlign w:val="bottom"/>
            <w:tcBorders>
              <w:bottom w:val="single" w:sz="8" w:color="auto"/>
            </w:tcBorders>
          </w:tcPr>
          <w:p>
            <w:pPr>
              <w:jc w:val="center"/>
              <w:ind w:right="119"/>
              <w:spacing w:after="0"/>
              <w:rPr>
                <w:sz w:val="20"/>
                <w:szCs w:val="20"/>
                <w:color w:val="auto"/>
              </w:rPr>
            </w:pPr>
            <w:r>
              <w:rPr>
                <w:rFonts w:ascii="Arial" w:cs="Arial" w:eastAsia="Arial" w:hAnsi="Arial"/>
                <w:sz w:val="16"/>
                <w:szCs w:val="16"/>
                <w:b w:val="1"/>
                <w:bCs w:val="1"/>
                <w:color w:val="auto"/>
                <w:w w:val="95"/>
              </w:rPr>
              <w:t>Exhibit No.</w:t>
            </w:r>
          </w:p>
        </w:tc>
        <w:tc>
          <w:tcPr>
            <w:tcW w:w="1620" w:type="dxa"/>
            <w:vAlign w:val="bottom"/>
            <w:tcBorders>
              <w:bottom w:val="single" w:sz="8" w:color="auto"/>
            </w:tcBorders>
          </w:tcPr>
          <w:p>
            <w:pPr>
              <w:jc w:val="center"/>
              <w:spacing w:after="0"/>
              <w:rPr>
                <w:sz w:val="20"/>
                <w:szCs w:val="20"/>
                <w:color w:val="auto"/>
              </w:rPr>
            </w:pPr>
            <w:r>
              <w:rPr>
                <w:rFonts w:ascii="Arial" w:cs="Arial" w:eastAsia="Arial" w:hAnsi="Arial"/>
                <w:sz w:val="16"/>
                <w:szCs w:val="16"/>
                <w:b w:val="1"/>
                <w:bCs w:val="1"/>
                <w:color w:val="auto"/>
                <w:w w:val="91"/>
              </w:rPr>
              <w:t>Registrant(s)</w:t>
            </w:r>
          </w:p>
        </w:tc>
        <w:tc>
          <w:tcPr>
            <w:tcW w:w="7480" w:type="dxa"/>
            <w:vAlign w:val="bottom"/>
            <w:tcBorders>
              <w:bottom w:val="single" w:sz="8" w:color="auto"/>
            </w:tcBorders>
          </w:tcPr>
          <w:p>
            <w:pPr>
              <w:ind w:left="300"/>
              <w:spacing w:after="0"/>
              <w:rPr>
                <w:sz w:val="20"/>
                <w:szCs w:val="20"/>
                <w:color w:val="auto"/>
              </w:rPr>
            </w:pPr>
            <w:r>
              <w:rPr>
                <w:rFonts w:ascii="Arial" w:cs="Arial" w:eastAsia="Arial" w:hAnsi="Arial"/>
                <w:sz w:val="16"/>
                <w:szCs w:val="16"/>
                <w:b w:val="1"/>
                <w:bCs w:val="1"/>
                <w:color w:val="auto"/>
              </w:rPr>
              <w:t>Description</w:t>
            </w:r>
          </w:p>
        </w:tc>
      </w:tr>
      <w:tr>
        <w:trPr>
          <w:trHeight w:val="436"/>
        </w:trPr>
        <w:tc>
          <w:tcPr>
            <w:tcW w:w="1360" w:type="dxa"/>
            <w:vAlign w:val="bottom"/>
          </w:tcPr>
          <w:p>
            <w:pPr>
              <w:jc w:val="center"/>
              <w:ind w:right="119"/>
              <w:spacing w:after="0"/>
              <w:rPr>
                <w:sz w:val="20"/>
                <w:szCs w:val="20"/>
                <w:color w:val="auto"/>
              </w:rPr>
            </w:pPr>
            <w:r>
              <w:rPr>
                <w:rFonts w:ascii="Arial" w:cs="Arial" w:eastAsia="Arial" w:hAnsi="Arial"/>
                <w:sz w:val="16"/>
                <w:szCs w:val="16"/>
                <w:color w:val="auto"/>
                <w:w w:val="89"/>
              </w:rPr>
              <w:t>99.1</w:t>
            </w:r>
          </w:p>
        </w:tc>
        <w:tc>
          <w:tcPr>
            <w:tcW w:w="1620" w:type="dxa"/>
            <w:vAlign w:val="bottom"/>
          </w:tcPr>
          <w:p>
            <w:pPr>
              <w:jc w:val="center"/>
              <w:spacing w:after="0"/>
              <w:rPr>
                <w:sz w:val="20"/>
                <w:szCs w:val="20"/>
                <w:color w:val="auto"/>
              </w:rPr>
            </w:pPr>
            <w:r>
              <w:rPr>
                <w:rFonts w:ascii="Arial" w:cs="Arial" w:eastAsia="Arial" w:hAnsi="Arial"/>
                <w:sz w:val="16"/>
                <w:szCs w:val="16"/>
                <w:color w:val="auto"/>
                <w:w w:val="89"/>
              </w:rPr>
              <w:t>Pinnacle West</w:t>
            </w:r>
          </w:p>
        </w:tc>
        <w:tc>
          <w:tcPr>
            <w:tcW w:w="7480" w:type="dxa"/>
            <w:vAlign w:val="bottom"/>
          </w:tcPr>
          <w:p>
            <w:pPr>
              <w:ind w:left="300"/>
              <w:spacing w:after="0"/>
              <w:rPr>
                <w:sz w:val="20"/>
                <w:szCs w:val="20"/>
                <w:color w:val="auto"/>
              </w:rPr>
            </w:pPr>
            <w:r>
              <w:rPr>
                <w:rFonts w:ascii="Arial" w:cs="Arial" w:eastAsia="Arial" w:hAnsi="Arial"/>
                <w:sz w:val="16"/>
                <w:szCs w:val="16"/>
                <w:color w:val="auto"/>
              </w:rPr>
              <w:t>Earnings News Release issued on May 2, 2017.</w:t>
            </w:r>
          </w:p>
        </w:tc>
      </w:tr>
      <w:tr>
        <w:trPr>
          <w:trHeight w:val="206"/>
        </w:trPr>
        <w:tc>
          <w:tcPr>
            <w:tcW w:w="1360" w:type="dxa"/>
            <w:vAlign w:val="bottom"/>
          </w:tcPr>
          <w:p>
            <w:pPr>
              <w:spacing w:after="0"/>
              <w:rPr>
                <w:sz w:val="17"/>
                <w:szCs w:val="17"/>
                <w:color w:val="auto"/>
              </w:rPr>
            </w:pPr>
          </w:p>
        </w:tc>
        <w:tc>
          <w:tcPr>
            <w:tcW w:w="1620" w:type="dxa"/>
            <w:vAlign w:val="bottom"/>
          </w:tcPr>
          <w:p>
            <w:pPr>
              <w:jc w:val="center"/>
              <w:spacing w:after="0"/>
              <w:rPr>
                <w:sz w:val="20"/>
                <w:szCs w:val="20"/>
                <w:color w:val="auto"/>
              </w:rPr>
            </w:pPr>
            <w:r>
              <w:rPr>
                <w:rFonts w:ascii="Arial" w:cs="Arial" w:eastAsia="Arial" w:hAnsi="Arial"/>
                <w:sz w:val="16"/>
                <w:szCs w:val="16"/>
                <w:color w:val="auto"/>
                <w:w w:val="93"/>
              </w:rPr>
              <w:t>APS</w:t>
            </w:r>
          </w:p>
        </w:tc>
        <w:tc>
          <w:tcPr>
            <w:tcW w:w="7480" w:type="dxa"/>
            <w:vAlign w:val="bottom"/>
          </w:tcPr>
          <w:p>
            <w:pPr>
              <w:spacing w:after="0"/>
              <w:rPr>
                <w:sz w:val="17"/>
                <w:szCs w:val="17"/>
                <w:color w:val="auto"/>
              </w:rPr>
            </w:pPr>
          </w:p>
        </w:tc>
      </w:tr>
      <w:tr>
        <w:trPr>
          <w:trHeight w:val="454"/>
        </w:trPr>
        <w:tc>
          <w:tcPr>
            <w:tcW w:w="1360" w:type="dxa"/>
            <w:vAlign w:val="bottom"/>
          </w:tcPr>
          <w:p>
            <w:pPr>
              <w:jc w:val="center"/>
              <w:ind w:right="119"/>
              <w:spacing w:after="0"/>
              <w:rPr>
                <w:sz w:val="20"/>
                <w:szCs w:val="20"/>
                <w:color w:val="auto"/>
              </w:rPr>
            </w:pPr>
            <w:r>
              <w:rPr>
                <w:rFonts w:ascii="Arial" w:cs="Arial" w:eastAsia="Arial" w:hAnsi="Arial"/>
                <w:sz w:val="16"/>
                <w:szCs w:val="16"/>
                <w:color w:val="auto"/>
                <w:w w:val="89"/>
              </w:rPr>
              <w:t>99.2</w:t>
            </w:r>
          </w:p>
        </w:tc>
        <w:tc>
          <w:tcPr>
            <w:tcW w:w="1620" w:type="dxa"/>
            <w:vAlign w:val="bottom"/>
          </w:tcPr>
          <w:p>
            <w:pPr>
              <w:jc w:val="center"/>
              <w:spacing w:after="0"/>
              <w:rPr>
                <w:sz w:val="20"/>
                <w:szCs w:val="20"/>
                <w:color w:val="auto"/>
              </w:rPr>
            </w:pPr>
            <w:r>
              <w:rPr>
                <w:rFonts w:ascii="Arial" w:cs="Arial" w:eastAsia="Arial" w:hAnsi="Arial"/>
                <w:sz w:val="16"/>
                <w:szCs w:val="16"/>
                <w:color w:val="auto"/>
                <w:w w:val="89"/>
              </w:rPr>
              <w:t>Pinnacle West</w:t>
            </w:r>
          </w:p>
        </w:tc>
        <w:tc>
          <w:tcPr>
            <w:tcW w:w="7480" w:type="dxa"/>
            <w:vAlign w:val="bottom"/>
          </w:tcPr>
          <w:p>
            <w:pPr>
              <w:ind w:left="300"/>
              <w:spacing w:after="0"/>
              <w:rPr>
                <w:sz w:val="20"/>
                <w:szCs w:val="20"/>
                <w:color w:val="auto"/>
              </w:rPr>
            </w:pPr>
            <w:r>
              <w:rPr>
                <w:rFonts w:ascii="Arial" w:cs="Arial" w:eastAsia="Arial" w:hAnsi="Arial"/>
                <w:sz w:val="16"/>
                <w:szCs w:val="16"/>
                <w:color w:val="auto"/>
                <w:w w:val="93"/>
              </w:rPr>
              <w:t>Pinnacle West Capital Corporation First Quarter 2017 Results slide presentation accompanying May 2, 2017</w:t>
            </w:r>
          </w:p>
        </w:tc>
      </w:tr>
      <w:tr>
        <w:trPr>
          <w:trHeight w:val="206"/>
        </w:trPr>
        <w:tc>
          <w:tcPr>
            <w:tcW w:w="1360" w:type="dxa"/>
            <w:vAlign w:val="bottom"/>
          </w:tcPr>
          <w:p>
            <w:pPr>
              <w:spacing w:after="0"/>
              <w:rPr>
                <w:sz w:val="17"/>
                <w:szCs w:val="17"/>
                <w:color w:val="auto"/>
              </w:rPr>
            </w:pPr>
          </w:p>
        </w:tc>
        <w:tc>
          <w:tcPr>
            <w:tcW w:w="1620" w:type="dxa"/>
            <w:vAlign w:val="bottom"/>
          </w:tcPr>
          <w:p>
            <w:pPr>
              <w:jc w:val="center"/>
              <w:spacing w:after="0"/>
              <w:rPr>
                <w:sz w:val="20"/>
                <w:szCs w:val="20"/>
                <w:color w:val="auto"/>
              </w:rPr>
            </w:pPr>
            <w:r>
              <w:rPr>
                <w:rFonts w:ascii="Arial" w:cs="Arial" w:eastAsia="Arial" w:hAnsi="Arial"/>
                <w:sz w:val="16"/>
                <w:szCs w:val="16"/>
                <w:color w:val="auto"/>
                <w:w w:val="93"/>
              </w:rPr>
              <w:t>APS</w:t>
            </w:r>
          </w:p>
        </w:tc>
        <w:tc>
          <w:tcPr>
            <w:tcW w:w="7480" w:type="dxa"/>
            <w:vAlign w:val="bottom"/>
          </w:tcPr>
          <w:p>
            <w:pPr>
              <w:ind w:left="300"/>
              <w:spacing w:after="0"/>
              <w:rPr>
                <w:sz w:val="20"/>
                <w:szCs w:val="20"/>
                <w:color w:val="auto"/>
              </w:rPr>
            </w:pPr>
            <w:r>
              <w:rPr>
                <w:rFonts w:ascii="Arial" w:cs="Arial" w:eastAsia="Arial" w:hAnsi="Arial"/>
                <w:sz w:val="16"/>
                <w:szCs w:val="16"/>
                <w:color w:val="auto"/>
              </w:rPr>
              <w:t>conference call.</w:t>
            </w:r>
          </w:p>
        </w:tc>
      </w:tr>
    </w:tbl>
    <w:p>
      <w:pPr>
        <w:sectPr>
          <w:pgSz w:w="11900" w:h="16838" w:orient="portrait"/>
          <w:cols w:equalWidth="0" w:num="1">
            <w:col w:w="11440"/>
          </w:cols>
          <w:pgMar w:left="220" w:top="494" w:right="239" w:bottom="1440" w:gutter="0" w:footer="0" w:header="0"/>
        </w:sectPr>
      </w:pPr>
    </w:p>
    <w:bookmarkStart w:id="2" w:name="page3"/>
    <w:bookmarkEnd w:id="2"/>
    <w:p>
      <w:pPr>
        <w:jc w:val="center"/>
        <w:ind w:right="-19"/>
        <w:spacing w:after="0"/>
        <w:rPr>
          <w:sz w:val="20"/>
          <w:szCs w:val="20"/>
          <w:color w:val="auto"/>
        </w:rPr>
      </w:pPr>
      <w:r>
        <w:rPr>
          <w:rFonts w:ascii="Arial" w:cs="Arial" w:eastAsia="Arial" w:hAnsi="Arial"/>
          <w:sz w:val="18"/>
          <w:szCs w:val="18"/>
          <w:color w:val="auto"/>
        </w:rPr>
        <w:t>SIGNATURES</w:t>
      </w:r>
    </w:p>
    <w:p>
      <w:pPr>
        <w:spacing w:after="0" w:line="200" w:lineRule="exact"/>
        <w:rPr>
          <w:sz w:val="20"/>
          <w:szCs w:val="20"/>
          <w:color w:val="auto"/>
        </w:rPr>
      </w:pPr>
    </w:p>
    <w:p>
      <w:pPr>
        <w:spacing w:after="0" w:line="263" w:lineRule="exact"/>
        <w:rPr>
          <w:sz w:val="20"/>
          <w:szCs w:val="20"/>
          <w:color w:val="auto"/>
        </w:rPr>
      </w:pPr>
    </w:p>
    <w:p>
      <w:pPr>
        <w:ind w:firstLine="527"/>
        <w:spacing w:after="0" w:line="260" w:lineRule="auto"/>
        <w:rPr>
          <w:sz w:val="20"/>
          <w:szCs w:val="20"/>
          <w:color w:val="auto"/>
        </w:rPr>
      </w:pPr>
      <w:r>
        <w:rPr>
          <w:rFonts w:ascii="Arial" w:cs="Arial" w:eastAsia="Arial" w:hAnsi="Arial"/>
          <w:sz w:val="18"/>
          <w:szCs w:val="18"/>
          <w:color w:val="auto"/>
        </w:rPr>
        <w:t>Pursuant to the requirements of the Securities Exchange Act of 1934, each registrant has duly caused this report to be signed on its behalf by the undersigned hereunto duly authorized.</w:t>
      </w:r>
    </w:p>
    <w:p>
      <w:pPr>
        <w:spacing w:after="0" w:line="200" w:lineRule="exact"/>
        <w:rPr>
          <w:sz w:val="20"/>
          <w:szCs w:val="20"/>
          <w:color w:val="auto"/>
        </w:rPr>
      </w:pPr>
    </w:p>
    <w:p>
      <w:pPr>
        <w:spacing w:after="0" w:line="308" w:lineRule="exact"/>
        <w:rPr>
          <w:sz w:val="20"/>
          <w:szCs w:val="20"/>
          <w:color w:val="auto"/>
        </w:rPr>
      </w:pPr>
    </w:p>
    <w:tbl>
      <w:tblPr>
        <w:tblLayout w:type="fixed"/>
        <w:tblInd w:w="2240" w:type="dxa"/>
        <w:tblCellMar>
          <w:top w:w="0" w:type="dxa"/>
          <w:left w:w="0" w:type="dxa"/>
          <w:bottom w:w="0" w:type="dxa"/>
          <w:right w:w="0" w:type="dxa"/>
        </w:tblCellMar>
      </w:tblPr>
      <w:tr>
        <w:trPr>
          <w:trHeight w:val="223"/>
        </w:trPr>
        <w:tc>
          <w:tcPr>
            <w:tcW w:w="2700" w:type="dxa"/>
            <w:vAlign w:val="bottom"/>
          </w:tcPr>
          <w:p>
            <w:pPr>
              <w:spacing w:after="0"/>
              <w:rPr>
                <w:sz w:val="19"/>
                <w:szCs w:val="19"/>
                <w:color w:val="auto"/>
              </w:rPr>
            </w:pPr>
          </w:p>
        </w:tc>
        <w:tc>
          <w:tcPr>
            <w:tcW w:w="4320" w:type="dxa"/>
            <w:vAlign w:val="bottom"/>
          </w:tcPr>
          <w:p>
            <w:pPr>
              <w:ind w:left="20"/>
              <w:spacing w:after="0"/>
              <w:rPr>
                <w:sz w:val="20"/>
                <w:szCs w:val="20"/>
                <w:color w:val="auto"/>
              </w:rPr>
            </w:pPr>
            <w:r>
              <w:rPr>
                <w:rFonts w:ascii="Arial" w:cs="Arial" w:eastAsia="Arial" w:hAnsi="Arial"/>
                <w:sz w:val="18"/>
                <w:szCs w:val="18"/>
                <w:color w:val="auto"/>
              </w:rPr>
              <w:t>PINNACLE WEST CAPITAL CORPORATION</w:t>
            </w:r>
          </w:p>
        </w:tc>
      </w:tr>
      <w:tr>
        <w:trPr>
          <w:trHeight w:val="242"/>
        </w:trPr>
        <w:tc>
          <w:tcPr>
            <w:tcW w:w="2700" w:type="dxa"/>
            <w:vAlign w:val="bottom"/>
          </w:tcPr>
          <w:p>
            <w:pPr>
              <w:spacing w:after="0"/>
              <w:rPr>
                <w:sz w:val="21"/>
                <w:szCs w:val="21"/>
                <w:color w:val="auto"/>
              </w:rPr>
            </w:pPr>
          </w:p>
        </w:tc>
        <w:tc>
          <w:tcPr>
            <w:tcW w:w="4320" w:type="dxa"/>
            <w:vAlign w:val="bottom"/>
          </w:tcPr>
          <w:p>
            <w:pPr>
              <w:ind w:left="20"/>
              <w:spacing w:after="0"/>
              <w:rPr>
                <w:sz w:val="20"/>
                <w:szCs w:val="20"/>
                <w:color w:val="auto"/>
              </w:rPr>
            </w:pPr>
            <w:r>
              <w:rPr>
                <w:rFonts w:ascii="Arial" w:cs="Arial" w:eastAsia="Arial" w:hAnsi="Arial"/>
                <w:sz w:val="18"/>
                <w:szCs w:val="18"/>
                <w:color w:val="auto"/>
              </w:rPr>
              <w:t>(Registrant)</w:t>
            </w:r>
          </w:p>
        </w:tc>
      </w:tr>
      <w:tr>
        <w:trPr>
          <w:trHeight w:val="513"/>
        </w:trPr>
        <w:tc>
          <w:tcPr>
            <w:tcW w:w="2700" w:type="dxa"/>
            <w:vAlign w:val="bottom"/>
          </w:tcPr>
          <w:p>
            <w:pPr>
              <w:spacing w:after="0"/>
              <w:rPr>
                <w:sz w:val="20"/>
                <w:szCs w:val="20"/>
                <w:color w:val="auto"/>
              </w:rPr>
            </w:pPr>
            <w:r>
              <w:rPr>
                <w:rFonts w:ascii="Arial" w:cs="Arial" w:eastAsia="Arial" w:hAnsi="Arial"/>
                <w:sz w:val="18"/>
                <w:szCs w:val="18"/>
                <w:color w:val="auto"/>
              </w:rPr>
              <w:t>Dated: May 2, 2017</w:t>
            </w:r>
          </w:p>
        </w:tc>
        <w:tc>
          <w:tcPr>
            <w:tcW w:w="432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By: /s/ James R. Hatfield</w:t>
            </w:r>
          </w:p>
        </w:tc>
      </w:tr>
      <w:tr>
        <w:trPr>
          <w:trHeight w:val="226"/>
        </w:trPr>
        <w:tc>
          <w:tcPr>
            <w:tcW w:w="2700" w:type="dxa"/>
            <w:vAlign w:val="bottom"/>
          </w:tcPr>
          <w:p>
            <w:pPr>
              <w:spacing w:after="0"/>
              <w:rPr>
                <w:sz w:val="19"/>
                <w:szCs w:val="19"/>
                <w:color w:val="auto"/>
              </w:rPr>
            </w:pPr>
          </w:p>
        </w:tc>
        <w:tc>
          <w:tcPr>
            <w:tcW w:w="4320" w:type="dxa"/>
            <w:vAlign w:val="bottom"/>
          </w:tcPr>
          <w:p>
            <w:pPr>
              <w:ind w:left="20"/>
              <w:spacing w:after="0"/>
              <w:rPr>
                <w:sz w:val="20"/>
                <w:szCs w:val="20"/>
                <w:color w:val="auto"/>
              </w:rPr>
            </w:pPr>
            <w:r>
              <w:rPr>
                <w:rFonts w:ascii="Arial" w:cs="Arial" w:eastAsia="Arial" w:hAnsi="Arial"/>
                <w:sz w:val="18"/>
                <w:szCs w:val="18"/>
                <w:color w:val="auto"/>
              </w:rPr>
              <w:t>James R. Hatfield</w:t>
            </w:r>
          </w:p>
        </w:tc>
      </w:tr>
      <w:tr>
        <w:trPr>
          <w:trHeight w:val="242"/>
        </w:trPr>
        <w:tc>
          <w:tcPr>
            <w:tcW w:w="2700" w:type="dxa"/>
            <w:vAlign w:val="bottom"/>
          </w:tcPr>
          <w:p>
            <w:pPr>
              <w:spacing w:after="0"/>
              <w:rPr>
                <w:sz w:val="21"/>
                <w:szCs w:val="21"/>
                <w:color w:val="auto"/>
              </w:rPr>
            </w:pPr>
          </w:p>
        </w:tc>
        <w:tc>
          <w:tcPr>
            <w:tcW w:w="4320" w:type="dxa"/>
            <w:vAlign w:val="bottom"/>
          </w:tcPr>
          <w:p>
            <w:pPr>
              <w:ind w:left="20"/>
              <w:spacing w:after="0"/>
              <w:rPr>
                <w:sz w:val="20"/>
                <w:szCs w:val="20"/>
                <w:color w:val="auto"/>
              </w:rPr>
            </w:pPr>
            <w:r>
              <w:rPr>
                <w:rFonts w:ascii="Arial" w:cs="Arial" w:eastAsia="Arial" w:hAnsi="Arial"/>
                <w:sz w:val="18"/>
                <w:szCs w:val="18"/>
                <w:color w:val="auto"/>
              </w:rPr>
              <w:t>Executive Vice President and</w:t>
            </w:r>
          </w:p>
        </w:tc>
      </w:tr>
      <w:tr>
        <w:trPr>
          <w:trHeight w:val="242"/>
        </w:trPr>
        <w:tc>
          <w:tcPr>
            <w:tcW w:w="2700" w:type="dxa"/>
            <w:vAlign w:val="bottom"/>
          </w:tcPr>
          <w:p>
            <w:pPr>
              <w:spacing w:after="0"/>
              <w:rPr>
                <w:sz w:val="21"/>
                <w:szCs w:val="21"/>
                <w:color w:val="auto"/>
              </w:rPr>
            </w:pPr>
          </w:p>
        </w:tc>
        <w:tc>
          <w:tcPr>
            <w:tcW w:w="4320" w:type="dxa"/>
            <w:vAlign w:val="bottom"/>
          </w:tcPr>
          <w:p>
            <w:pPr>
              <w:ind w:left="20"/>
              <w:spacing w:after="0"/>
              <w:rPr>
                <w:sz w:val="20"/>
                <w:szCs w:val="20"/>
                <w:color w:val="auto"/>
              </w:rPr>
            </w:pPr>
            <w:r>
              <w:rPr>
                <w:rFonts w:ascii="Arial" w:cs="Arial" w:eastAsia="Arial" w:hAnsi="Arial"/>
                <w:sz w:val="18"/>
                <w:szCs w:val="18"/>
                <w:color w:val="auto"/>
              </w:rPr>
              <w:t>Chief Financial Officer</w:t>
            </w:r>
          </w:p>
        </w:tc>
      </w:tr>
      <w:tr>
        <w:trPr>
          <w:trHeight w:val="506"/>
        </w:trPr>
        <w:tc>
          <w:tcPr>
            <w:tcW w:w="2700" w:type="dxa"/>
            <w:vAlign w:val="bottom"/>
          </w:tcPr>
          <w:p>
            <w:pPr>
              <w:spacing w:after="0"/>
              <w:rPr>
                <w:sz w:val="24"/>
                <w:szCs w:val="24"/>
                <w:color w:val="auto"/>
              </w:rPr>
            </w:pPr>
          </w:p>
        </w:tc>
        <w:tc>
          <w:tcPr>
            <w:tcW w:w="4320" w:type="dxa"/>
            <w:vAlign w:val="bottom"/>
          </w:tcPr>
          <w:p>
            <w:pPr>
              <w:ind w:left="20"/>
              <w:spacing w:after="0"/>
              <w:rPr>
                <w:sz w:val="20"/>
                <w:szCs w:val="20"/>
                <w:color w:val="auto"/>
              </w:rPr>
            </w:pPr>
            <w:r>
              <w:rPr>
                <w:rFonts w:ascii="Arial" w:cs="Arial" w:eastAsia="Arial" w:hAnsi="Arial"/>
                <w:sz w:val="18"/>
                <w:szCs w:val="18"/>
                <w:color w:val="auto"/>
              </w:rPr>
              <w:t>ARIZONA PUBLIC SERVICE COMPANY</w:t>
            </w:r>
          </w:p>
        </w:tc>
      </w:tr>
      <w:tr>
        <w:trPr>
          <w:trHeight w:val="242"/>
        </w:trPr>
        <w:tc>
          <w:tcPr>
            <w:tcW w:w="2700" w:type="dxa"/>
            <w:vAlign w:val="bottom"/>
          </w:tcPr>
          <w:p>
            <w:pPr>
              <w:spacing w:after="0"/>
              <w:rPr>
                <w:sz w:val="21"/>
                <w:szCs w:val="21"/>
                <w:color w:val="auto"/>
              </w:rPr>
            </w:pPr>
          </w:p>
        </w:tc>
        <w:tc>
          <w:tcPr>
            <w:tcW w:w="4320" w:type="dxa"/>
            <w:vAlign w:val="bottom"/>
          </w:tcPr>
          <w:p>
            <w:pPr>
              <w:ind w:left="20"/>
              <w:spacing w:after="0"/>
              <w:rPr>
                <w:sz w:val="20"/>
                <w:szCs w:val="20"/>
                <w:color w:val="auto"/>
              </w:rPr>
            </w:pPr>
            <w:r>
              <w:rPr>
                <w:rFonts w:ascii="Arial" w:cs="Arial" w:eastAsia="Arial" w:hAnsi="Arial"/>
                <w:sz w:val="18"/>
                <w:szCs w:val="18"/>
                <w:color w:val="auto"/>
              </w:rPr>
              <w:t>(Registrant)</w:t>
            </w:r>
          </w:p>
        </w:tc>
      </w:tr>
      <w:tr>
        <w:trPr>
          <w:trHeight w:val="513"/>
        </w:trPr>
        <w:tc>
          <w:tcPr>
            <w:tcW w:w="2700" w:type="dxa"/>
            <w:vAlign w:val="bottom"/>
          </w:tcPr>
          <w:p>
            <w:pPr>
              <w:spacing w:after="0"/>
              <w:rPr>
                <w:sz w:val="20"/>
                <w:szCs w:val="20"/>
                <w:color w:val="auto"/>
              </w:rPr>
            </w:pPr>
            <w:r>
              <w:rPr>
                <w:rFonts w:ascii="Arial" w:cs="Arial" w:eastAsia="Arial" w:hAnsi="Arial"/>
                <w:sz w:val="18"/>
                <w:szCs w:val="18"/>
                <w:color w:val="auto"/>
              </w:rPr>
              <w:t>Dated: May 2, 2017</w:t>
            </w:r>
          </w:p>
        </w:tc>
        <w:tc>
          <w:tcPr>
            <w:tcW w:w="432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By: /s/ James R. Hatfield</w:t>
            </w:r>
          </w:p>
        </w:tc>
      </w:tr>
      <w:tr>
        <w:trPr>
          <w:trHeight w:val="226"/>
        </w:trPr>
        <w:tc>
          <w:tcPr>
            <w:tcW w:w="2700" w:type="dxa"/>
            <w:vAlign w:val="bottom"/>
          </w:tcPr>
          <w:p>
            <w:pPr>
              <w:spacing w:after="0"/>
              <w:rPr>
                <w:sz w:val="19"/>
                <w:szCs w:val="19"/>
                <w:color w:val="auto"/>
              </w:rPr>
            </w:pPr>
          </w:p>
        </w:tc>
        <w:tc>
          <w:tcPr>
            <w:tcW w:w="4320" w:type="dxa"/>
            <w:vAlign w:val="bottom"/>
          </w:tcPr>
          <w:p>
            <w:pPr>
              <w:ind w:left="20"/>
              <w:spacing w:after="0"/>
              <w:rPr>
                <w:sz w:val="20"/>
                <w:szCs w:val="20"/>
                <w:color w:val="auto"/>
              </w:rPr>
            </w:pPr>
            <w:r>
              <w:rPr>
                <w:rFonts w:ascii="Arial" w:cs="Arial" w:eastAsia="Arial" w:hAnsi="Arial"/>
                <w:sz w:val="18"/>
                <w:szCs w:val="18"/>
                <w:color w:val="auto"/>
              </w:rPr>
              <w:t>James R. Hatfield</w:t>
            </w:r>
          </w:p>
        </w:tc>
      </w:tr>
      <w:tr>
        <w:trPr>
          <w:trHeight w:val="242"/>
        </w:trPr>
        <w:tc>
          <w:tcPr>
            <w:tcW w:w="2700" w:type="dxa"/>
            <w:vAlign w:val="bottom"/>
          </w:tcPr>
          <w:p>
            <w:pPr>
              <w:spacing w:after="0"/>
              <w:rPr>
                <w:sz w:val="21"/>
                <w:szCs w:val="21"/>
                <w:color w:val="auto"/>
              </w:rPr>
            </w:pPr>
          </w:p>
        </w:tc>
        <w:tc>
          <w:tcPr>
            <w:tcW w:w="4320" w:type="dxa"/>
            <w:vAlign w:val="bottom"/>
          </w:tcPr>
          <w:p>
            <w:pPr>
              <w:ind w:left="20"/>
              <w:spacing w:after="0"/>
              <w:rPr>
                <w:sz w:val="20"/>
                <w:szCs w:val="20"/>
                <w:color w:val="auto"/>
              </w:rPr>
            </w:pPr>
            <w:r>
              <w:rPr>
                <w:rFonts w:ascii="Arial" w:cs="Arial" w:eastAsia="Arial" w:hAnsi="Arial"/>
                <w:sz w:val="18"/>
                <w:szCs w:val="18"/>
                <w:color w:val="auto"/>
              </w:rPr>
              <w:t>Executive Vice President and</w:t>
            </w:r>
          </w:p>
        </w:tc>
      </w:tr>
      <w:tr>
        <w:trPr>
          <w:trHeight w:val="242"/>
        </w:trPr>
        <w:tc>
          <w:tcPr>
            <w:tcW w:w="2700" w:type="dxa"/>
            <w:vAlign w:val="bottom"/>
          </w:tcPr>
          <w:p>
            <w:pPr>
              <w:spacing w:after="0"/>
              <w:rPr>
                <w:sz w:val="21"/>
                <w:szCs w:val="21"/>
                <w:color w:val="auto"/>
              </w:rPr>
            </w:pPr>
          </w:p>
        </w:tc>
        <w:tc>
          <w:tcPr>
            <w:tcW w:w="4320" w:type="dxa"/>
            <w:vAlign w:val="bottom"/>
          </w:tcPr>
          <w:p>
            <w:pPr>
              <w:ind w:left="20"/>
              <w:spacing w:after="0"/>
              <w:rPr>
                <w:sz w:val="20"/>
                <w:szCs w:val="20"/>
                <w:color w:val="auto"/>
              </w:rPr>
            </w:pPr>
            <w:r>
              <w:rPr>
                <w:rFonts w:ascii="Arial" w:cs="Arial" w:eastAsia="Arial" w:hAnsi="Arial"/>
                <w:sz w:val="18"/>
                <w:szCs w:val="18"/>
                <w:color w:val="auto"/>
              </w:rPr>
              <w:t>Chief Financial Officer</w:t>
            </w:r>
          </w:p>
        </w:tc>
      </w:tr>
    </w:tbl>
    <w:p>
      <w:pPr>
        <w:sectPr>
          <w:pgSz w:w="11900" w:h="16838" w:orient="portrait"/>
          <w:cols w:equalWidth="0" w:num="1">
            <w:col w:w="11460"/>
          </w:cols>
          <w:pgMar w:left="220" w:top="683" w:right="219" w:bottom="1440" w:gutter="0" w:footer="0" w:header="0"/>
        </w:sectPr>
      </w:pPr>
    </w:p>
    <w:bookmarkStart w:id="3" w:name="page4"/>
    <w:bookmarkEnd w:id="3"/>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210"/>
        </w:trPr>
        <w:tc>
          <w:tcPr>
            <w:tcW w:w="1400" w:type="dxa"/>
            <w:vAlign w:val="bottom"/>
          </w:tcPr>
          <w:p>
            <w:pPr>
              <w:spacing w:after="0"/>
              <w:rPr>
                <w:sz w:val="18"/>
                <w:szCs w:val="18"/>
                <w:color w:val="auto"/>
              </w:rPr>
            </w:pPr>
          </w:p>
        </w:tc>
        <w:tc>
          <w:tcPr>
            <w:tcW w:w="1640" w:type="dxa"/>
            <w:vAlign w:val="bottom"/>
          </w:tcPr>
          <w:p>
            <w:pPr>
              <w:spacing w:after="0"/>
              <w:rPr>
                <w:sz w:val="18"/>
                <w:szCs w:val="18"/>
                <w:color w:val="auto"/>
              </w:rPr>
            </w:pPr>
          </w:p>
        </w:tc>
        <w:tc>
          <w:tcPr>
            <w:tcW w:w="7680" w:type="dxa"/>
            <w:vAlign w:val="bottom"/>
          </w:tcPr>
          <w:p>
            <w:pPr>
              <w:ind w:left="2220"/>
              <w:spacing w:after="0"/>
              <w:rPr>
                <w:sz w:val="20"/>
                <w:szCs w:val="20"/>
                <w:color w:val="auto"/>
              </w:rPr>
            </w:pPr>
            <w:r>
              <w:rPr>
                <w:rFonts w:ascii="Arial" w:cs="Arial" w:eastAsia="Arial" w:hAnsi="Arial"/>
                <w:sz w:val="16"/>
                <w:szCs w:val="16"/>
                <w:b w:val="1"/>
                <w:bCs w:val="1"/>
                <w:color w:val="auto"/>
              </w:rPr>
              <w:t>Exhibit Index</w:t>
            </w:r>
          </w:p>
        </w:tc>
      </w:tr>
      <w:tr>
        <w:trPr>
          <w:trHeight w:val="701"/>
        </w:trPr>
        <w:tc>
          <w:tcPr>
            <w:tcW w:w="1400" w:type="dxa"/>
            <w:vAlign w:val="bottom"/>
            <w:tcBorders>
              <w:bottom w:val="single" w:sz="8" w:color="auto"/>
            </w:tcBorders>
          </w:tcPr>
          <w:p>
            <w:pPr>
              <w:jc w:val="center"/>
              <w:ind w:right="119"/>
              <w:spacing w:after="0"/>
              <w:rPr>
                <w:sz w:val="20"/>
                <w:szCs w:val="20"/>
                <w:color w:val="auto"/>
              </w:rPr>
            </w:pPr>
            <w:r>
              <w:rPr>
                <w:rFonts w:ascii="Arial" w:cs="Arial" w:eastAsia="Arial" w:hAnsi="Arial"/>
                <w:sz w:val="16"/>
                <w:szCs w:val="16"/>
                <w:b w:val="1"/>
                <w:bCs w:val="1"/>
                <w:color w:val="auto"/>
                <w:w w:val="95"/>
              </w:rPr>
              <w:t>Exhibit No.</w:t>
            </w:r>
          </w:p>
        </w:tc>
        <w:tc>
          <w:tcPr>
            <w:tcW w:w="1640" w:type="dxa"/>
            <w:vAlign w:val="bottom"/>
            <w:tcBorders>
              <w:bottom w:val="single" w:sz="8" w:color="auto"/>
            </w:tcBorders>
          </w:tcPr>
          <w:p>
            <w:pPr>
              <w:jc w:val="center"/>
              <w:spacing w:after="0"/>
              <w:rPr>
                <w:sz w:val="20"/>
                <w:szCs w:val="20"/>
                <w:color w:val="auto"/>
              </w:rPr>
            </w:pPr>
            <w:r>
              <w:rPr>
                <w:rFonts w:ascii="Arial" w:cs="Arial" w:eastAsia="Arial" w:hAnsi="Arial"/>
                <w:sz w:val="16"/>
                <w:szCs w:val="16"/>
                <w:b w:val="1"/>
                <w:bCs w:val="1"/>
                <w:color w:val="auto"/>
                <w:w w:val="89"/>
              </w:rPr>
              <w:t>Registrant(s)</w:t>
            </w:r>
          </w:p>
        </w:tc>
        <w:tc>
          <w:tcPr>
            <w:tcW w:w="7680" w:type="dxa"/>
            <w:vAlign w:val="bottom"/>
            <w:tcBorders>
              <w:bottom w:val="single" w:sz="8" w:color="auto"/>
            </w:tcBorders>
          </w:tcPr>
          <w:p>
            <w:pPr>
              <w:ind w:left="300"/>
              <w:spacing w:after="0"/>
              <w:rPr>
                <w:sz w:val="20"/>
                <w:szCs w:val="20"/>
                <w:color w:val="auto"/>
              </w:rPr>
            </w:pPr>
            <w:r>
              <w:rPr>
                <w:rFonts w:ascii="Arial" w:cs="Arial" w:eastAsia="Arial" w:hAnsi="Arial"/>
                <w:sz w:val="16"/>
                <w:szCs w:val="16"/>
                <w:b w:val="1"/>
                <w:bCs w:val="1"/>
                <w:color w:val="auto"/>
              </w:rPr>
              <w:t>Description</w:t>
            </w:r>
          </w:p>
        </w:tc>
      </w:tr>
      <w:tr>
        <w:trPr>
          <w:trHeight w:val="436"/>
        </w:trPr>
        <w:tc>
          <w:tcPr>
            <w:tcW w:w="1400" w:type="dxa"/>
            <w:vAlign w:val="bottom"/>
          </w:tcPr>
          <w:p>
            <w:pPr>
              <w:jc w:val="center"/>
              <w:ind w:right="119"/>
              <w:spacing w:after="0"/>
              <w:rPr>
                <w:sz w:val="20"/>
                <w:szCs w:val="20"/>
                <w:color w:val="auto"/>
              </w:rPr>
            </w:pPr>
            <w:r>
              <w:rPr>
                <w:rFonts w:ascii="Arial" w:cs="Arial" w:eastAsia="Arial" w:hAnsi="Arial"/>
                <w:sz w:val="16"/>
                <w:szCs w:val="16"/>
                <w:color w:val="auto"/>
                <w:w w:val="89"/>
              </w:rPr>
              <w:t>99.1</w:t>
            </w:r>
          </w:p>
        </w:tc>
        <w:tc>
          <w:tcPr>
            <w:tcW w:w="1640" w:type="dxa"/>
            <w:vAlign w:val="bottom"/>
          </w:tcPr>
          <w:p>
            <w:pPr>
              <w:jc w:val="center"/>
              <w:spacing w:after="0"/>
              <w:rPr>
                <w:sz w:val="20"/>
                <w:szCs w:val="20"/>
                <w:color w:val="auto"/>
              </w:rPr>
            </w:pPr>
            <w:r>
              <w:rPr>
                <w:rFonts w:ascii="Arial" w:cs="Arial" w:eastAsia="Arial" w:hAnsi="Arial"/>
                <w:sz w:val="16"/>
                <w:szCs w:val="16"/>
                <w:color w:val="auto"/>
                <w:w w:val="89"/>
              </w:rPr>
              <w:t>Pinnacle West</w:t>
            </w:r>
          </w:p>
        </w:tc>
        <w:tc>
          <w:tcPr>
            <w:tcW w:w="7680" w:type="dxa"/>
            <w:vAlign w:val="bottom"/>
          </w:tcPr>
          <w:p>
            <w:pPr>
              <w:ind w:left="300"/>
              <w:spacing w:after="0"/>
              <w:rPr>
                <w:sz w:val="20"/>
                <w:szCs w:val="20"/>
                <w:color w:val="auto"/>
              </w:rPr>
            </w:pPr>
            <w:r>
              <w:rPr>
                <w:rFonts w:ascii="Arial" w:cs="Arial" w:eastAsia="Arial" w:hAnsi="Arial"/>
                <w:sz w:val="16"/>
                <w:szCs w:val="16"/>
                <w:color w:val="auto"/>
              </w:rPr>
              <w:t>Earnings News Release issued on May 2, 2017.</w:t>
            </w:r>
          </w:p>
        </w:tc>
      </w:tr>
      <w:tr>
        <w:trPr>
          <w:trHeight w:val="206"/>
        </w:trPr>
        <w:tc>
          <w:tcPr>
            <w:tcW w:w="1400" w:type="dxa"/>
            <w:vAlign w:val="bottom"/>
          </w:tcPr>
          <w:p>
            <w:pPr>
              <w:spacing w:after="0"/>
              <w:rPr>
                <w:sz w:val="17"/>
                <w:szCs w:val="17"/>
                <w:color w:val="auto"/>
              </w:rPr>
            </w:pPr>
          </w:p>
        </w:tc>
        <w:tc>
          <w:tcPr>
            <w:tcW w:w="1640" w:type="dxa"/>
            <w:vAlign w:val="bottom"/>
          </w:tcPr>
          <w:p>
            <w:pPr>
              <w:jc w:val="center"/>
              <w:spacing w:after="0"/>
              <w:rPr>
                <w:sz w:val="20"/>
                <w:szCs w:val="20"/>
                <w:color w:val="auto"/>
              </w:rPr>
            </w:pPr>
            <w:r>
              <w:rPr>
                <w:rFonts w:ascii="Arial" w:cs="Arial" w:eastAsia="Arial" w:hAnsi="Arial"/>
                <w:sz w:val="16"/>
                <w:szCs w:val="16"/>
                <w:color w:val="auto"/>
                <w:w w:val="87"/>
              </w:rPr>
              <w:t>APS</w:t>
            </w:r>
          </w:p>
        </w:tc>
        <w:tc>
          <w:tcPr>
            <w:tcW w:w="7680" w:type="dxa"/>
            <w:vAlign w:val="bottom"/>
          </w:tcPr>
          <w:p>
            <w:pPr>
              <w:spacing w:after="0"/>
              <w:rPr>
                <w:sz w:val="17"/>
                <w:szCs w:val="17"/>
                <w:color w:val="auto"/>
              </w:rPr>
            </w:pPr>
          </w:p>
        </w:tc>
      </w:tr>
      <w:tr>
        <w:trPr>
          <w:trHeight w:val="454"/>
        </w:trPr>
        <w:tc>
          <w:tcPr>
            <w:tcW w:w="1400" w:type="dxa"/>
            <w:vAlign w:val="bottom"/>
          </w:tcPr>
          <w:p>
            <w:pPr>
              <w:jc w:val="center"/>
              <w:ind w:right="119"/>
              <w:spacing w:after="0"/>
              <w:rPr>
                <w:sz w:val="20"/>
                <w:szCs w:val="20"/>
                <w:color w:val="auto"/>
              </w:rPr>
            </w:pPr>
            <w:r>
              <w:rPr>
                <w:rFonts w:ascii="Arial" w:cs="Arial" w:eastAsia="Arial" w:hAnsi="Arial"/>
                <w:sz w:val="16"/>
                <w:szCs w:val="16"/>
                <w:color w:val="auto"/>
                <w:w w:val="89"/>
              </w:rPr>
              <w:t>99.2</w:t>
            </w:r>
          </w:p>
        </w:tc>
        <w:tc>
          <w:tcPr>
            <w:tcW w:w="1640" w:type="dxa"/>
            <w:vAlign w:val="bottom"/>
          </w:tcPr>
          <w:p>
            <w:pPr>
              <w:jc w:val="center"/>
              <w:spacing w:after="0"/>
              <w:rPr>
                <w:sz w:val="20"/>
                <w:szCs w:val="20"/>
                <w:color w:val="auto"/>
              </w:rPr>
            </w:pPr>
            <w:r>
              <w:rPr>
                <w:rFonts w:ascii="Arial" w:cs="Arial" w:eastAsia="Arial" w:hAnsi="Arial"/>
                <w:sz w:val="16"/>
                <w:szCs w:val="16"/>
                <w:color w:val="auto"/>
                <w:w w:val="89"/>
              </w:rPr>
              <w:t>Pinnacle West</w:t>
            </w:r>
          </w:p>
        </w:tc>
        <w:tc>
          <w:tcPr>
            <w:tcW w:w="7680" w:type="dxa"/>
            <w:vAlign w:val="bottom"/>
          </w:tcPr>
          <w:p>
            <w:pPr>
              <w:ind w:left="300"/>
              <w:spacing w:after="0"/>
              <w:rPr>
                <w:sz w:val="20"/>
                <w:szCs w:val="20"/>
                <w:color w:val="auto"/>
              </w:rPr>
            </w:pPr>
            <w:r>
              <w:rPr>
                <w:rFonts w:ascii="Arial" w:cs="Arial" w:eastAsia="Arial" w:hAnsi="Arial"/>
                <w:sz w:val="16"/>
                <w:szCs w:val="16"/>
                <w:color w:val="auto"/>
                <w:w w:val="96"/>
              </w:rPr>
              <w:t>Pinnacle West Capital Corporation First Quarter 2017 Results slide presentation accompanying May 2, 2017</w:t>
            </w:r>
          </w:p>
        </w:tc>
      </w:tr>
      <w:tr>
        <w:trPr>
          <w:trHeight w:val="206"/>
        </w:trPr>
        <w:tc>
          <w:tcPr>
            <w:tcW w:w="1400" w:type="dxa"/>
            <w:vAlign w:val="bottom"/>
          </w:tcPr>
          <w:p>
            <w:pPr>
              <w:spacing w:after="0"/>
              <w:rPr>
                <w:sz w:val="17"/>
                <w:szCs w:val="17"/>
                <w:color w:val="auto"/>
              </w:rPr>
            </w:pPr>
          </w:p>
        </w:tc>
        <w:tc>
          <w:tcPr>
            <w:tcW w:w="1640" w:type="dxa"/>
            <w:vAlign w:val="bottom"/>
          </w:tcPr>
          <w:p>
            <w:pPr>
              <w:jc w:val="center"/>
              <w:spacing w:after="0"/>
              <w:rPr>
                <w:sz w:val="20"/>
                <w:szCs w:val="20"/>
                <w:color w:val="auto"/>
              </w:rPr>
            </w:pPr>
            <w:r>
              <w:rPr>
                <w:rFonts w:ascii="Arial" w:cs="Arial" w:eastAsia="Arial" w:hAnsi="Arial"/>
                <w:sz w:val="16"/>
                <w:szCs w:val="16"/>
                <w:color w:val="auto"/>
                <w:w w:val="87"/>
              </w:rPr>
              <w:t>APS</w:t>
            </w:r>
          </w:p>
        </w:tc>
        <w:tc>
          <w:tcPr>
            <w:tcW w:w="7680" w:type="dxa"/>
            <w:vAlign w:val="bottom"/>
          </w:tcPr>
          <w:p>
            <w:pPr>
              <w:ind w:left="300"/>
              <w:spacing w:after="0"/>
              <w:rPr>
                <w:sz w:val="20"/>
                <w:szCs w:val="20"/>
                <w:color w:val="auto"/>
              </w:rPr>
            </w:pPr>
            <w:r>
              <w:rPr>
                <w:rFonts w:ascii="Arial" w:cs="Arial" w:eastAsia="Arial" w:hAnsi="Arial"/>
                <w:sz w:val="16"/>
                <w:szCs w:val="16"/>
                <w:color w:val="auto"/>
              </w:rPr>
              <w:t>conference call.</w:t>
            </w:r>
          </w:p>
        </w:tc>
      </w:tr>
    </w:tbl>
    <w:p>
      <w:pPr>
        <w:sectPr>
          <w:pgSz w:w="11900" w:h="16838" w:orient="portrait"/>
          <w:cols w:equalWidth="0" w:num="1">
            <w:col w:w="10720"/>
          </w:cols>
          <w:pgMar w:left="220" w:top="703" w:right="959" w:bottom="1440" w:gutter="0" w:footer="0" w:header="0"/>
        </w:sectPr>
      </w:pPr>
    </w:p>
    <w:bookmarkStart w:id="4" w:name="page5"/>
    <w:bookmarkEnd w:id="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347345</wp:posOffset>
            </wp:positionV>
            <wp:extent cx="4271010" cy="7886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4271010" cy="788670"/>
                    </a:xfrm>
                    <a:prstGeom prst="rect">
                      <a:avLst/>
                    </a:prstGeom>
                    <a:noFill/>
                  </pic:spPr>
                </pic:pic>
              </a:graphicData>
            </a:graphic>
          </wp:anchor>
        </w:drawing>
      </w:r>
    </w:p>
    <w:p>
      <w:pPr>
        <w:spacing w:after="0" w:line="258" w:lineRule="exact"/>
        <w:rPr>
          <w:sz w:val="20"/>
          <w:szCs w:val="20"/>
          <w:color w:val="auto"/>
        </w:rPr>
      </w:pPr>
    </w:p>
    <w:p>
      <w:pPr>
        <w:ind w:left="40"/>
        <w:spacing w:after="0"/>
        <w:rPr>
          <w:sz w:val="20"/>
          <w:szCs w:val="20"/>
          <w:color w:val="auto"/>
        </w:rPr>
      </w:pPr>
      <w:r>
        <w:rPr>
          <w:rFonts w:ascii="Arial" w:cs="Arial" w:eastAsia="Arial" w:hAnsi="Arial"/>
          <w:sz w:val="16"/>
          <w:szCs w:val="16"/>
          <w:b w:val="1"/>
          <w:bCs w:val="1"/>
          <w:color w:val="auto"/>
        </w:rPr>
        <w:t>FOR IMMEDIATE RELEASE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44" w:lineRule="exact"/>
        <w:rPr>
          <w:sz w:val="20"/>
          <w:szCs w:val="20"/>
          <w:color w:val="auto"/>
        </w:rPr>
      </w:pPr>
    </w:p>
    <w:p>
      <w:pPr>
        <w:spacing w:after="0"/>
        <w:rPr>
          <w:sz w:val="20"/>
          <w:szCs w:val="20"/>
          <w:color w:val="auto"/>
        </w:rPr>
      </w:pPr>
      <w:r>
        <w:rPr>
          <w:rFonts w:ascii="Arial" w:cs="Arial" w:eastAsia="Arial" w:hAnsi="Arial"/>
          <w:sz w:val="16"/>
          <w:szCs w:val="16"/>
          <w:color w:val="auto"/>
        </w:rPr>
        <w:t>May 2, 2017</w:t>
      </w:r>
    </w:p>
    <w:p>
      <w:pPr>
        <w:spacing w:after="0" w:line="58" w:lineRule="exact"/>
        <w:rPr>
          <w:sz w:val="20"/>
          <w:szCs w:val="20"/>
          <w:color w:val="auto"/>
        </w:rPr>
      </w:pPr>
    </w:p>
    <w:p>
      <w:pPr>
        <w:sectPr>
          <w:pgSz w:w="11900" w:h="16838" w:orient="portrait"/>
          <w:cols w:equalWidth="0" w:num="2">
            <w:col w:w="9820" w:space="720"/>
            <w:col w:w="900"/>
          </w:cols>
          <w:pgMar w:left="220" w:top="1440" w:right="239" w:bottom="1440" w:gutter="0" w:footer="0" w:header="0"/>
        </w:sectPr>
      </w:pPr>
    </w:p>
    <w:p>
      <w:pPr>
        <w:ind w:left="40"/>
        <w:spacing w:after="0"/>
        <w:rPr>
          <w:sz w:val="20"/>
          <w:szCs w:val="20"/>
          <w:color w:val="auto"/>
        </w:rPr>
      </w:pPr>
      <w:r>
        <w:rPr>
          <w:rFonts w:ascii="Arial" w:cs="Arial" w:eastAsia="Arial" w:hAnsi="Arial"/>
          <w:sz w:val="16"/>
          <w:szCs w:val="16"/>
          <w:color w:val="auto"/>
        </w:rPr>
        <w:t>Media Contact:</w:t>
      </w:r>
    </w:p>
    <w:p>
      <w:pPr>
        <w:spacing w:after="0" w:line="28" w:lineRule="exact"/>
        <w:rPr>
          <w:sz w:val="20"/>
          <w:szCs w:val="20"/>
          <w:color w:val="auto"/>
        </w:rPr>
      </w:pPr>
    </w:p>
    <w:p>
      <w:pPr>
        <w:ind w:left="40"/>
        <w:spacing w:after="0"/>
        <w:rPr>
          <w:sz w:val="20"/>
          <w:szCs w:val="20"/>
          <w:color w:val="auto"/>
        </w:rPr>
      </w:pPr>
      <w:r>
        <w:rPr>
          <w:rFonts w:ascii="Arial" w:cs="Arial" w:eastAsia="Arial" w:hAnsi="Arial"/>
          <w:sz w:val="16"/>
          <w:szCs w:val="16"/>
          <w:color w:val="auto"/>
        </w:rPr>
        <w:t>Analyst Contact:</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8"/>
          <w:szCs w:val="18"/>
          <w:color w:val="auto"/>
        </w:rPr>
        <w:t>Alan Bunnell, (602) 250-3376</w:t>
      </w:r>
    </w:p>
    <w:p>
      <w:pPr>
        <w:spacing w:after="0" w:line="235" w:lineRule="auto"/>
        <w:rPr>
          <w:sz w:val="20"/>
          <w:szCs w:val="20"/>
          <w:color w:val="auto"/>
        </w:rPr>
      </w:pPr>
      <w:r>
        <w:rPr>
          <w:rFonts w:ascii="Arial" w:cs="Arial" w:eastAsia="Arial" w:hAnsi="Arial"/>
          <w:sz w:val="18"/>
          <w:szCs w:val="18"/>
          <w:color w:val="auto"/>
        </w:rPr>
        <w:t>Ted Geisler, (602) 250-3200</w:t>
      </w:r>
    </w:p>
    <w:p>
      <w:pPr>
        <w:spacing w:after="0"/>
        <w:rPr>
          <w:sz w:val="20"/>
          <w:szCs w:val="20"/>
          <w:color w:val="auto"/>
        </w:rPr>
      </w:pPr>
      <w:r>
        <w:rPr>
          <w:rFonts w:ascii="Arial" w:cs="Arial" w:eastAsia="Arial" w:hAnsi="Arial"/>
          <w:sz w:val="15"/>
          <w:szCs w:val="15"/>
          <w:color w:val="auto"/>
        </w:rPr>
        <w:t>Chalese Haraldsen, (602) 250-5643</w:t>
      </w:r>
    </w:p>
    <w:p>
      <w:pPr>
        <w:spacing w:after="0" w:line="55" w:lineRule="exact"/>
        <w:rPr>
          <w:sz w:val="20"/>
          <w:szCs w:val="20"/>
          <w:color w:val="auto"/>
        </w:rPr>
      </w:pPr>
    </w:p>
    <w:p>
      <w:pPr>
        <w:sectPr>
          <w:pgSz w:w="11900" w:h="16838" w:orient="portrait"/>
          <w:cols w:equalWidth="0" w:num="2">
            <w:col w:w="1960" w:space="720"/>
            <w:col w:w="8760"/>
          </w:cols>
          <w:pgMar w:left="220" w:top="1440" w:right="239" w:bottom="1440" w:gutter="0" w:footer="0" w:header="0"/>
          <w:type w:val="continuous"/>
        </w:sectPr>
      </w:pPr>
    </w:p>
    <w:p>
      <w:pPr>
        <w:ind w:left="40"/>
        <w:spacing w:after="0"/>
        <w:rPr>
          <w:sz w:val="20"/>
          <w:szCs w:val="20"/>
          <w:color w:val="auto"/>
        </w:rPr>
      </w:pPr>
      <w:r>
        <w:rPr>
          <w:rFonts w:ascii="Arial" w:cs="Arial" w:eastAsia="Arial" w:hAnsi="Arial"/>
          <w:sz w:val="15"/>
          <w:szCs w:val="15"/>
          <w:color w:val="auto"/>
        </w:rPr>
        <w:t>Website:</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5"/>
          <w:szCs w:val="15"/>
          <w:color w:val="2C2C2C"/>
        </w:rPr>
        <w:t>pinnaclewest.com</w:t>
      </w:r>
    </w:p>
    <w:p>
      <w:pPr>
        <w:spacing w:after="0" w:line="200" w:lineRule="exact"/>
        <w:rPr>
          <w:sz w:val="20"/>
          <w:szCs w:val="20"/>
          <w:color w:val="auto"/>
        </w:rPr>
      </w:pPr>
    </w:p>
    <w:p>
      <w:pPr>
        <w:sectPr>
          <w:pgSz w:w="11900" w:h="16838" w:orient="portrait"/>
          <w:cols w:equalWidth="0" w:num="2">
            <w:col w:w="1960" w:space="720"/>
            <w:col w:w="8760"/>
          </w:cols>
          <w:pgMar w:left="220" w:top="1440" w:right="239" w:bottom="1440" w:gutter="0" w:footer="0" w:header="0"/>
          <w:type w:val="continuous"/>
        </w:sectPr>
      </w:pPr>
    </w:p>
    <w:p>
      <w:pPr>
        <w:spacing w:after="0" w:line="28" w:lineRule="exact"/>
        <w:rPr>
          <w:sz w:val="20"/>
          <w:szCs w:val="20"/>
          <w:color w:val="auto"/>
        </w:rPr>
      </w:pPr>
    </w:p>
    <w:p>
      <w:pPr>
        <w:jc w:val="center"/>
        <w:ind w:right="-19"/>
        <w:spacing w:after="0"/>
        <w:rPr>
          <w:sz w:val="20"/>
          <w:szCs w:val="20"/>
          <w:color w:val="auto"/>
        </w:rPr>
      </w:pPr>
      <w:r>
        <w:rPr>
          <w:rFonts w:ascii="Arial" w:cs="Arial" w:eastAsia="Arial" w:hAnsi="Arial"/>
          <w:sz w:val="16"/>
          <w:szCs w:val="16"/>
          <w:b w:val="1"/>
          <w:bCs w:val="1"/>
          <w:color w:val="auto"/>
        </w:rPr>
        <w:t>PINNACLE WEST REPORTS 2017 FIRST-QUARTER EARNINGS</w:t>
      </w:r>
    </w:p>
    <w:p>
      <w:pPr>
        <w:sectPr>
          <w:pgSz w:w="11900" w:h="16838" w:orient="portrait"/>
          <w:cols w:equalWidth="0" w:num="1">
            <w:col w:w="11440"/>
          </w:cols>
          <w:pgMar w:left="220" w:top="1440" w:right="239" w:bottom="1440" w:gutter="0" w:footer="0" w:header="0"/>
          <w:type w:val="continuous"/>
        </w:sectPr>
      </w:pPr>
    </w:p>
    <w:p>
      <w:pPr>
        <w:spacing w:after="0" w:line="207" w:lineRule="exact"/>
        <w:rPr>
          <w:sz w:val="20"/>
          <w:szCs w:val="20"/>
          <w:color w:val="auto"/>
        </w:rPr>
      </w:pPr>
    </w:p>
    <w:p>
      <w:pPr>
        <w:ind w:left="1320" w:hanging="257"/>
        <w:spacing w:after="0"/>
        <w:tabs>
          <w:tab w:leader="none" w:pos="1320" w:val="left"/>
        </w:tabs>
        <w:numPr>
          <w:ilvl w:val="0"/>
          <w:numId w:val="2"/>
        </w:numPr>
        <w:rPr>
          <w:rFonts w:ascii="Arial" w:cs="Arial" w:eastAsia="Arial" w:hAnsi="Arial"/>
          <w:sz w:val="15"/>
          <w:szCs w:val="15"/>
          <w:color w:val="auto"/>
        </w:rPr>
      </w:pPr>
      <w:r>
        <w:rPr>
          <w:rFonts w:ascii="Arial" w:cs="Arial" w:eastAsia="Arial" w:hAnsi="Arial"/>
          <w:sz w:val="18"/>
          <w:szCs w:val="18"/>
          <w:i w:val="1"/>
          <w:iCs w:val="1"/>
          <w:color w:val="auto"/>
        </w:rPr>
        <w:t>Quarterly results in line with the company’s expectations</w:t>
      </w:r>
    </w:p>
    <w:p>
      <w:pPr>
        <w:spacing w:after="0" w:line="89" w:lineRule="exact"/>
        <w:rPr>
          <w:rFonts w:ascii="Arial" w:cs="Arial" w:eastAsia="Arial" w:hAnsi="Arial"/>
          <w:sz w:val="15"/>
          <w:szCs w:val="15"/>
          <w:color w:val="auto"/>
        </w:rPr>
      </w:pPr>
    </w:p>
    <w:p>
      <w:pPr>
        <w:ind w:left="1320" w:hanging="257"/>
        <w:spacing w:after="0"/>
        <w:tabs>
          <w:tab w:leader="none" w:pos="1320" w:val="left"/>
        </w:tabs>
        <w:numPr>
          <w:ilvl w:val="0"/>
          <w:numId w:val="2"/>
        </w:numPr>
        <w:rPr>
          <w:rFonts w:ascii="Arial" w:cs="Arial" w:eastAsia="Arial" w:hAnsi="Arial"/>
          <w:sz w:val="15"/>
          <w:szCs w:val="15"/>
          <w:color w:val="auto"/>
        </w:rPr>
      </w:pPr>
      <w:r>
        <w:rPr>
          <w:rFonts w:ascii="Arial" w:cs="Arial" w:eastAsia="Arial" w:hAnsi="Arial"/>
          <w:sz w:val="18"/>
          <w:szCs w:val="18"/>
          <w:i w:val="1"/>
          <w:iCs w:val="1"/>
          <w:color w:val="auto"/>
        </w:rPr>
        <w:t xml:space="preserve">Operations and maintenance expenses lower versus a year ago due to fewer </w:t>
      </w:r>
      <w:r>
        <w:rPr>
          <w:rFonts w:ascii="Arial" w:cs="Arial" w:eastAsia="Arial" w:hAnsi="Arial"/>
          <w:sz w:val="16"/>
          <w:szCs w:val="16"/>
          <w:i w:val="1"/>
          <w:iCs w:val="1"/>
          <w:color w:val="auto"/>
        </w:rPr>
        <w:t>planned fossil plant outages</w:t>
      </w:r>
    </w:p>
    <w:p>
      <w:pPr>
        <w:spacing w:after="0" w:line="100" w:lineRule="exact"/>
        <w:rPr>
          <w:rFonts w:ascii="Arial" w:cs="Arial" w:eastAsia="Arial" w:hAnsi="Arial"/>
          <w:sz w:val="15"/>
          <w:szCs w:val="15"/>
          <w:color w:val="auto"/>
        </w:rPr>
      </w:pPr>
    </w:p>
    <w:p>
      <w:pPr>
        <w:ind w:left="1320" w:hanging="257"/>
        <w:spacing w:after="0"/>
        <w:tabs>
          <w:tab w:leader="none" w:pos="1320" w:val="left"/>
        </w:tabs>
        <w:numPr>
          <w:ilvl w:val="0"/>
          <w:numId w:val="2"/>
        </w:numPr>
        <w:rPr>
          <w:rFonts w:ascii="Arial" w:cs="Arial" w:eastAsia="Arial" w:hAnsi="Arial"/>
          <w:sz w:val="15"/>
          <w:szCs w:val="15"/>
          <w:color w:val="auto"/>
        </w:rPr>
      </w:pPr>
      <w:r>
        <w:rPr>
          <w:rFonts w:ascii="Arial" w:cs="Arial" w:eastAsia="Arial" w:hAnsi="Arial"/>
          <w:sz w:val="18"/>
          <w:szCs w:val="18"/>
          <w:i w:val="1"/>
          <w:iCs w:val="1"/>
          <w:color w:val="auto"/>
        </w:rPr>
        <w:t>Customer growth continues as Arizona’s economy continues post-recession improvement</w:t>
      </w:r>
    </w:p>
    <w:p>
      <w:pPr>
        <w:spacing w:after="0" w:line="257" w:lineRule="exact"/>
        <w:rPr>
          <w:sz w:val="20"/>
          <w:szCs w:val="20"/>
          <w:color w:val="auto"/>
        </w:rPr>
      </w:pPr>
    </w:p>
    <w:p>
      <w:pPr>
        <w:ind w:right="340"/>
        <w:spacing w:after="0" w:line="305" w:lineRule="auto"/>
        <w:rPr>
          <w:sz w:val="20"/>
          <w:szCs w:val="20"/>
          <w:color w:val="auto"/>
        </w:rPr>
      </w:pPr>
      <w:r>
        <w:rPr>
          <w:rFonts w:ascii="Arial" w:cs="Arial" w:eastAsia="Arial" w:hAnsi="Arial"/>
          <w:sz w:val="15"/>
          <w:szCs w:val="15"/>
          <w:color w:val="auto"/>
        </w:rPr>
        <w:t>PHOENIX - Pinnacle West Capital Corp. (NYSE: PNW) today reported consolidated net income attributable to common shareholders of $23.3 million, or $0.21 per diluted share of common stock, for the quarter ended March 31, 2017. This result compares with $4.5 million, or $0.04 per diluted share, for the same period in 2016.</w:t>
      </w:r>
    </w:p>
    <w:p>
      <w:pPr>
        <w:spacing w:after="0" w:line="111" w:lineRule="exact"/>
        <w:rPr>
          <w:sz w:val="20"/>
          <w:szCs w:val="20"/>
          <w:color w:val="auto"/>
        </w:rPr>
      </w:pPr>
    </w:p>
    <w:p>
      <w:pPr>
        <w:ind w:right="140"/>
        <w:spacing w:after="0" w:line="311" w:lineRule="auto"/>
        <w:rPr>
          <w:sz w:val="20"/>
          <w:szCs w:val="20"/>
          <w:color w:val="auto"/>
        </w:rPr>
      </w:pPr>
      <w:r>
        <w:rPr>
          <w:rFonts w:ascii="Arial" w:cs="Arial" w:eastAsia="Arial" w:hAnsi="Arial"/>
          <w:sz w:val="14"/>
          <w:szCs w:val="14"/>
          <w:color w:val="auto"/>
        </w:rPr>
        <w:t>“The first quarter proved to be a strong start to our year and continued to build on the momentum of a growing customer base,” said Pinnacle West Chairman, President and Chief Executive Officer Don Brandt. “According to the U.S. Census Bureau, Maricopa County - home to 70 percent of our customers - was the nation’s fastest growing county in 2016. With Arizona’s population expected to grow 21 percent through 2025, it’s clear that people view Arizona as an attractive place to live and do business.</w:t>
      </w:r>
    </w:p>
    <w:p>
      <w:pPr>
        <w:spacing w:after="0" w:line="111" w:lineRule="exact"/>
        <w:rPr>
          <w:sz w:val="20"/>
          <w:szCs w:val="20"/>
          <w:color w:val="auto"/>
        </w:rPr>
      </w:pPr>
    </w:p>
    <w:p>
      <w:pPr>
        <w:ind w:right="20"/>
        <w:spacing w:after="0" w:line="271" w:lineRule="auto"/>
        <w:rPr>
          <w:sz w:val="20"/>
          <w:szCs w:val="20"/>
          <w:color w:val="auto"/>
        </w:rPr>
      </w:pPr>
      <w:r>
        <w:rPr>
          <w:rFonts w:ascii="Arial" w:cs="Arial" w:eastAsia="Arial" w:hAnsi="Arial"/>
          <w:sz w:val="16"/>
          <w:szCs w:val="16"/>
          <w:color w:val="auto"/>
        </w:rPr>
        <w:t>“And, if approved by the Arizona Corporation Commission, our regulatory settlement will position us to manage this growth through innovation and reliability and help ensure a sustainable energy future benefiting our customers, shareholders and the communities we serve.”</w:t>
      </w:r>
    </w:p>
    <w:p>
      <w:pPr>
        <w:spacing w:after="0" w:line="134" w:lineRule="exact"/>
        <w:rPr>
          <w:sz w:val="20"/>
          <w:szCs w:val="20"/>
          <w:color w:val="auto"/>
        </w:rPr>
      </w:pPr>
    </w:p>
    <w:p>
      <w:pPr>
        <w:spacing w:after="0"/>
        <w:rPr>
          <w:sz w:val="20"/>
          <w:szCs w:val="20"/>
          <w:color w:val="auto"/>
        </w:rPr>
      </w:pPr>
      <w:r>
        <w:rPr>
          <w:rFonts w:ascii="Arial" w:cs="Arial" w:eastAsia="Arial" w:hAnsi="Arial"/>
          <w:sz w:val="16"/>
          <w:szCs w:val="16"/>
          <w:color w:val="auto"/>
        </w:rPr>
        <w:t>The 2017 first-quarter results comparison was positively impacted by the following factors:</w:t>
      </w:r>
    </w:p>
    <w:p>
      <w:pPr>
        <w:spacing w:after="0" w:line="179" w:lineRule="exact"/>
        <w:rPr>
          <w:sz w:val="20"/>
          <w:szCs w:val="20"/>
          <w:color w:val="auto"/>
        </w:rPr>
      </w:pPr>
    </w:p>
    <w:p>
      <w:pPr>
        <w:ind w:left="540" w:right="60" w:hanging="268"/>
        <w:spacing w:after="0" w:line="275" w:lineRule="auto"/>
        <w:tabs>
          <w:tab w:leader="none" w:pos="540" w:val="left"/>
        </w:tabs>
        <w:numPr>
          <w:ilvl w:val="0"/>
          <w:numId w:val="3"/>
        </w:numPr>
        <w:rPr>
          <w:rFonts w:ascii="Arial" w:cs="Arial" w:eastAsia="Arial" w:hAnsi="Arial"/>
          <w:sz w:val="14"/>
          <w:szCs w:val="14"/>
          <w:color w:val="auto"/>
        </w:rPr>
      </w:pPr>
      <w:r>
        <w:rPr>
          <w:rFonts w:ascii="Arial" w:cs="Arial" w:eastAsia="Arial" w:hAnsi="Arial"/>
          <w:sz w:val="15"/>
          <w:szCs w:val="15"/>
          <w:i w:val="1"/>
          <w:iCs w:val="1"/>
          <w:color w:val="auto"/>
        </w:rPr>
        <w:t xml:space="preserve">Lower operations and maintenance expenses </w:t>
      </w:r>
      <w:r>
        <w:rPr>
          <w:rFonts w:ascii="Arial" w:cs="Arial" w:eastAsia="Arial" w:hAnsi="Arial"/>
          <w:sz w:val="15"/>
          <w:szCs w:val="15"/>
          <w:color w:val="auto"/>
        </w:rPr>
        <w:t>increased results by $0.11 per share compared with the prior-year period. The lower expenses were largely the result of</w:t>
      </w:r>
      <w:r>
        <w:rPr>
          <w:rFonts w:ascii="Arial" w:cs="Arial" w:eastAsia="Arial" w:hAnsi="Arial"/>
          <w:sz w:val="15"/>
          <w:szCs w:val="15"/>
          <w:i w:val="1"/>
          <w:iCs w:val="1"/>
          <w:color w:val="auto"/>
        </w:rPr>
        <w:t xml:space="preserve"> </w:t>
      </w:r>
      <w:r>
        <w:rPr>
          <w:rFonts w:ascii="Arial" w:cs="Arial" w:eastAsia="Arial" w:hAnsi="Arial"/>
          <w:sz w:val="15"/>
          <w:szCs w:val="15"/>
          <w:color w:val="auto"/>
        </w:rPr>
        <w:t>fewer planned fossil plant maintenance in the 2017 first quarter compared to a year ago, as well as lower employee benefit costs. These positive attributes were partially offset by higher corporate support expenses related to information technology and implementation of new customer systems. As previously indicated, we expect further planned outages at the Four Corners Power Plant later this year to install added emission controls.</w:t>
      </w:r>
    </w:p>
    <w:p>
      <w:pPr>
        <w:spacing w:after="0" w:line="44" w:lineRule="exact"/>
        <w:rPr>
          <w:rFonts w:ascii="Arial" w:cs="Arial" w:eastAsia="Arial" w:hAnsi="Arial"/>
          <w:sz w:val="14"/>
          <w:szCs w:val="14"/>
          <w:color w:val="auto"/>
        </w:rPr>
      </w:pPr>
    </w:p>
    <w:p>
      <w:pPr>
        <w:ind w:left="540" w:hanging="268"/>
        <w:spacing w:after="0"/>
        <w:tabs>
          <w:tab w:leader="none" w:pos="540" w:val="left"/>
        </w:tabs>
        <w:numPr>
          <w:ilvl w:val="0"/>
          <w:numId w:val="3"/>
        </w:numPr>
        <w:rPr>
          <w:rFonts w:ascii="Arial" w:cs="Arial" w:eastAsia="Arial" w:hAnsi="Arial"/>
          <w:sz w:val="16"/>
          <w:szCs w:val="16"/>
          <w:i w:val="1"/>
          <w:iCs w:val="1"/>
          <w:color w:val="auto"/>
        </w:rPr>
      </w:pPr>
      <w:r>
        <w:rPr>
          <w:rFonts w:ascii="Arial" w:cs="Arial" w:eastAsia="Arial" w:hAnsi="Arial"/>
          <w:sz w:val="16"/>
          <w:szCs w:val="16"/>
          <w:i w:val="1"/>
          <w:iCs w:val="1"/>
          <w:color w:val="auto"/>
        </w:rPr>
        <w:t xml:space="preserve">A lower effective income tax rate </w:t>
      </w:r>
      <w:r>
        <w:rPr>
          <w:rFonts w:ascii="Arial" w:cs="Arial" w:eastAsia="Arial" w:hAnsi="Arial"/>
          <w:sz w:val="16"/>
          <w:szCs w:val="16"/>
          <w:color w:val="auto"/>
        </w:rPr>
        <w:t>positively impacted earnings by $0.05 per share.</w:t>
      </w:r>
    </w:p>
    <w:p>
      <w:pPr>
        <w:spacing w:after="0" w:line="90" w:lineRule="exact"/>
        <w:rPr>
          <w:rFonts w:ascii="Arial" w:cs="Arial" w:eastAsia="Arial" w:hAnsi="Arial"/>
          <w:sz w:val="16"/>
          <w:szCs w:val="16"/>
          <w:i w:val="1"/>
          <w:iCs w:val="1"/>
          <w:color w:val="auto"/>
        </w:rPr>
      </w:pPr>
    </w:p>
    <w:p>
      <w:pPr>
        <w:ind w:left="540" w:hanging="268"/>
        <w:spacing w:after="0"/>
        <w:tabs>
          <w:tab w:leader="none" w:pos="540" w:val="left"/>
        </w:tabs>
        <w:numPr>
          <w:ilvl w:val="0"/>
          <w:numId w:val="3"/>
        </w:numPr>
        <w:rPr>
          <w:rFonts w:ascii="Arial" w:cs="Arial" w:eastAsia="Arial" w:hAnsi="Arial"/>
          <w:sz w:val="15"/>
          <w:szCs w:val="15"/>
          <w:color w:val="auto"/>
        </w:rPr>
      </w:pPr>
      <w:r>
        <w:rPr>
          <w:rFonts w:ascii="Arial" w:cs="Arial" w:eastAsia="Arial" w:hAnsi="Arial"/>
          <w:sz w:val="16"/>
          <w:szCs w:val="16"/>
          <w:i w:val="1"/>
          <w:iCs w:val="1"/>
          <w:color w:val="auto"/>
        </w:rPr>
        <w:t xml:space="preserve">Higher lost fixed cost recovery revenue </w:t>
      </w:r>
      <w:r>
        <w:rPr>
          <w:rFonts w:ascii="Arial" w:cs="Arial" w:eastAsia="Arial" w:hAnsi="Arial"/>
          <w:sz w:val="16"/>
          <w:szCs w:val="16"/>
          <w:color w:val="auto"/>
        </w:rPr>
        <w:t>improved earnings by $0.04 per share.</w:t>
      </w:r>
    </w:p>
    <w:p>
      <w:pPr>
        <w:spacing w:after="0" w:line="90" w:lineRule="exact"/>
        <w:rPr>
          <w:rFonts w:ascii="Arial" w:cs="Arial" w:eastAsia="Arial" w:hAnsi="Arial"/>
          <w:sz w:val="15"/>
          <w:szCs w:val="15"/>
          <w:color w:val="auto"/>
        </w:rPr>
      </w:pPr>
    </w:p>
    <w:p>
      <w:pPr>
        <w:ind w:left="540" w:right="100" w:hanging="268"/>
        <w:spacing w:after="0" w:line="271" w:lineRule="auto"/>
        <w:tabs>
          <w:tab w:leader="none" w:pos="540" w:val="left"/>
        </w:tabs>
        <w:numPr>
          <w:ilvl w:val="0"/>
          <w:numId w:val="3"/>
        </w:numPr>
        <w:rPr>
          <w:rFonts w:ascii="Arial" w:cs="Arial" w:eastAsia="Arial" w:hAnsi="Arial"/>
          <w:sz w:val="15"/>
          <w:szCs w:val="15"/>
          <w:color w:val="auto"/>
        </w:rPr>
      </w:pPr>
      <w:r>
        <w:rPr>
          <w:rFonts w:ascii="Arial" w:cs="Arial" w:eastAsia="Arial" w:hAnsi="Arial"/>
          <w:sz w:val="16"/>
          <w:szCs w:val="16"/>
          <w:i w:val="1"/>
          <w:iCs w:val="1"/>
          <w:color w:val="auto"/>
        </w:rPr>
        <w:t xml:space="preserve">The effects of weather variations </w:t>
      </w:r>
      <w:r>
        <w:rPr>
          <w:rFonts w:ascii="Arial" w:cs="Arial" w:eastAsia="Arial" w:hAnsi="Arial"/>
          <w:sz w:val="16"/>
          <w:szCs w:val="16"/>
          <w:color w:val="auto"/>
        </w:rPr>
        <w:t>improved results by $0.03 per share compared to the year-ago period. First-quarter 2017 residential heating degree-days (a measure of</w:t>
      </w:r>
      <w:r>
        <w:rPr>
          <w:rFonts w:ascii="Arial" w:cs="Arial" w:eastAsia="Arial" w:hAnsi="Arial"/>
          <w:sz w:val="16"/>
          <w:szCs w:val="16"/>
          <w:i w:val="1"/>
          <w:iCs w:val="1"/>
          <w:color w:val="auto"/>
        </w:rPr>
        <w:t xml:space="preserve"> </w:t>
      </w:r>
      <w:r>
        <w:rPr>
          <w:rFonts w:ascii="Arial" w:cs="Arial" w:eastAsia="Arial" w:hAnsi="Arial"/>
          <w:sz w:val="16"/>
          <w:szCs w:val="16"/>
          <w:color w:val="auto"/>
        </w:rPr>
        <w:t>the effects of weather) were 10 percent greater than in the 2016 first quarter, albeit 10 percent</w:t>
      </w:r>
    </w:p>
    <w:p>
      <w:pPr>
        <w:sectPr>
          <w:pgSz w:w="11900" w:h="16838" w:orient="portrait"/>
          <w:cols w:equalWidth="0" w:num="1">
            <w:col w:w="11440"/>
          </w:cols>
          <w:pgMar w:left="220" w:top="1440" w:right="239" w:bottom="1440" w:gutter="0" w:footer="0" w:header="0"/>
          <w:type w:val="continuous"/>
        </w:sectPr>
      </w:pPr>
    </w:p>
    <w:bookmarkStart w:id="5" w:name="page6"/>
    <w:bookmarkEnd w:id="5"/>
    <w:p>
      <w:pPr>
        <w:ind w:left="540"/>
        <w:spacing w:after="0"/>
        <w:rPr>
          <w:sz w:val="20"/>
          <w:szCs w:val="20"/>
          <w:color w:val="auto"/>
        </w:rPr>
      </w:pPr>
      <w:r>
        <w:rPr>
          <w:rFonts w:ascii="Arial" w:cs="Arial" w:eastAsia="Arial" w:hAnsi="Arial"/>
          <w:sz w:val="14"/>
          <w:szCs w:val="14"/>
          <w:color w:val="auto"/>
        </w:rPr>
        <w:t>below 10-year historical averages. Commercial cooling degree-days were 26 percent higher in the quarter versus the year-ago period and 88 percent greater than normal.</w:t>
      </w:r>
    </w:p>
    <w:p>
      <w:pPr>
        <w:spacing w:after="0" w:line="125" w:lineRule="exact"/>
        <w:rPr>
          <w:sz w:val="20"/>
          <w:szCs w:val="20"/>
          <w:color w:val="auto"/>
        </w:rPr>
      </w:pPr>
    </w:p>
    <w:p>
      <w:pPr>
        <w:spacing w:after="0"/>
        <w:rPr>
          <w:sz w:val="20"/>
          <w:szCs w:val="20"/>
          <w:color w:val="auto"/>
        </w:rPr>
      </w:pPr>
      <w:r>
        <w:rPr>
          <w:rFonts w:ascii="Arial" w:cs="Arial" w:eastAsia="Arial" w:hAnsi="Arial"/>
          <w:sz w:val="16"/>
          <w:szCs w:val="16"/>
          <w:color w:val="auto"/>
        </w:rPr>
        <w:t>These positive factors were offset in part by the following items:</w:t>
      </w:r>
    </w:p>
    <w:p>
      <w:pPr>
        <w:spacing w:after="0" w:line="179" w:lineRule="exact"/>
        <w:rPr>
          <w:sz w:val="20"/>
          <w:szCs w:val="20"/>
          <w:color w:val="auto"/>
        </w:rPr>
      </w:pPr>
    </w:p>
    <w:p>
      <w:pPr>
        <w:ind w:left="540" w:right="60" w:hanging="268"/>
        <w:spacing w:after="0" w:line="282" w:lineRule="auto"/>
        <w:tabs>
          <w:tab w:leader="none" w:pos="540" w:val="left"/>
        </w:tabs>
        <w:numPr>
          <w:ilvl w:val="0"/>
          <w:numId w:val="4"/>
        </w:numPr>
        <w:rPr>
          <w:rFonts w:ascii="Arial" w:cs="Arial" w:eastAsia="Arial" w:hAnsi="Arial"/>
          <w:sz w:val="14"/>
          <w:szCs w:val="14"/>
          <w:color w:val="auto"/>
        </w:rPr>
      </w:pPr>
      <w:r>
        <w:rPr>
          <w:rFonts w:ascii="Arial" w:cs="Arial" w:eastAsia="Arial" w:hAnsi="Arial"/>
          <w:sz w:val="15"/>
          <w:szCs w:val="15"/>
          <w:i w:val="1"/>
          <w:iCs w:val="1"/>
          <w:color w:val="auto"/>
        </w:rPr>
        <w:t xml:space="preserve">Lower retail electricity sales - </w:t>
      </w:r>
      <w:r>
        <w:rPr>
          <w:rFonts w:ascii="Arial" w:cs="Arial" w:eastAsia="Arial" w:hAnsi="Arial"/>
          <w:sz w:val="15"/>
          <w:szCs w:val="15"/>
          <w:color w:val="auto"/>
        </w:rPr>
        <w:t>excluding the effects of weather variations, but including the effects of customer conservation, energy efficiency programs and distributed</w:t>
      </w:r>
      <w:r>
        <w:rPr>
          <w:rFonts w:ascii="Arial" w:cs="Arial" w:eastAsia="Arial" w:hAnsi="Arial"/>
          <w:sz w:val="15"/>
          <w:szCs w:val="15"/>
          <w:i w:val="1"/>
          <w:iCs w:val="1"/>
          <w:color w:val="auto"/>
        </w:rPr>
        <w:t xml:space="preserve"> </w:t>
      </w:r>
      <w:r>
        <w:rPr>
          <w:rFonts w:ascii="Arial" w:cs="Arial" w:eastAsia="Arial" w:hAnsi="Arial"/>
          <w:sz w:val="15"/>
          <w:szCs w:val="15"/>
          <w:color w:val="auto"/>
        </w:rPr>
        <w:t>renewable generation - decreased earnings $0.04 per share. Compared to the same quarter a year ago, weather-normalized sales decreased 3.3 percent due to changes in customer usage patterns and related pricing, and the result of an additional day of sales in February 2016 from the leap year.</w:t>
      </w:r>
    </w:p>
    <w:p>
      <w:pPr>
        <w:spacing w:after="0" w:line="40" w:lineRule="exact"/>
        <w:rPr>
          <w:rFonts w:ascii="Arial" w:cs="Arial" w:eastAsia="Arial" w:hAnsi="Arial"/>
          <w:sz w:val="14"/>
          <w:szCs w:val="14"/>
          <w:color w:val="auto"/>
        </w:rPr>
      </w:pPr>
    </w:p>
    <w:p>
      <w:pPr>
        <w:ind w:left="540" w:hanging="268"/>
        <w:spacing w:after="0"/>
        <w:tabs>
          <w:tab w:leader="none" w:pos="540" w:val="left"/>
        </w:tabs>
        <w:numPr>
          <w:ilvl w:val="0"/>
          <w:numId w:val="4"/>
        </w:numPr>
        <w:rPr>
          <w:rFonts w:ascii="Arial" w:cs="Arial" w:eastAsia="Arial" w:hAnsi="Arial"/>
          <w:sz w:val="15"/>
          <w:szCs w:val="15"/>
          <w:color w:val="auto"/>
        </w:rPr>
      </w:pPr>
      <w:r>
        <w:rPr>
          <w:rFonts w:ascii="Arial" w:cs="Arial" w:eastAsia="Arial" w:hAnsi="Arial"/>
          <w:sz w:val="16"/>
          <w:szCs w:val="16"/>
          <w:i w:val="1"/>
          <w:iCs w:val="1"/>
          <w:color w:val="auto"/>
        </w:rPr>
        <w:t xml:space="preserve">Higher depreciation and amortization expenses </w:t>
      </w:r>
      <w:r>
        <w:rPr>
          <w:rFonts w:ascii="Arial" w:cs="Arial" w:eastAsia="Arial" w:hAnsi="Arial"/>
          <w:sz w:val="16"/>
          <w:szCs w:val="16"/>
          <w:color w:val="auto"/>
        </w:rPr>
        <w:t>related to additional plant in service reduced earnings by $0.04 per share.</w:t>
      </w:r>
    </w:p>
    <w:p>
      <w:pPr>
        <w:spacing w:after="0" w:line="351"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Conference Call and Webcast</w:t>
      </w:r>
    </w:p>
    <w:p>
      <w:pPr>
        <w:spacing w:after="0" w:line="21" w:lineRule="exact"/>
        <w:rPr>
          <w:sz w:val="20"/>
          <w:szCs w:val="20"/>
          <w:color w:val="auto"/>
        </w:rPr>
      </w:pPr>
    </w:p>
    <w:p>
      <w:pPr>
        <w:ind w:right="180"/>
        <w:spacing w:after="0" w:line="268" w:lineRule="auto"/>
        <w:rPr>
          <w:sz w:val="20"/>
          <w:szCs w:val="20"/>
          <w:color w:val="auto"/>
        </w:rPr>
      </w:pPr>
      <w:r>
        <w:rPr>
          <w:rFonts w:ascii="Arial" w:cs="Arial" w:eastAsia="Arial" w:hAnsi="Arial"/>
          <w:sz w:val="15"/>
          <w:szCs w:val="15"/>
          <w:color w:val="auto"/>
        </w:rPr>
        <w:t>Pinnacle West invites interested parties to listen to the live webcast of management’s conference call to discuss the Company’s 2017 first-quarter results, as well as recent developments, at 12 noon ET (9 a.m. AZ time) today, May 2. A replay of the webcast can be accessed at pinnaclewest.com/presentations. To access the live conference call by telephone, dial (877) 407-8035 or (201) 689-8035 for international callers. A replay of the call also will be available until 11:59 p.m. (ET), Tuesday, May 9, 2017, by calling (877) 481-4010 in the U.S. and Canada or (919) 882-2331 internationally and entering conference ID number 10311.</w:t>
      </w:r>
    </w:p>
    <w:p>
      <w:pPr>
        <w:spacing w:after="0" w:line="135"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General Information</w:t>
      </w:r>
    </w:p>
    <w:p>
      <w:pPr>
        <w:spacing w:after="0" w:line="21" w:lineRule="exact"/>
        <w:rPr>
          <w:sz w:val="20"/>
          <w:szCs w:val="20"/>
          <w:color w:val="auto"/>
        </w:rPr>
      </w:pPr>
    </w:p>
    <w:p>
      <w:pPr>
        <w:ind w:right="140"/>
        <w:spacing w:after="0" w:line="273" w:lineRule="auto"/>
        <w:rPr>
          <w:sz w:val="20"/>
          <w:szCs w:val="20"/>
          <w:color w:val="auto"/>
        </w:rPr>
      </w:pPr>
      <w:r>
        <w:rPr>
          <w:rFonts w:ascii="Arial" w:cs="Arial" w:eastAsia="Arial" w:hAnsi="Arial"/>
          <w:sz w:val="15"/>
          <w:szCs w:val="15"/>
          <w:color w:val="auto"/>
        </w:rPr>
        <w:t>Pinnacle West Capital Corp., an energy holding company based in Phoenix, has consolidated assets of more than $16 billion, about 6,200 megawatts of generating capacity and 6,300 employees in Arizona and New Mexico. Through its principal subsidiary, Arizona Public Service, the Company provides retail electricity service to nearly 1.2 million Arizona homes and businesses. For more information about Pinnacle West, visit the Company’s website at pinnaclewest.com.</w:t>
      </w:r>
    </w:p>
    <w:p>
      <w:pPr>
        <w:spacing w:after="0" w:line="145" w:lineRule="exact"/>
        <w:rPr>
          <w:sz w:val="20"/>
          <w:szCs w:val="20"/>
          <w:color w:val="auto"/>
        </w:rPr>
      </w:pPr>
    </w:p>
    <w:p>
      <w:pPr>
        <w:ind w:right="320"/>
        <w:spacing w:after="0" w:line="271" w:lineRule="auto"/>
        <w:rPr>
          <w:sz w:val="20"/>
          <w:szCs w:val="20"/>
          <w:color w:val="auto"/>
        </w:rPr>
      </w:pPr>
      <w:r>
        <w:rPr>
          <w:rFonts w:ascii="Arial" w:cs="Arial" w:eastAsia="Arial" w:hAnsi="Arial"/>
          <w:sz w:val="16"/>
          <w:szCs w:val="16"/>
          <w:color w:val="auto"/>
        </w:rPr>
        <w:t>Earnings per share amounts are based on average diluted common shares outstanding. For more information on Pinnacle West’s operating statistics and earnings, please visit pinnaclewest.com/investors.</w:t>
      </w:r>
    </w:p>
    <w:p>
      <w:pPr>
        <w:spacing w:after="0" w:line="130" w:lineRule="exact"/>
        <w:rPr>
          <w:sz w:val="20"/>
          <w:szCs w:val="20"/>
          <w:color w:val="auto"/>
        </w:rPr>
      </w:pPr>
    </w:p>
    <w:p>
      <w:pPr>
        <w:jc w:val="center"/>
        <w:ind w:right="-19"/>
        <w:spacing w:after="0"/>
        <w:rPr>
          <w:sz w:val="20"/>
          <w:szCs w:val="20"/>
          <w:color w:val="auto"/>
        </w:rPr>
      </w:pPr>
      <w:r>
        <w:rPr>
          <w:rFonts w:ascii="Arial" w:cs="Arial" w:eastAsia="Arial" w:hAnsi="Arial"/>
          <w:sz w:val="16"/>
          <w:szCs w:val="16"/>
          <w:b w:val="1"/>
          <w:bCs w:val="1"/>
          <w:color w:val="auto"/>
        </w:rPr>
        <w:t>FORWARD-LOOKING STATEMENTS</w:t>
      </w:r>
    </w:p>
    <w:p>
      <w:pPr>
        <w:spacing w:after="0" w:line="183" w:lineRule="exact"/>
        <w:rPr>
          <w:sz w:val="20"/>
          <w:szCs w:val="20"/>
          <w:color w:val="auto"/>
        </w:rPr>
      </w:pPr>
    </w:p>
    <w:p>
      <w:pPr>
        <w:spacing w:after="0" w:line="250" w:lineRule="auto"/>
        <w:rPr>
          <w:sz w:val="20"/>
          <w:szCs w:val="20"/>
          <w:color w:val="auto"/>
        </w:rPr>
      </w:pPr>
      <w:r>
        <w:rPr>
          <w:rFonts w:ascii="Arial" w:cs="Arial" w:eastAsia="Arial" w:hAnsi="Arial"/>
          <w:sz w:val="16"/>
          <w:szCs w:val="16"/>
          <w:color w:val="auto"/>
        </w:rPr>
        <w:t>This press release contains forward-looking statements based on our current expectations, including statements regarding our earnings guidance and financial outlook and goals. These forward-looking statements are often identified by words such as “estimate,” “predict,” “may,” “believe,” “plan,” “expect,” “require,” “intend,” “assume,” “project” and similar words. Because actual results may differ materially from expectations, we caution readers not to place undue reliance on these statements. A number of factors could cause future results to differ materially from historical results, or from outcomes currently expected or sought by Pinnacle West or APS. These factors include, but are not limited to:</w:t>
      </w:r>
    </w:p>
    <w:p>
      <w:pPr>
        <w:spacing w:after="0" w:line="152" w:lineRule="exact"/>
        <w:rPr>
          <w:sz w:val="20"/>
          <w:szCs w:val="20"/>
          <w:color w:val="auto"/>
        </w:rPr>
      </w:pPr>
    </w:p>
    <w:p>
      <w:pPr>
        <w:ind w:left="540" w:hanging="268"/>
        <w:spacing w:after="0"/>
        <w:tabs>
          <w:tab w:leader="none" w:pos="540" w:val="left"/>
        </w:tabs>
        <w:numPr>
          <w:ilvl w:val="0"/>
          <w:numId w:val="5"/>
        </w:numPr>
        <w:rPr>
          <w:rFonts w:ascii="Arial" w:cs="Arial" w:eastAsia="Arial" w:hAnsi="Arial"/>
          <w:sz w:val="15"/>
          <w:szCs w:val="15"/>
          <w:color w:val="auto"/>
        </w:rPr>
      </w:pPr>
      <w:r>
        <w:rPr>
          <w:rFonts w:ascii="Arial" w:cs="Arial" w:eastAsia="Arial" w:hAnsi="Arial"/>
          <w:sz w:val="16"/>
          <w:szCs w:val="16"/>
          <w:color w:val="auto"/>
        </w:rPr>
        <w:t>our ability to manage capital expenditures and operations and maintenance costs while maintaining high reliability and customer service levels;</w:t>
      </w:r>
    </w:p>
    <w:p>
      <w:pPr>
        <w:spacing w:after="0" w:line="16" w:lineRule="exact"/>
        <w:rPr>
          <w:rFonts w:ascii="Arial" w:cs="Arial" w:eastAsia="Arial" w:hAnsi="Arial"/>
          <w:sz w:val="15"/>
          <w:szCs w:val="15"/>
          <w:color w:val="auto"/>
        </w:rPr>
      </w:pPr>
    </w:p>
    <w:p>
      <w:pPr>
        <w:ind w:left="540" w:right="180" w:hanging="268"/>
        <w:spacing w:after="0" w:line="243" w:lineRule="auto"/>
        <w:tabs>
          <w:tab w:leader="none" w:pos="540" w:val="left"/>
        </w:tabs>
        <w:numPr>
          <w:ilvl w:val="0"/>
          <w:numId w:val="5"/>
        </w:numPr>
        <w:rPr>
          <w:rFonts w:ascii="Arial" w:cs="Arial" w:eastAsia="Arial" w:hAnsi="Arial"/>
          <w:sz w:val="15"/>
          <w:szCs w:val="15"/>
          <w:color w:val="auto"/>
        </w:rPr>
      </w:pPr>
      <w:r>
        <w:rPr>
          <w:rFonts w:ascii="Arial" w:cs="Arial" w:eastAsia="Arial" w:hAnsi="Arial"/>
          <w:sz w:val="16"/>
          <w:szCs w:val="16"/>
          <w:color w:val="auto"/>
        </w:rPr>
        <w:t>variations in demand for electricity, including those due to weather, seasonality, the general economy, customer and sales growth (or decline), and the effects of energy conservation measures and distributed generation;</w:t>
      </w:r>
    </w:p>
    <w:p>
      <w:pPr>
        <w:spacing w:after="0" w:line="1" w:lineRule="exact"/>
        <w:rPr>
          <w:rFonts w:ascii="Arial" w:cs="Arial" w:eastAsia="Arial" w:hAnsi="Arial"/>
          <w:sz w:val="15"/>
          <w:szCs w:val="15"/>
          <w:color w:val="auto"/>
        </w:rPr>
      </w:pPr>
    </w:p>
    <w:p>
      <w:pPr>
        <w:ind w:left="540" w:hanging="268"/>
        <w:spacing w:after="0"/>
        <w:tabs>
          <w:tab w:leader="none" w:pos="540" w:val="left"/>
        </w:tabs>
        <w:numPr>
          <w:ilvl w:val="0"/>
          <w:numId w:val="5"/>
        </w:numPr>
        <w:rPr>
          <w:rFonts w:ascii="Arial" w:cs="Arial" w:eastAsia="Arial" w:hAnsi="Arial"/>
          <w:sz w:val="15"/>
          <w:szCs w:val="15"/>
          <w:color w:val="auto"/>
        </w:rPr>
      </w:pPr>
      <w:r>
        <w:rPr>
          <w:rFonts w:ascii="Arial" w:cs="Arial" w:eastAsia="Arial" w:hAnsi="Arial"/>
          <w:sz w:val="16"/>
          <w:szCs w:val="16"/>
          <w:color w:val="auto"/>
        </w:rPr>
        <w:t>power plant and transmission system performance and outages;</w:t>
      </w:r>
    </w:p>
    <w:p>
      <w:pPr>
        <w:spacing w:after="0" w:line="2" w:lineRule="exact"/>
        <w:rPr>
          <w:rFonts w:ascii="Arial" w:cs="Arial" w:eastAsia="Arial" w:hAnsi="Arial"/>
          <w:sz w:val="15"/>
          <w:szCs w:val="15"/>
          <w:color w:val="auto"/>
        </w:rPr>
      </w:pPr>
    </w:p>
    <w:p>
      <w:pPr>
        <w:ind w:left="540" w:hanging="268"/>
        <w:spacing w:after="0"/>
        <w:tabs>
          <w:tab w:leader="none" w:pos="540" w:val="left"/>
        </w:tabs>
        <w:numPr>
          <w:ilvl w:val="0"/>
          <w:numId w:val="5"/>
        </w:numPr>
        <w:rPr>
          <w:rFonts w:ascii="Arial" w:cs="Arial" w:eastAsia="Arial" w:hAnsi="Arial"/>
          <w:sz w:val="15"/>
          <w:szCs w:val="15"/>
          <w:color w:val="auto"/>
        </w:rPr>
      </w:pPr>
      <w:r>
        <w:rPr>
          <w:rFonts w:ascii="Arial" w:cs="Arial" w:eastAsia="Arial" w:hAnsi="Arial"/>
          <w:sz w:val="16"/>
          <w:szCs w:val="16"/>
          <w:color w:val="auto"/>
        </w:rPr>
        <w:t>competition in retail and wholesale power markets;</w:t>
      </w:r>
    </w:p>
    <w:p>
      <w:pPr>
        <w:spacing w:after="0" w:line="2" w:lineRule="exact"/>
        <w:rPr>
          <w:rFonts w:ascii="Arial" w:cs="Arial" w:eastAsia="Arial" w:hAnsi="Arial"/>
          <w:sz w:val="15"/>
          <w:szCs w:val="15"/>
          <w:color w:val="auto"/>
        </w:rPr>
      </w:pPr>
    </w:p>
    <w:p>
      <w:pPr>
        <w:ind w:left="540" w:hanging="268"/>
        <w:spacing w:after="0"/>
        <w:tabs>
          <w:tab w:leader="none" w:pos="540" w:val="left"/>
        </w:tabs>
        <w:numPr>
          <w:ilvl w:val="0"/>
          <w:numId w:val="5"/>
        </w:numPr>
        <w:rPr>
          <w:rFonts w:ascii="Arial" w:cs="Arial" w:eastAsia="Arial" w:hAnsi="Arial"/>
          <w:sz w:val="15"/>
          <w:szCs w:val="15"/>
          <w:color w:val="auto"/>
        </w:rPr>
      </w:pPr>
      <w:r>
        <w:rPr>
          <w:rFonts w:ascii="Arial" w:cs="Arial" w:eastAsia="Arial" w:hAnsi="Arial"/>
          <w:sz w:val="16"/>
          <w:szCs w:val="16"/>
          <w:color w:val="auto"/>
        </w:rPr>
        <w:t>regulatory and judicial decisions, developments and proceedings;</w:t>
      </w:r>
    </w:p>
    <w:p>
      <w:pPr>
        <w:sectPr>
          <w:pgSz w:w="11900" w:h="16838" w:orient="portrait"/>
          <w:cols w:equalWidth="0" w:num="1">
            <w:col w:w="11460"/>
          </w:cols>
          <w:pgMar w:left="220" w:top="542" w:right="219" w:bottom="1440" w:gutter="0" w:footer="0" w:header="0"/>
        </w:sectPr>
      </w:pPr>
    </w:p>
    <w:bookmarkStart w:id="6" w:name="page7"/>
    <w:bookmarkEnd w:id="6"/>
    <w:p>
      <w:pPr>
        <w:ind w:left="540" w:right="520" w:hanging="268"/>
        <w:spacing w:after="0" w:line="252" w:lineRule="auto"/>
        <w:tabs>
          <w:tab w:leader="none" w:pos="540" w:val="left"/>
        </w:tabs>
        <w:numPr>
          <w:ilvl w:val="0"/>
          <w:numId w:val="6"/>
        </w:numPr>
        <w:rPr>
          <w:rFonts w:ascii="Arial" w:cs="Arial" w:eastAsia="Arial" w:hAnsi="Arial"/>
          <w:sz w:val="15"/>
          <w:szCs w:val="15"/>
          <w:color w:val="auto"/>
        </w:rPr>
      </w:pPr>
      <w:r>
        <w:rPr>
          <w:rFonts w:ascii="Arial" w:cs="Arial" w:eastAsia="Arial" w:hAnsi="Arial"/>
          <w:sz w:val="16"/>
          <w:szCs w:val="16"/>
          <w:color w:val="auto"/>
        </w:rPr>
        <w:t>new legislation, ballot initiatives and regulation, including those relating to environmental requirements, regulatory policy, nuclear plant operations and potential deregulation of retail electric markets;</w:t>
      </w:r>
    </w:p>
    <w:p>
      <w:pPr>
        <w:spacing w:after="0" w:line="1" w:lineRule="exact"/>
        <w:rPr>
          <w:rFonts w:ascii="Arial" w:cs="Arial" w:eastAsia="Arial" w:hAnsi="Arial"/>
          <w:sz w:val="15"/>
          <w:szCs w:val="15"/>
          <w:color w:val="auto"/>
        </w:rPr>
      </w:pPr>
    </w:p>
    <w:p>
      <w:pPr>
        <w:ind w:left="540" w:hanging="268"/>
        <w:spacing w:after="0"/>
        <w:tabs>
          <w:tab w:leader="none" w:pos="540" w:val="left"/>
        </w:tabs>
        <w:numPr>
          <w:ilvl w:val="0"/>
          <w:numId w:val="6"/>
        </w:numPr>
        <w:rPr>
          <w:rFonts w:ascii="Arial" w:cs="Arial" w:eastAsia="Arial" w:hAnsi="Arial"/>
          <w:sz w:val="15"/>
          <w:szCs w:val="15"/>
          <w:color w:val="auto"/>
        </w:rPr>
      </w:pPr>
      <w:r>
        <w:rPr>
          <w:rFonts w:ascii="Arial" w:cs="Arial" w:eastAsia="Arial" w:hAnsi="Arial"/>
          <w:sz w:val="16"/>
          <w:szCs w:val="16"/>
          <w:color w:val="auto"/>
        </w:rPr>
        <w:t>fuel and water supply availability;</w:t>
      </w:r>
    </w:p>
    <w:p>
      <w:pPr>
        <w:spacing w:after="0" w:line="2" w:lineRule="exact"/>
        <w:rPr>
          <w:rFonts w:ascii="Arial" w:cs="Arial" w:eastAsia="Arial" w:hAnsi="Arial"/>
          <w:sz w:val="15"/>
          <w:szCs w:val="15"/>
          <w:color w:val="auto"/>
        </w:rPr>
      </w:pPr>
    </w:p>
    <w:p>
      <w:pPr>
        <w:ind w:left="540" w:hanging="268"/>
        <w:spacing w:after="0"/>
        <w:tabs>
          <w:tab w:leader="none" w:pos="540" w:val="left"/>
        </w:tabs>
        <w:numPr>
          <w:ilvl w:val="0"/>
          <w:numId w:val="6"/>
        </w:numPr>
        <w:rPr>
          <w:rFonts w:ascii="Arial" w:cs="Arial" w:eastAsia="Arial" w:hAnsi="Arial"/>
          <w:sz w:val="15"/>
          <w:szCs w:val="15"/>
          <w:color w:val="auto"/>
        </w:rPr>
      </w:pPr>
      <w:r>
        <w:rPr>
          <w:rFonts w:ascii="Arial" w:cs="Arial" w:eastAsia="Arial" w:hAnsi="Arial"/>
          <w:sz w:val="16"/>
          <w:szCs w:val="16"/>
          <w:color w:val="auto"/>
        </w:rPr>
        <w:t>our ability to achieve timely and adequate rate recovery of our costs, including returns on and of debt and equity capital investment;</w:t>
      </w:r>
    </w:p>
    <w:p>
      <w:pPr>
        <w:spacing w:after="0" w:line="2" w:lineRule="exact"/>
        <w:rPr>
          <w:rFonts w:ascii="Arial" w:cs="Arial" w:eastAsia="Arial" w:hAnsi="Arial"/>
          <w:sz w:val="15"/>
          <w:szCs w:val="15"/>
          <w:color w:val="auto"/>
        </w:rPr>
      </w:pPr>
    </w:p>
    <w:p>
      <w:pPr>
        <w:ind w:left="540" w:hanging="268"/>
        <w:spacing w:after="0"/>
        <w:tabs>
          <w:tab w:leader="none" w:pos="540" w:val="left"/>
        </w:tabs>
        <w:numPr>
          <w:ilvl w:val="0"/>
          <w:numId w:val="6"/>
        </w:numPr>
        <w:rPr>
          <w:rFonts w:ascii="Arial" w:cs="Arial" w:eastAsia="Arial" w:hAnsi="Arial"/>
          <w:sz w:val="15"/>
          <w:szCs w:val="15"/>
          <w:color w:val="auto"/>
        </w:rPr>
      </w:pPr>
      <w:r>
        <w:rPr>
          <w:rFonts w:ascii="Arial" w:cs="Arial" w:eastAsia="Arial" w:hAnsi="Arial"/>
          <w:sz w:val="16"/>
          <w:szCs w:val="16"/>
          <w:color w:val="auto"/>
        </w:rPr>
        <w:t>our ability to meet renewable energy and energy efficiency mandates and recover related costs;</w:t>
      </w:r>
    </w:p>
    <w:p>
      <w:pPr>
        <w:spacing w:after="0" w:line="2" w:lineRule="exact"/>
        <w:rPr>
          <w:rFonts w:ascii="Arial" w:cs="Arial" w:eastAsia="Arial" w:hAnsi="Arial"/>
          <w:sz w:val="15"/>
          <w:szCs w:val="15"/>
          <w:color w:val="auto"/>
        </w:rPr>
      </w:pPr>
    </w:p>
    <w:p>
      <w:pPr>
        <w:ind w:left="540" w:hanging="268"/>
        <w:spacing w:after="0"/>
        <w:tabs>
          <w:tab w:leader="none" w:pos="540" w:val="left"/>
        </w:tabs>
        <w:numPr>
          <w:ilvl w:val="0"/>
          <w:numId w:val="6"/>
        </w:numPr>
        <w:rPr>
          <w:rFonts w:ascii="Arial" w:cs="Arial" w:eastAsia="Arial" w:hAnsi="Arial"/>
          <w:sz w:val="15"/>
          <w:szCs w:val="15"/>
          <w:color w:val="auto"/>
        </w:rPr>
      </w:pPr>
      <w:r>
        <w:rPr>
          <w:rFonts w:ascii="Arial" w:cs="Arial" w:eastAsia="Arial" w:hAnsi="Arial"/>
          <w:sz w:val="16"/>
          <w:szCs w:val="16"/>
          <w:color w:val="auto"/>
        </w:rPr>
        <w:t>risks inherent in the operation of nuclear facilities, including spent fuel disposal uncertainty;</w:t>
      </w:r>
    </w:p>
    <w:p>
      <w:pPr>
        <w:spacing w:after="0" w:line="2" w:lineRule="exact"/>
        <w:rPr>
          <w:rFonts w:ascii="Arial" w:cs="Arial" w:eastAsia="Arial" w:hAnsi="Arial"/>
          <w:sz w:val="15"/>
          <w:szCs w:val="15"/>
          <w:color w:val="auto"/>
        </w:rPr>
      </w:pPr>
    </w:p>
    <w:p>
      <w:pPr>
        <w:ind w:left="540" w:hanging="268"/>
        <w:spacing w:after="0"/>
        <w:tabs>
          <w:tab w:leader="none" w:pos="540" w:val="left"/>
        </w:tabs>
        <w:numPr>
          <w:ilvl w:val="0"/>
          <w:numId w:val="6"/>
        </w:numPr>
        <w:rPr>
          <w:rFonts w:ascii="Arial" w:cs="Arial" w:eastAsia="Arial" w:hAnsi="Arial"/>
          <w:sz w:val="15"/>
          <w:szCs w:val="15"/>
          <w:color w:val="auto"/>
        </w:rPr>
      </w:pPr>
      <w:r>
        <w:rPr>
          <w:rFonts w:ascii="Arial" w:cs="Arial" w:eastAsia="Arial" w:hAnsi="Arial"/>
          <w:sz w:val="16"/>
          <w:szCs w:val="16"/>
          <w:color w:val="auto"/>
        </w:rPr>
        <w:t>current and future economic conditions in Arizona, including in real estate markets;</w:t>
      </w:r>
    </w:p>
    <w:p>
      <w:pPr>
        <w:spacing w:after="0" w:line="2" w:lineRule="exact"/>
        <w:rPr>
          <w:rFonts w:ascii="Arial" w:cs="Arial" w:eastAsia="Arial" w:hAnsi="Arial"/>
          <w:sz w:val="15"/>
          <w:szCs w:val="15"/>
          <w:color w:val="auto"/>
        </w:rPr>
      </w:pPr>
    </w:p>
    <w:p>
      <w:pPr>
        <w:ind w:left="540" w:hanging="268"/>
        <w:spacing w:after="0"/>
        <w:tabs>
          <w:tab w:leader="none" w:pos="540" w:val="left"/>
        </w:tabs>
        <w:numPr>
          <w:ilvl w:val="0"/>
          <w:numId w:val="6"/>
        </w:numPr>
        <w:rPr>
          <w:rFonts w:ascii="Arial" w:cs="Arial" w:eastAsia="Arial" w:hAnsi="Arial"/>
          <w:sz w:val="15"/>
          <w:szCs w:val="15"/>
          <w:color w:val="auto"/>
        </w:rPr>
      </w:pPr>
      <w:r>
        <w:rPr>
          <w:rFonts w:ascii="Arial" w:cs="Arial" w:eastAsia="Arial" w:hAnsi="Arial"/>
          <w:sz w:val="16"/>
          <w:szCs w:val="16"/>
          <w:color w:val="auto"/>
        </w:rPr>
        <w:t>the development of new technologies which may affect electric sales or delivery;</w:t>
      </w:r>
    </w:p>
    <w:p>
      <w:pPr>
        <w:spacing w:after="0" w:line="2" w:lineRule="exact"/>
        <w:rPr>
          <w:rFonts w:ascii="Arial" w:cs="Arial" w:eastAsia="Arial" w:hAnsi="Arial"/>
          <w:sz w:val="15"/>
          <w:szCs w:val="15"/>
          <w:color w:val="auto"/>
        </w:rPr>
      </w:pPr>
    </w:p>
    <w:p>
      <w:pPr>
        <w:ind w:left="540" w:hanging="268"/>
        <w:spacing w:after="0"/>
        <w:tabs>
          <w:tab w:leader="none" w:pos="540" w:val="left"/>
        </w:tabs>
        <w:numPr>
          <w:ilvl w:val="0"/>
          <w:numId w:val="6"/>
        </w:numPr>
        <w:rPr>
          <w:rFonts w:ascii="Arial" w:cs="Arial" w:eastAsia="Arial" w:hAnsi="Arial"/>
          <w:sz w:val="15"/>
          <w:szCs w:val="15"/>
          <w:color w:val="auto"/>
        </w:rPr>
      </w:pPr>
      <w:r>
        <w:rPr>
          <w:rFonts w:ascii="Arial" w:cs="Arial" w:eastAsia="Arial" w:hAnsi="Arial"/>
          <w:sz w:val="16"/>
          <w:szCs w:val="16"/>
          <w:color w:val="auto"/>
        </w:rPr>
        <w:t>the cost of debt and equity capital and the ability to access capital markets when required;</w:t>
      </w:r>
    </w:p>
    <w:p>
      <w:pPr>
        <w:spacing w:after="0" w:line="2" w:lineRule="exact"/>
        <w:rPr>
          <w:rFonts w:ascii="Arial" w:cs="Arial" w:eastAsia="Arial" w:hAnsi="Arial"/>
          <w:sz w:val="15"/>
          <w:szCs w:val="15"/>
          <w:color w:val="auto"/>
        </w:rPr>
      </w:pPr>
    </w:p>
    <w:p>
      <w:pPr>
        <w:ind w:left="540" w:hanging="268"/>
        <w:spacing w:after="0"/>
        <w:tabs>
          <w:tab w:leader="none" w:pos="540" w:val="left"/>
        </w:tabs>
        <w:numPr>
          <w:ilvl w:val="0"/>
          <w:numId w:val="6"/>
        </w:numPr>
        <w:rPr>
          <w:rFonts w:ascii="Arial" w:cs="Arial" w:eastAsia="Arial" w:hAnsi="Arial"/>
          <w:sz w:val="15"/>
          <w:szCs w:val="15"/>
          <w:color w:val="auto"/>
        </w:rPr>
      </w:pPr>
      <w:r>
        <w:rPr>
          <w:rFonts w:ascii="Arial" w:cs="Arial" w:eastAsia="Arial" w:hAnsi="Arial"/>
          <w:sz w:val="16"/>
          <w:szCs w:val="16"/>
          <w:color w:val="auto"/>
        </w:rPr>
        <w:t>environmental, economic and other concerns surrounding coal-fired generation, including regulation of greenhouse gas emissions;</w:t>
      </w:r>
    </w:p>
    <w:p>
      <w:pPr>
        <w:spacing w:after="0" w:line="2" w:lineRule="exact"/>
        <w:rPr>
          <w:rFonts w:ascii="Arial" w:cs="Arial" w:eastAsia="Arial" w:hAnsi="Arial"/>
          <w:sz w:val="15"/>
          <w:szCs w:val="15"/>
          <w:color w:val="auto"/>
        </w:rPr>
      </w:pPr>
    </w:p>
    <w:p>
      <w:pPr>
        <w:ind w:left="540" w:hanging="268"/>
        <w:spacing w:after="0"/>
        <w:tabs>
          <w:tab w:leader="none" w:pos="540" w:val="left"/>
        </w:tabs>
        <w:numPr>
          <w:ilvl w:val="0"/>
          <w:numId w:val="6"/>
        </w:numPr>
        <w:rPr>
          <w:rFonts w:ascii="Arial" w:cs="Arial" w:eastAsia="Arial" w:hAnsi="Arial"/>
          <w:sz w:val="15"/>
          <w:szCs w:val="15"/>
          <w:color w:val="auto"/>
        </w:rPr>
      </w:pPr>
      <w:r>
        <w:rPr>
          <w:rFonts w:ascii="Arial" w:cs="Arial" w:eastAsia="Arial" w:hAnsi="Arial"/>
          <w:sz w:val="16"/>
          <w:szCs w:val="16"/>
          <w:color w:val="auto"/>
        </w:rPr>
        <w:t>volatile fuel and purchased power costs;</w:t>
      </w:r>
    </w:p>
    <w:p>
      <w:pPr>
        <w:spacing w:after="0" w:line="2" w:lineRule="exact"/>
        <w:rPr>
          <w:rFonts w:ascii="Arial" w:cs="Arial" w:eastAsia="Arial" w:hAnsi="Arial"/>
          <w:sz w:val="15"/>
          <w:szCs w:val="15"/>
          <w:color w:val="auto"/>
        </w:rPr>
      </w:pPr>
    </w:p>
    <w:p>
      <w:pPr>
        <w:ind w:left="540" w:right="480" w:hanging="268"/>
        <w:spacing w:after="0" w:line="243" w:lineRule="auto"/>
        <w:tabs>
          <w:tab w:leader="none" w:pos="540" w:val="left"/>
        </w:tabs>
        <w:numPr>
          <w:ilvl w:val="0"/>
          <w:numId w:val="6"/>
        </w:numPr>
        <w:rPr>
          <w:rFonts w:ascii="Arial" w:cs="Arial" w:eastAsia="Arial" w:hAnsi="Arial"/>
          <w:sz w:val="15"/>
          <w:szCs w:val="15"/>
          <w:color w:val="auto"/>
        </w:rPr>
      </w:pPr>
      <w:r>
        <w:rPr>
          <w:rFonts w:ascii="Arial" w:cs="Arial" w:eastAsia="Arial" w:hAnsi="Arial"/>
          <w:sz w:val="16"/>
          <w:szCs w:val="16"/>
          <w:color w:val="auto"/>
        </w:rPr>
        <w:t>the investment performance of the assets of our nuclear decommissioning trust, pension, and other postretirement benefit plans and the resulting impact on future funding requirements;</w:t>
      </w:r>
    </w:p>
    <w:p>
      <w:pPr>
        <w:spacing w:after="0" w:line="1" w:lineRule="exact"/>
        <w:rPr>
          <w:rFonts w:ascii="Arial" w:cs="Arial" w:eastAsia="Arial" w:hAnsi="Arial"/>
          <w:sz w:val="15"/>
          <w:szCs w:val="15"/>
          <w:color w:val="auto"/>
        </w:rPr>
      </w:pPr>
    </w:p>
    <w:p>
      <w:pPr>
        <w:ind w:left="540" w:hanging="268"/>
        <w:spacing w:after="0"/>
        <w:tabs>
          <w:tab w:leader="none" w:pos="540" w:val="left"/>
        </w:tabs>
        <w:numPr>
          <w:ilvl w:val="0"/>
          <w:numId w:val="6"/>
        </w:numPr>
        <w:rPr>
          <w:rFonts w:ascii="Arial" w:cs="Arial" w:eastAsia="Arial" w:hAnsi="Arial"/>
          <w:sz w:val="15"/>
          <w:szCs w:val="15"/>
          <w:color w:val="auto"/>
        </w:rPr>
      </w:pPr>
      <w:r>
        <w:rPr>
          <w:rFonts w:ascii="Arial" w:cs="Arial" w:eastAsia="Arial" w:hAnsi="Arial"/>
          <w:sz w:val="16"/>
          <w:szCs w:val="16"/>
          <w:color w:val="auto"/>
        </w:rPr>
        <w:t>the liquidity of wholesale power markets and the use of derivative contracts in our business;</w:t>
      </w:r>
    </w:p>
    <w:p>
      <w:pPr>
        <w:spacing w:after="0" w:line="2" w:lineRule="exact"/>
        <w:rPr>
          <w:rFonts w:ascii="Arial" w:cs="Arial" w:eastAsia="Arial" w:hAnsi="Arial"/>
          <w:sz w:val="15"/>
          <w:szCs w:val="15"/>
          <w:color w:val="auto"/>
        </w:rPr>
      </w:pPr>
    </w:p>
    <w:p>
      <w:pPr>
        <w:ind w:left="540" w:hanging="268"/>
        <w:spacing w:after="0"/>
        <w:tabs>
          <w:tab w:leader="none" w:pos="540" w:val="left"/>
        </w:tabs>
        <w:numPr>
          <w:ilvl w:val="0"/>
          <w:numId w:val="6"/>
        </w:numPr>
        <w:rPr>
          <w:rFonts w:ascii="Arial" w:cs="Arial" w:eastAsia="Arial" w:hAnsi="Arial"/>
          <w:sz w:val="15"/>
          <w:szCs w:val="15"/>
          <w:color w:val="auto"/>
        </w:rPr>
      </w:pPr>
      <w:r>
        <w:rPr>
          <w:rFonts w:ascii="Arial" w:cs="Arial" w:eastAsia="Arial" w:hAnsi="Arial"/>
          <w:sz w:val="16"/>
          <w:szCs w:val="16"/>
          <w:color w:val="auto"/>
        </w:rPr>
        <w:t>potential shortfalls in insurance coverage;</w:t>
      </w:r>
    </w:p>
    <w:p>
      <w:pPr>
        <w:spacing w:after="0" w:line="2" w:lineRule="exact"/>
        <w:rPr>
          <w:rFonts w:ascii="Arial" w:cs="Arial" w:eastAsia="Arial" w:hAnsi="Arial"/>
          <w:sz w:val="15"/>
          <w:szCs w:val="15"/>
          <w:color w:val="auto"/>
        </w:rPr>
      </w:pPr>
    </w:p>
    <w:p>
      <w:pPr>
        <w:ind w:left="540" w:hanging="268"/>
        <w:spacing w:after="0"/>
        <w:tabs>
          <w:tab w:leader="none" w:pos="540" w:val="left"/>
        </w:tabs>
        <w:numPr>
          <w:ilvl w:val="0"/>
          <w:numId w:val="6"/>
        </w:numPr>
        <w:rPr>
          <w:rFonts w:ascii="Arial" w:cs="Arial" w:eastAsia="Arial" w:hAnsi="Arial"/>
          <w:sz w:val="15"/>
          <w:szCs w:val="15"/>
          <w:color w:val="auto"/>
        </w:rPr>
      </w:pPr>
      <w:r>
        <w:rPr>
          <w:rFonts w:ascii="Arial" w:cs="Arial" w:eastAsia="Arial" w:hAnsi="Arial"/>
          <w:sz w:val="16"/>
          <w:szCs w:val="16"/>
          <w:color w:val="auto"/>
        </w:rPr>
        <w:t>new accounting requirements or new interpretations of existing requirements;</w:t>
      </w:r>
    </w:p>
    <w:p>
      <w:pPr>
        <w:spacing w:after="0" w:line="2" w:lineRule="exact"/>
        <w:rPr>
          <w:rFonts w:ascii="Arial" w:cs="Arial" w:eastAsia="Arial" w:hAnsi="Arial"/>
          <w:sz w:val="15"/>
          <w:szCs w:val="15"/>
          <w:color w:val="auto"/>
        </w:rPr>
      </w:pPr>
    </w:p>
    <w:p>
      <w:pPr>
        <w:ind w:left="540" w:hanging="268"/>
        <w:spacing w:after="0"/>
        <w:tabs>
          <w:tab w:leader="none" w:pos="540" w:val="left"/>
        </w:tabs>
        <w:numPr>
          <w:ilvl w:val="0"/>
          <w:numId w:val="6"/>
        </w:numPr>
        <w:rPr>
          <w:rFonts w:ascii="Arial" w:cs="Arial" w:eastAsia="Arial" w:hAnsi="Arial"/>
          <w:sz w:val="15"/>
          <w:szCs w:val="15"/>
          <w:color w:val="auto"/>
        </w:rPr>
      </w:pPr>
      <w:r>
        <w:rPr>
          <w:rFonts w:ascii="Arial" w:cs="Arial" w:eastAsia="Arial" w:hAnsi="Arial"/>
          <w:sz w:val="16"/>
          <w:szCs w:val="16"/>
          <w:color w:val="auto"/>
        </w:rPr>
        <w:t>generation, transmission and distribution facility and system conditions and operating costs;</w:t>
      </w:r>
    </w:p>
    <w:p>
      <w:pPr>
        <w:spacing w:after="0" w:line="2" w:lineRule="exact"/>
        <w:rPr>
          <w:rFonts w:ascii="Arial" w:cs="Arial" w:eastAsia="Arial" w:hAnsi="Arial"/>
          <w:sz w:val="15"/>
          <w:szCs w:val="15"/>
          <w:color w:val="auto"/>
        </w:rPr>
      </w:pPr>
    </w:p>
    <w:p>
      <w:pPr>
        <w:ind w:left="540" w:hanging="268"/>
        <w:spacing w:after="0"/>
        <w:tabs>
          <w:tab w:leader="none" w:pos="540" w:val="left"/>
        </w:tabs>
        <w:numPr>
          <w:ilvl w:val="0"/>
          <w:numId w:val="6"/>
        </w:numPr>
        <w:rPr>
          <w:rFonts w:ascii="Arial" w:cs="Arial" w:eastAsia="Arial" w:hAnsi="Arial"/>
          <w:sz w:val="15"/>
          <w:szCs w:val="15"/>
          <w:color w:val="auto"/>
        </w:rPr>
      </w:pPr>
      <w:r>
        <w:rPr>
          <w:rFonts w:ascii="Arial" w:cs="Arial" w:eastAsia="Arial" w:hAnsi="Arial"/>
          <w:sz w:val="16"/>
          <w:szCs w:val="16"/>
          <w:color w:val="auto"/>
        </w:rPr>
        <w:t>the ability to meet the anticipated future need for additional generation and associated transmission facilities in our region;</w:t>
      </w:r>
    </w:p>
    <w:p>
      <w:pPr>
        <w:spacing w:after="0" w:line="2" w:lineRule="exact"/>
        <w:rPr>
          <w:rFonts w:ascii="Arial" w:cs="Arial" w:eastAsia="Arial" w:hAnsi="Arial"/>
          <w:sz w:val="15"/>
          <w:szCs w:val="15"/>
          <w:color w:val="auto"/>
        </w:rPr>
      </w:pPr>
    </w:p>
    <w:p>
      <w:pPr>
        <w:ind w:left="540" w:right="280" w:hanging="268"/>
        <w:spacing w:after="0" w:line="243" w:lineRule="auto"/>
        <w:tabs>
          <w:tab w:leader="none" w:pos="540" w:val="left"/>
        </w:tabs>
        <w:numPr>
          <w:ilvl w:val="0"/>
          <w:numId w:val="6"/>
        </w:numPr>
        <w:rPr>
          <w:rFonts w:ascii="Arial" w:cs="Arial" w:eastAsia="Arial" w:hAnsi="Arial"/>
          <w:sz w:val="15"/>
          <w:szCs w:val="15"/>
          <w:color w:val="auto"/>
        </w:rPr>
      </w:pPr>
      <w:r>
        <w:rPr>
          <w:rFonts w:ascii="Arial" w:cs="Arial" w:eastAsia="Arial" w:hAnsi="Arial"/>
          <w:sz w:val="16"/>
          <w:szCs w:val="16"/>
          <w:color w:val="auto"/>
        </w:rPr>
        <w:t>the willingness or ability of our counterparties, power plant participants and power plant land owners to meet contractual or other obligations or extend the rights for continued power plant operations; and</w:t>
      </w:r>
    </w:p>
    <w:p>
      <w:pPr>
        <w:spacing w:after="0" w:line="1" w:lineRule="exact"/>
        <w:rPr>
          <w:rFonts w:ascii="Arial" w:cs="Arial" w:eastAsia="Arial" w:hAnsi="Arial"/>
          <w:sz w:val="15"/>
          <w:szCs w:val="15"/>
          <w:color w:val="auto"/>
        </w:rPr>
      </w:pPr>
    </w:p>
    <w:p>
      <w:pPr>
        <w:ind w:left="540" w:hanging="268"/>
        <w:spacing w:after="0"/>
        <w:tabs>
          <w:tab w:leader="none" w:pos="540" w:val="left"/>
        </w:tabs>
        <w:numPr>
          <w:ilvl w:val="0"/>
          <w:numId w:val="6"/>
        </w:numPr>
        <w:rPr>
          <w:rFonts w:ascii="Arial" w:cs="Arial" w:eastAsia="Arial" w:hAnsi="Arial"/>
          <w:sz w:val="15"/>
          <w:szCs w:val="15"/>
          <w:color w:val="auto"/>
        </w:rPr>
      </w:pPr>
      <w:r>
        <w:rPr>
          <w:rFonts w:ascii="Arial" w:cs="Arial" w:eastAsia="Arial" w:hAnsi="Arial"/>
          <w:sz w:val="16"/>
          <w:szCs w:val="16"/>
          <w:color w:val="auto"/>
        </w:rPr>
        <w:t>restrictions on dividends or other provisions in our credit agreements and Arizona Corporation Commission orders.</w:t>
      </w:r>
    </w:p>
    <w:p>
      <w:pPr>
        <w:spacing w:after="0" w:line="165" w:lineRule="exact"/>
        <w:rPr>
          <w:sz w:val="20"/>
          <w:szCs w:val="20"/>
          <w:color w:val="auto"/>
        </w:rPr>
      </w:pPr>
    </w:p>
    <w:p>
      <w:pPr>
        <w:spacing w:after="0" w:line="257" w:lineRule="auto"/>
        <w:rPr>
          <w:sz w:val="20"/>
          <w:szCs w:val="20"/>
          <w:color w:val="auto"/>
        </w:rPr>
      </w:pPr>
      <w:r>
        <w:rPr>
          <w:rFonts w:ascii="Arial" w:cs="Arial" w:eastAsia="Arial" w:hAnsi="Arial"/>
          <w:sz w:val="16"/>
          <w:szCs w:val="16"/>
          <w:color w:val="auto"/>
        </w:rPr>
        <w:t>These and other factors are discussed in Risk Factors described in Part 1, Item 1A of the Pinnacle West/APS Annual Report on Form 10-K for the fiscal year ended December 31, 2016, which readers should review carefully before placing any reliance on our financial statements or disclosures. Neither Pinnacle West nor APS assumes any obligation to update these statements, even if our internal estimates change, except as required by law.</w:t>
      </w:r>
    </w:p>
    <w:p>
      <w:pPr>
        <w:spacing w:after="0" w:line="321" w:lineRule="exact"/>
        <w:rPr>
          <w:sz w:val="20"/>
          <w:szCs w:val="20"/>
          <w:color w:val="auto"/>
        </w:rPr>
      </w:pPr>
    </w:p>
    <w:p>
      <w:pPr>
        <w:jc w:val="center"/>
        <w:ind w:right="-39"/>
        <w:spacing w:after="0"/>
        <w:rPr>
          <w:sz w:val="20"/>
          <w:szCs w:val="20"/>
          <w:color w:val="auto"/>
        </w:rPr>
      </w:pPr>
      <w:r>
        <w:rPr>
          <w:rFonts w:ascii="Arial" w:cs="Arial" w:eastAsia="Arial" w:hAnsi="Arial"/>
          <w:sz w:val="16"/>
          <w:szCs w:val="16"/>
          <w:color w:val="auto"/>
        </w:rPr>
        <w:t># # #</w:t>
      </w:r>
    </w:p>
    <w:p>
      <w:pPr>
        <w:sectPr>
          <w:pgSz w:w="11900" w:h="16838" w:orient="portrait"/>
          <w:cols w:equalWidth="0" w:num="1">
            <w:col w:w="11420"/>
          </w:cols>
          <w:pgMar w:left="220" w:top="531" w:right="259" w:bottom="1440" w:gutter="0" w:footer="0" w:header="0"/>
        </w:sectPr>
      </w:pPr>
    </w:p>
    <w:bookmarkStart w:id="7" w:name="page8"/>
    <w:bookmarkEnd w:id="7"/>
    <w:p>
      <w:pPr>
        <w:jc w:val="center"/>
        <w:spacing w:after="0"/>
        <w:rPr>
          <w:sz w:val="20"/>
          <w:szCs w:val="20"/>
          <w:color w:val="auto"/>
        </w:rPr>
      </w:pPr>
      <w:r>
        <w:rPr>
          <w:rFonts w:ascii="Arial" w:cs="Arial" w:eastAsia="Arial" w:hAnsi="Arial"/>
          <w:sz w:val="15"/>
          <w:szCs w:val="15"/>
          <w:b w:val="1"/>
          <w:bCs w:val="1"/>
          <w:color w:val="auto"/>
        </w:rPr>
        <w:t>PINNACLE WEST CAPITAL CORPORATION</w:t>
      </w:r>
    </w:p>
    <w:p>
      <w:pPr>
        <w:spacing w:after="0" w:line="18" w:lineRule="exact"/>
        <w:rPr>
          <w:sz w:val="20"/>
          <w:szCs w:val="20"/>
          <w:color w:val="auto"/>
        </w:rPr>
      </w:pPr>
    </w:p>
    <w:p>
      <w:pPr>
        <w:jc w:val="center"/>
        <w:spacing w:after="0"/>
        <w:rPr>
          <w:sz w:val="20"/>
          <w:szCs w:val="20"/>
          <w:color w:val="auto"/>
        </w:rPr>
      </w:pPr>
      <w:r>
        <w:rPr>
          <w:rFonts w:ascii="Arial" w:cs="Arial" w:eastAsia="Arial" w:hAnsi="Arial"/>
          <w:sz w:val="15"/>
          <w:szCs w:val="15"/>
          <w:b w:val="1"/>
          <w:bCs w:val="1"/>
          <w:color w:val="auto"/>
        </w:rPr>
        <w:t>CONSOLIDATED STATEMENTS OF INCOME</w:t>
      </w:r>
    </w:p>
    <w:p>
      <w:pPr>
        <w:spacing w:after="0" w:line="3"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(unaudited)</w:t>
      </w:r>
    </w:p>
    <w:p>
      <w:pPr>
        <w:spacing w:after="0" w:line="3"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(dollars and shares in thousands, except per share amounts)</w:t>
      </w:r>
    </w:p>
    <w:p>
      <w:pPr>
        <w:spacing w:after="0" w:line="200" w:lineRule="exact"/>
        <w:rPr>
          <w:sz w:val="20"/>
          <w:szCs w:val="20"/>
          <w:color w:val="auto"/>
        </w:rPr>
      </w:pPr>
    </w:p>
    <w:p>
      <w:pPr>
        <w:spacing w:after="0" w:line="276" w:lineRule="exact"/>
        <w:rPr>
          <w:sz w:val="20"/>
          <w:szCs w:val="20"/>
          <w:color w:val="auto"/>
        </w:rPr>
      </w:pPr>
    </w:p>
    <w:tbl>
      <w:tblPr>
        <w:tblLayout w:type="fixed"/>
        <w:tblInd w:w="0" w:type="dxa"/>
        <w:tblCellMar>
          <w:top w:w="0" w:type="dxa"/>
          <w:left w:w="0" w:type="dxa"/>
          <w:bottom w:w="0" w:type="dxa"/>
          <w:right w:w="0" w:type="dxa"/>
        </w:tblCellMar>
      </w:tblPr>
      <w:tr>
        <w:trPr>
          <w:trHeight w:val="187"/>
        </w:trPr>
        <w:tc>
          <w:tcPr>
            <w:tcW w:w="8240" w:type="dxa"/>
            <w:vAlign w:val="bottom"/>
          </w:tcPr>
          <w:p>
            <w:pPr>
              <w:spacing w:after="0"/>
              <w:rPr>
                <w:sz w:val="16"/>
                <w:szCs w:val="16"/>
                <w:color w:val="auto"/>
              </w:rPr>
            </w:pPr>
          </w:p>
        </w:tc>
        <w:tc>
          <w:tcPr>
            <w:tcW w:w="3180" w:type="dxa"/>
            <w:vAlign w:val="bottom"/>
            <w:gridSpan w:val="4"/>
          </w:tcPr>
          <w:p>
            <w:pPr>
              <w:jc w:val="center"/>
              <w:spacing w:after="0"/>
              <w:rPr>
                <w:sz w:val="20"/>
                <w:szCs w:val="20"/>
                <w:color w:val="auto"/>
              </w:rPr>
            </w:pPr>
            <w:r>
              <w:rPr>
                <w:rFonts w:ascii="Arial" w:cs="Arial" w:eastAsia="Arial" w:hAnsi="Arial"/>
                <w:sz w:val="15"/>
                <w:szCs w:val="15"/>
                <w:color w:val="auto"/>
                <w:w w:val="93"/>
              </w:rPr>
              <w:t>THREE MONTHS ENDED</w:t>
            </w:r>
          </w:p>
        </w:tc>
      </w:tr>
      <w:tr>
        <w:trPr>
          <w:trHeight w:val="220"/>
        </w:trPr>
        <w:tc>
          <w:tcPr>
            <w:tcW w:w="8240" w:type="dxa"/>
            <w:vAlign w:val="bottom"/>
          </w:tcPr>
          <w:p>
            <w:pPr>
              <w:spacing w:after="0"/>
              <w:rPr>
                <w:sz w:val="19"/>
                <w:szCs w:val="19"/>
                <w:color w:val="auto"/>
              </w:rPr>
            </w:pPr>
          </w:p>
        </w:tc>
        <w:tc>
          <w:tcPr>
            <w:tcW w:w="2180" w:type="dxa"/>
            <w:vAlign w:val="bottom"/>
            <w:gridSpan w:val="3"/>
          </w:tcPr>
          <w:p>
            <w:pPr>
              <w:jc w:val="center"/>
              <w:ind w:left="987"/>
              <w:spacing w:after="0"/>
              <w:rPr>
                <w:sz w:val="20"/>
                <w:szCs w:val="20"/>
                <w:color w:val="auto"/>
              </w:rPr>
            </w:pPr>
            <w:r>
              <w:rPr>
                <w:rFonts w:ascii="Arial" w:cs="Arial" w:eastAsia="Arial" w:hAnsi="Arial"/>
                <w:sz w:val="15"/>
                <w:szCs w:val="15"/>
                <w:color w:val="auto"/>
                <w:w w:val="94"/>
              </w:rPr>
              <w:t>MARCH 31,</w:t>
            </w:r>
          </w:p>
        </w:tc>
        <w:tc>
          <w:tcPr>
            <w:tcW w:w="1000" w:type="dxa"/>
            <w:vAlign w:val="bottom"/>
          </w:tcPr>
          <w:p>
            <w:pPr>
              <w:spacing w:after="0"/>
              <w:rPr>
                <w:sz w:val="19"/>
                <w:szCs w:val="19"/>
                <w:color w:val="auto"/>
              </w:rPr>
            </w:pPr>
          </w:p>
        </w:tc>
      </w:tr>
      <w:tr>
        <w:trPr>
          <w:trHeight w:val="22"/>
        </w:trPr>
        <w:tc>
          <w:tcPr>
            <w:tcW w:w="8240" w:type="dxa"/>
            <w:vAlign w:val="bottom"/>
          </w:tcPr>
          <w:p>
            <w:pPr>
              <w:spacing w:after="0" w:line="20" w:lineRule="exact"/>
              <w:rPr>
                <w:sz w:val="1"/>
                <w:szCs w:val="1"/>
                <w:color w:val="auto"/>
              </w:rPr>
            </w:pPr>
          </w:p>
        </w:tc>
        <w:tc>
          <w:tcPr>
            <w:tcW w:w="138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r>
      <w:tr>
        <w:trPr>
          <w:trHeight w:val="189"/>
        </w:trPr>
        <w:tc>
          <w:tcPr>
            <w:tcW w:w="8240" w:type="dxa"/>
            <w:vAlign w:val="bottom"/>
          </w:tcPr>
          <w:p>
            <w:pPr>
              <w:spacing w:after="0"/>
              <w:rPr>
                <w:sz w:val="16"/>
                <w:szCs w:val="16"/>
                <w:color w:val="auto"/>
              </w:rPr>
            </w:pPr>
          </w:p>
        </w:tc>
        <w:tc>
          <w:tcPr>
            <w:tcW w:w="1380" w:type="dxa"/>
            <w:vAlign w:val="bottom"/>
          </w:tcPr>
          <w:p>
            <w:pPr>
              <w:jc w:val="right"/>
              <w:ind w:right="447"/>
              <w:spacing w:after="0"/>
              <w:rPr>
                <w:sz w:val="20"/>
                <w:szCs w:val="20"/>
                <w:color w:val="auto"/>
              </w:rPr>
            </w:pPr>
            <w:r>
              <w:rPr>
                <w:rFonts w:ascii="Arial" w:cs="Arial" w:eastAsia="Arial" w:hAnsi="Arial"/>
                <w:sz w:val="15"/>
                <w:szCs w:val="15"/>
                <w:color w:val="auto"/>
              </w:rPr>
              <w:t>2017</w:t>
            </w:r>
          </w:p>
        </w:tc>
        <w:tc>
          <w:tcPr>
            <w:tcW w:w="44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1000" w:type="dxa"/>
            <w:vAlign w:val="bottom"/>
          </w:tcPr>
          <w:p>
            <w:pPr>
              <w:jc w:val="right"/>
              <w:ind w:right="427"/>
              <w:spacing w:after="0"/>
              <w:rPr>
                <w:sz w:val="20"/>
                <w:szCs w:val="20"/>
                <w:color w:val="auto"/>
              </w:rPr>
            </w:pPr>
            <w:r>
              <w:rPr>
                <w:rFonts w:ascii="Arial" w:cs="Arial" w:eastAsia="Arial" w:hAnsi="Arial"/>
                <w:sz w:val="15"/>
                <w:szCs w:val="15"/>
                <w:color w:val="auto"/>
              </w:rPr>
              <w:t>2016</w:t>
            </w:r>
          </w:p>
        </w:tc>
      </w:tr>
      <w:tr>
        <w:trPr>
          <w:trHeight w:val="22"/>
        </w:trPr>
        <w:tc>
          <w:tcPr>
            <w:tcW w:w="8240" w:type="dxa"/>
            <w:vAlign w:val="bottom"/>
            <w:tcBorders>
              <w:bottom w:val="single" w:sz="8" w:color="CCEEFF"/>
            </w:tcBorders>
          </w:tcPr>
          <w:p>
            <w:pPr>
              <w:spacing w:after="0" w:line="20" w:lineRule="exact"/>
              <w:rPr>
                <w:sz w:val="1"/>
                <w:szCs w:val="1"/>
                <w:color w:val="auto"/>
              </w:rPr>
            </w:pPr>
          </w:p>
        </w:tc>
        <w:tc>
          <w:tcPr>
            <w:tcW w:w="138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r>
      <w:tr>
        <w:trPr>
          <w:trHeight w:val="178"/>
        </w:trPr>
        <w:tc>
          <w:tcPr>
            <w:tcW w:w="8240" w:type="dxa"/>
            <w:vAlign w:val="bottom"/>
            <w:shd w:val="clear" w:color="auto" w:fill="CCEEFF"/>
          </w:tcPr>
          <w:p>
            <w:pPr>
              <w:spacing w:after="0"/>
              <w:rPr>
                <w:sz w:val="15"/>
                <w:szCs w:val="15"/>
                <w:color w:val="auto"/>
              </w:rPr>
            </w:pPr>
          </w:p>
        </w:tc>
        <w:tc>
          <w:tcPr>
            <w:tcW w:w="1380" w:type="dxa"/>
            <w:vAlign w:val="bottom"/>
            <w:shd w:val="clear" w:color="auto" w:fill="CCEEFF"/>
          </w:tcPr>
          <w:p>
            <w:pPr>
              <w:spacing w:after="0"/>
              <w:rPr>
                <w:sz w:val="15"/>
                <w:szCs w:val="15"/>
                <w:color w:val="auto"/>
              </w:rPr>
            </w:pPr>
          </w:p>
        </w:tc>
        <w:tc>
          <w:tcPr>
            <w:tcW w:w="44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1000" w:type="dxa"/>
            <w:vAlign w:val="bottom"/>
            <w:shd w:val="clear" w:color="auto" w:fill="CCEEFF"/>
          </w:tcPr>
          <w:p>
            <w:pPr>
              <w:spacing w:after="0"/>
              <w:rPr>
                <w:sz w:val="15"/>
                <w:szCs w:val="15"/>
                <w:color w:val="auto"/>
              </w:rPr>
            </w:pPr>
          </w:p>
        </w:tc>
      </w:tr>
      <w:tr>
        <w:trPr>
          <w:trHeight w:val="198"/>
        </w:trPr>
        <w:tc>
          <w:tcPr>
            <w:tcW w:w="8240" w:type="dxa"/>
            <w:vAlign w:val="bottom"/>
          </w:tcPr>
          <w:p>
            <w:pPr>
              <w:ind w:left="20"/>
              <w:spacing w:after="0"/>
              <w:rPr>
                <w:sz w:val="20"/>
                <w:szCs w:val="20"/>
                <w:color w:val="auto"/>
              </w:rPr>
            </w:pPr>
            <w:r>
              <w:rPr>
                <w:rFonts w:ascii="Arial" w:cs="Arial" w:eastAsia="Arial" w:hAnsi="Arial"/>
                <w:sz w:val="15"/>
                <w:szCs w:val="15"/>
                <w:b w:val="1"/>
                <w:bCs w:val="1"/>
                <w:color w:val="auto"/>
              </w:rPr>
              <w:t>Operating Revenues</w:t>
            </w:r>
          </w:p>
        </w:tc>
        <w:tc>
          <w:tcPr>
            <w:tcW w:w="1380" w:type="dxa"/>
            <w:vAlign w:val="bottom"/>
          </w:tcPr>
          <w:p>
            <w:pPr>
              <w:jc w:val="right"/>
              <w:spacing w:after="0"/>
              <w:rPr>
                <w:sz w:val="20"/>
                <w:szCs w:val="20"/>
                <w:color w:val="auto"/>
              </w:rPr>
            </w:pPr>
            <w:r>
              <w:rPr>
                <w:rFonts w:ascii="Arial" w:cs="Arial" w:eastAsia="Arial" w:hAnsi="Arial"/>
                <w:sz w:val="15"/>
                <w:szCs w:val="15"/>
                <w:color w:val="auto"/>
              </w:rPr>
              <w:t>$ 677,728</w:t>
            </w:r>
          </w:p>
        </w:tc>
        <w:tc>
          <w:tcPr>
            <w:tcW w:w="44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1000" w:type="dxa"/>
            <w:vAlign w:val="bottom"/>
          </w:tcPr>
          <w:p>
            <w:pPr>
              <w:jc w:val="right"/>
              <w:spacing w:after="0"/>
              <w:rPr>
                <w:sz w:val="20"/>
                <w:szCs w:val="20"/>
                <w:color w:val="auto"/>
              </w:rPr>
            </w:pPr>
            <w:r>
              <w:rPr>
                <w:rFonts w:ascii="Arial" w:cs="Arial" w:eastAsia="Arial" w:hAnsi="Arial"/>
                <w:sz w:val="15"/>
                <w:szCs w:val="15"/>
                <w:color w:val="auto"/>
              </w:rPr>
              <w:t>$ 677,167</w:t>
            </w:r>
          </w:p>
        </w:tc>
      </w:tr>
      <w:tr>
        <w:trPr>
          <w:trHeight w:val="22"/>
        </w:trPr>
        <w:tc>
          <w:tcPr>
            <w:tcW w:w="824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r>
      <w:tr>
        <w:trPr>
          <w:trHeight w:val="187"/>
        </w:trPr>
        <w:tc>
          <w:tcPr>
            <w:tcW w:w="8240" w:type="dxa"/>
            <w:vAlign w:val="bottom"/>
            <w:shd w:val="clear" w:color="auto" w:fill="CCEEFF"/>
          </w:tcPr>
          <w:p>
            <w:pPr>
              <w:spacing w:after="0"/>
              <w:rPr>
                <w:sz w:val="16"/>
                <w:szCs w:val="16"/>
                <w:color w:val="auto"/>
              </w:rPr>
            </w:pPr>
          </w:p>
        </w:tc>
        <w:tc>
          <w:tcPr>
            <w:tcW w:w="1380" w:type="dxa"/>
            <w:vAlign w:val="bottom"/>
            <w:shd w:val="clear" w:color="auto" w:fill="CCEEFF"/>
          </w:tcPr>
          <w:p>
            <w:pPr>
              <w:spacing w:after="0"/>
              <w:rPr>
                <w:sz w:val="16"/>
                <w:szCs w:val="16"/>
                <w:color w:val="auto"/>
              </w:rPr>
            </w:pPr>
          </w:p>
        </w:tc>
        <w:tc>
          <w:tcPr>
            <w:tcW w:w="440" w:type="dxa"/>
            <w:vAlign w:val="bottom"/>
            <w:shd w:val="clear" w:color="auto" w:fill="CCEEFF"/>
          </w:tcPr>
          <w:p>
            <w:pPr>
              <w:spacing w:after="0"/>
              <w:rPr>
                <w:sz w:val="16"/>
                <w:szCs w:val="16"/>
                <w:color w:val="auto"/>
              </w:rPr>
            </w:pPr>
          </w:p>
        </w:tc>
        <w:tc>
          <w:tcPr>
            <w:tcW w:w="360" w:type="dxa"/>
            <w:vAlign w:val="bottom"/>
            <w:shd w:val="clear" w:color="auto" w:fill="CCEEFF"/>
          </w:tcPr>
          <w:p>
            <w:pPr>
              <w:spacing w:after="0"/>
              <w:rPr>
                <w:sz w:val="16"/>
                <w:szCs w:val="16"/>
                <w:color w:val="auto"/>
              </w:rPr>
            </w:pPr>
          </w:p>
        </w:tc>
        <w:tc>
          <w:tcPr>
            <w:tcW w:w="1000" w:type="dxa"/>
            <w:vAlign w:val="bottom"/>
            <w:shd w:val="clear" w:color="auto" w:fill="CCEEFF"/>
          </w:tcPr>
          <w:p>
            <w:pPr>
              <w:spacing w:after="0"/>
              <w:rPr>
                <w:sz w:val="16"/>
                <w:szCs w:val="16"/>
                <w:color w:val="auto"/>
              </w:rPr>
            </w:pPr>
          </w:p>
        </w:tc>
      </w:tr>
      <w:tr>
        <w:trPr>
          <w:trHeight w:val="198"/>
        </w:trPr>
        <w:tc>
          <w:tcPr>
            <w:tcW w:w="8240" w:type="dxa"/>
            <w:vAlign w:val="bottom"/>
          </w:tcPr>
          <w:p>
            <w:pPr>
              <w:ind w:left="20"/>
              <w:spacing w:after="0"/>
              <w:rPr>
                <w:sz w:val="20"/>
                <w:szCs w:val="20"/>
                <w:color w:val="auto"/>
              </w:rPr>
            </w:pPr>
            <w:r>
              <w:rPr>
                <w:rFonts w:ascii="Arial" w:cs="Arial" w:eastAsia="Arial" w:hAnsi="Arial"/>
                <w:sz w:val="15"/>
                <w:szCs w:val="15"/>
                <w:b w:val="1"/>
                <w:bCs w:val="1"/>
                <w:color w:val="auto"/>
              </w:rPr>
              <w:t>Operating Expenses</w:t>
            </w:r>
          </w:p>
        </w:tc>
        <w:tc>
          <w:tcPr>
            <w:tcW w:w="138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1000" w:type="dxa"/>
            <w:vAlign w:val="bottom"/>
          </w:tcPr>
          <w:p>
            <w:pPr>
              <w:spacing w:after="0"/>
              <w:rPr>
                <w:sz w:val="17"/>
                <w:szCs w:val="17"/>
                <w:color w:val="auto"/>
              </w:rPr>
            </w:pPr>
          </w:p>
        </w:tc>
      </w:tr>
      <w:tr>
        <w:trPr>
          <w:trHeight w:val="22"/>
        </w:trPr>
        <w:tc>
          <w:tcPr>
            <w:tcW w:w="824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r>
      <w:tr>
        <w:trPr>
          <w:trHeight w:val="200"/>
        </w:trPr>
        <w:tc>
          <w:tcPr>
            <w:tcW w:w="8240" w:type="dxa"/>
            <w:vAlign w:val="bottom"/>
            <w:tcBorders>
              <w:bottom w:val="single" w:sz="8" w:color="CCEEFF"/>
            </w:tcBorders>
            <w:shd w:val="clear" w:color="auto" w:fill="CCEEFF"/>
          </w:tcPr>
          <w:p>
            <w:pPr>
              <w:ind w:left="380"/>
              <w:spacing w:after="0"/>
              <w:rPr>
                <w:sz w:val="20"/>
                <w:szCs w:val="20"/>
                <w:color w:val="auto"/>
              </w:rPr>
            </w:pPr>
            <w:r>
              <w:rPr>
                <w:rFonts w:ascii="Arial" w:cs="Arial" w:eastAsia="Arial" w:hAnsi="Arial"/>
                <w:sz w:val="15"/>
                <w:szCs w:val="15"/>
                <w:color w:val="auto"/>
              </w:rPr>
              <w:t>Fuel and purchased power</w:t>
            </w:r>
          </w:p>
        </w:tc>
        <w:tc>
          <w:tcPr>
            <w:tcW w:w="13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212,395</w:t>
            </w:r>
          </w:p>
        </w:tc>
        <w:tc>
          <w:tcPr>
            <w:tcW w:w="440" w:type="dxa"/>
            <w:vAlign w:val="bottom"/>
            <w:tcBorders>
              <w:bottom w:val="single" w:sz="8" w:color="CCEEFF"/>
            </w:tcBorders>
            <w:shd w:val="clear" w:color="auto" w:fill="CCEEFF"/>
          </w:tcPr>
          <w:p>
            <w:pPr>
              <w:spacing w:after="0"/>
              <w:rPr>
                <w:sz w:val="17"/>
                <w:szCs w:val="17"/>
                <w:color w:val="auto"/>
              </w:rPr>
            </w:pPr>
          </w:p>
        </w:tc>
        <w:tc>
          <w:tcPr>
            <w:tcW w:w="360" w:type="dxa"/>
            <w:vAlign w:val="bottom"/>
            <w:tcBorders>
              <w:bottom w:val="single" w:sz="8" w:color="CCEEFF"/>
            </w:tcBorders>
            <w:shd w:val="clear" w:color="auto" w:fill="CCEEFF"/>
          </w:tcPr>
          <w:p>
            <w:pPr>
              <w:spacing w:after="0"/>
              <w:rPr>
                <w:sz w:val="17"/>
                <w:szCs w:val="17"/>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221,285</w:t>
            </w:r>
          </w:p>
        </w:tc>
      </w:tr>
      <w:tr>
        <w:trPr>
          <w:trHeight w:val="198"/>
        </w:trPr>
        <w:tc>
          <w:tcPr>
            <w:tcW w:w="8240" w:type="dxa"/>
            <w:vAlign w:val="bottom"/>
          </w:tcPr>
          <w:p>
            <w:pPr>
              <w:ind w:left="380"/>
              <w:spacing w:after="0"/>
              <w:rPr>
                <w:sz w:val="20"/>
                <w:szCs w:val="20"/>
                <w:color w:val="auto"/>
              </w:rPr>
            </w:pPr>
            <w:r>
              <w:rPr>
                <w:rFonts w:ascii="Arial" w:cs="Arial" w:eastAsia="Arial" w:hAnsi="Arial"/>
                <w:sz w:val="15"/>
                <w:szCs w:val="15"/>
                <w:color w:val="auto"/>
              </w:rPr>
              <w:t>Operations and maintenance</w:t>
            </w:r>
          </w:p>
        </w:tc>
        <w:tc>
          <w:tcPr>
            <w:tcW w:w="1380" w:type="dxa"/>
            <w:vAlign w:val="bottom"/>
          </w:tcPr>
          <w:p>
            <w:pPr>
              <w:jc w:val="right"/>
              <w:spacing w:after="0"/>
              <w:rPr>
                <w:sz w:val="20"/>
                <w:szCs w:val="20"/>
                <w:color w:val="auto"/>
              </w:rPr>
            </w:pPr>
            <w:r>
              <w:rPr>
                <w:rFonts w:ascii="Arial" w:cs="Arial" w:eastAsia="Arial" w:hAnsi="Arial"/>
                <w:sz w:val="15"/>
                <w:szCs w:val="15"/>
                <w:color w:val="auto"/>
              </w:rPr>
              <w:t>219,976</w:t>
            </w:r>
          </w:p>
        </w:tc>
        <w:tc>
          <w:tcPr>
            <w:tcW w:w="44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1000" w:type="dxa"/>
            <w:vAlign w:val="bottom"/>
          </w:tcPr>
          <w:p>
            <w:pPr>
              <w:jc w:val="right"/>
              <w:spacing w:after="0"/>
              <w:rPr>
                <w:sz w:val="20"/>
                <w:szCs w:val="20"/>
                <w:color w:val="auto"/>
              </w:rPr>
            </w:pPr>
            <w:r>
              <w:rPr>
                <w:rFonts w:ascii="Arial" w:cs="Arial" w:eastAsia="Arial" w:hAnsi="Arial"/>
                <w:sz w:val="15"/>
                <w:szCs w:val="15"/>
                <w:color w:val="auto"/>
              </w:rPr>
              <w:t>243,195</w:t>
            </w:r>
          </w:p>
        </w:tc>
      </w:tr>
      <w:tr>
        <w:trPr>
          <w:trHeight w:val="22"/>
        </w:trPr>
        <w:tc>
          <w:tcPr>
            <w:tcW w:w="824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r>
      <w:tr>
        <w:trPr>
          <w:trHeight w:val="200"/>
        </w:trPr>
        <w:tc>
          <w:tcPr>
            <w:tcW w:w="8240" w:type="dxa"/>
            <w:vAlign w:val="bottom"/>
            <w:tcBorders>
              <w:bottom w:val="single" w:sz="8" w:color="CCEEFF"/>
            </w:tcBorders>
            <w:shd w:val="clear" w:color="auto" w:fill="CCEEFF"/>
          </w:tcPr>
          <w:p>
            <w:pPr>
              <w:ind w:left="380"/>
              <w:spacing w:after="0"/>
              <w:rPr>
                <w:sz w:val="20"/>
                <w:szCs w:val="20"/>
                <w:color w:val="auto"/>
              </w:rPr>
            </w:pPr>
            <w:r>
              <w:rPr>
                <w:rFonts w:ascii="Arial" w:cs="Arial" w:eastAsia="Arial" w:hAnsi="Arial"/>
                <w:sz w:val="15"/>
                <w:szCs w:val="15"/>
                <w:color w:val="auto"/>
              </w:rPr>
              <w:t>Depreciation and amortization</w:t>
            </w:r>
          </w:p>
        </w:tc>
        <w:tc>
          <w:tcPr>
            <w:tcW w:w="13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127,627</w:t>
            </w:r>
          </w:p>
        </w:tc>
        <w:tc>
          <w:tcPr>
            <w:tcW w:w="440" w:type="dxa"/>
            <w:vAlign w:val="bottom"/>
            <w:tcBorders>
              <w:bottom w:val="single" w:sz="8" w:color="CCEEFF"/>
            </w:tcBorders>
            <w:shd w:val="clear" w:color="auto" w:fill="CCEEFF"/>
          </w:tcPr>
          <w:p>
            <w:pPr>
              <w:spacing w:after="0"/>
              <w:rPr>
                <w:sz w:val="17"/>
                <w:szCs w:val="17"/>
                <w:color w:val="auto"/>
              </w:rPr>
            </w:pPr>
          </w:p>
        </w:tc>
        <w:tc>
          <w:tcPr>
            <w:tcW w:w="360" w:type="dxa"/>
            <w:vAlign w:val="bottom"/>
            <w:tcBorders>
              <w:bottom w:val="single" w:sz="8" w:color="CCEEFF"/>
            </w:tcBorders>
            <w:shd w:val="clear" w:color="auto" w:fill="CCEEFF"/>
          </w:tcPr>
          <w:p>
            <w:pPr>
              <w:spacing w:after="0"/>
              <w:rPr>
                <w:sz w:val="17"/>
                <w:szCs w:val="17"/>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119,476</w:t>
            </w:r>
          </w:p>
        </w:tc>
      </w:tr>
      <w:tr>
        <w:trPr>
          <w:trHeight w:val="198"/>
        </w:trPr>
        <w:tc>
          <w:tcPr>
            <w:tcW w:w="8240" w:type="dxa"/>
            <w:vAlign w:val="bottom"/>
          </w:tcPr>
          <w:p>
            <w:pPr>
              <w:ind w:left="380"/>
              <w:spacing w:after="0"/>
              <w:rPr>
                <w:sz w:val="20"/>
                <w:szCs w:val="20"/>
                <w:color w:val="auto"/>
              </w:rPr>
            </w:pPr>
            <w:r>
              <w:rPr>
                <w:rFonts w:ascii="Arial" w:cs="Arial" w:eastAsia="Arial" w:hAnsi="Arial"/>
                <w:sz w:val="15"/>
                <w:szCs w:val="15"/>
                <w:color w:val="auto"/>
              </w:rPr>
              <w:t>Taxes other than income taxes</w:t>
            </w:r>
          </w:p>
        </w:tc>
        <w:tc>
          <w:tcPr>
            <w:tcW w:w="1380" w:type="dxa"/>
            <w:vAlign w:val="bottom"/>
          </w:tcPr>
          <w:p>
            <w:pPr>
              <w:jc w:val="right"/>
              <w:spacing w:after="0"/>
              <w:rPr>
                <w:sz w:val="20"/>
                <w:szCs w:val="20"/>
                <w:color w:val="auto"/>
              </w:rPr>
            </w:pPr>
            <w:r>
              <w:rPr>
                <w:rFonts w:ascii="Arial" w:cs="Arial" w:eastAsia="Arial" w:hAnsi="Arial"/>
                <w:sz w:val="15"/>
                <w:szCs w:val="15"/>
                <w:color w:val="auto"/>
              </w:rPr>
              <w:t>43,836</w:t>
            </w:r>
          </w:p>
        </w:tc>
        <w:tc>
          <w:tcPr>
            <w:tcW w:w="44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1000" w:type="dxa"/>
            <w:vAlign w:val="bottom"/>
          </w:tcPr>
          <w:p>
            <w:pPr>
              <w:jc w:val="right"/>
              <w:spacing w:after="0"/>
              <w:rPr>
                <w:sz w:val="20"/>
                <w:szCs w:val="20"/>
                <w:color w:val="auto"/>
              </w:rPr>
            </w:pPr>
            <w:r>
              <w:rPr>
                <w:rFonts w:ascii="Arial" w:cs="Arial" w:eastAsia="Arial" w:hAnsi="Arial"/>
                <w:sz w:val="15"/>
                <w:szCs w:val="15"/>
                <w:color w:val="auto"/>
              </w:rPr>
              <w:t>42,501</w:t>
            </w:r>
          </w:p>
        </w:tc>
      </w:tr>
      <w:tr>
        <w:trPr>
          <w:trHeight w:val="22"/>
        </w:trPr>
        <w:tc>
          <w:tcPr>
            <w:tcW w:w="824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r>
      <w:tr>
        <w:trPr>
          <w:trHeight w:val="220"/>
        </w:trPr>
        <w:tc>
          <w:tcPr>
            <w:tcW w:w="8240" w:type="dxa"/>
            <w:vAlign w:val="bottom"/>
            <w:tcBorders>
              <w:bottom w:val="single" w:sz="8" w:color="CCEEFF"/>
            </w:tcBorders>
            <w:shd w:val="clear" w:color="auto" w:fill="CCEEFF"/>
          </w:tcPr>
          <w:p>
            <w:pPr>
              <w:ind w:left="380"/>
              <w:spacing w:after="0"/>
              <w:rPr>
                <w:sz w:val="20"/>
                <w:szCs w:val="20"/>
                <w:color w:val="auto"/>
              </w:rPr>
            </w:pPr>
            <w:r>
              <w:rPr>
                <w:rFonts w:ascii="Arial" w:cs="Arial" w:eastAsia="Arial" w:hAnsi="Arial"/>
                <w:sz w:val="15"/>
                <w:szCs w:val="15"/>
                <w:color w:val="auto"/>
              </w:rPr>
              <w:t>Other expenses</w:t>
            </w:r>
          </w:p>
        </w:tc>
        <w:tc>
          <w:tcPr>
            <w:tcW w:w="13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388</w:t>
            </w:r>
          </w:p>
        </w:tc>
        <w:tc>
          <w:tcPr>
            <w:tcW w:w="440" w:type="dxa"/>
            <w:vAlign w:val="bottom"/>
            <w:tcBorders>
              <w:bottom w:val="single" w:sz="8" w:color="CCEEFF"/>
            </w:tcBorders>
            <w:shd w:val="clear" w:color="auto" w:fill="CCEEFF"/>
          </w:tcPr>
          <w:p>
            <w:pPr>
              <w:spacing w:after="0"/>
              <w:rPr>
                <w:sz w:val="19"/>
                <w:szCs w:val="19"/>
                <w:color w:val="auto"/>
              </w:rPr>
            </w:pPr>
          </w:p>
        </w:tc>
        <w:tc>
          <w:tcPr>
            <w:tcW w:w="360" w:type="dxa"/>
            <w:vAlign w:val="bottom"/>
            <w:tcBorders>
              <w:bottom w:val="single" w:sz="8" w:color="CCEEFF"/>
            </w:tcBorders>
            <w:shd w:val="clear" w:color="auto" w:fill="CCEEFF"/>
          </w:tcPr>
          <w:p>
            <w:pPr>
              <w:spacing w:after="0"/>
              <w:rPr>
                <w:sz w:val="19"/>
                <w:szCs w:val="19"/>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548</w:t>
            </w:r>
          </w:p>
        </w:tc>
      </w:tr>
      <w:tr>
        <w:trPr>
          <w:trHeight w:val="189"/>
        </w:trPr>
        <w:tc>
          <w:tcPr>
            <w:tcW w:w="8240" w:type="dxa"/>
            <w:vAlign w:val="bottom"/>
          </w:tcPr>
          <w:p>
            <w:pPr>
              <w:ind w:left="520"/>
              <w:spacing w:after="0"/>
              <w:rPr>
                <w:sz w:val="20"/>
                <w:szCs w:val="20"/>
                <w:color w:val="auto"/>
              </w:rPr>
            </w:pPr>
            <w:r>
              <w:rPr>
                <w:rFonts w:ascii="Arial" w:cs="Arial" w:eastAsia="Arial" w:hAnsi="Arial"/>
                <w:sz w:val="15"/>
                <w:szCs w:val="15"/>
                <w:color w:val="auto"/>
              </w:rPr>
              <w:t>Total</w:t>
            </w:r>
          </w:p>
        </w:tc>
        <w:tc>
          <w:tcPr>
            <w:tcW w:w="138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rPr>
              <w:t>604,222</w:t>
            </w:r>
          </w:p>
        </w:tc>
        <w:tc>
          <w:tcPr>
            <w:tcW w:w="440" w:type="dxa"/>
            <w:vAlign w:val="bottom"/>
          </w:tcPr>
          <w:p>
            <w:pPr>
              <w:spacing w:after="0"/>
              <w:rPr>
                <w:sz w:val="16"/>
                <w:szCs w:val="16"/>
                <w:color w:val="auto"/>
              </w:rPr>
            </w:pPr>
          </w:p>
        </w:tc>
        <w:tc>
          <w:tcPr>
            <w:tcW w:w="360" w:type="dxa"/>
            <w:vAlign w:val="bottom"/>
            <w:tcBorders>
              <w:top w:val="single" w:sz="8" w:color="auto"/>
            </w:tcBorders>
          </w:tcPr>
          <w:p>
            <w:pPr>
              <w:spacing w:after="0"/>
              <w:rPr>
                <w:sz w:val="16"/>
                <w:szCs w:val="16"/>
                <w:color w:val="auto"/>
              </w:rPr>
            </w:pPr>
          </w:p>
        </w:tc>
        <w:tc>
          <w:tcPr>
            <w:tcW w:w="100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rPr>
              <w:t>627,005</w:t>
            </w:r>
          </w:p>
        </w:tc>
      </w:tr>
      <w:tr>
        <w:trPr>
          <w:trHeight w:val="22"/>
        </w:trPr>
        <w:tc>
          <w:tcPr>
            <w:tcW w:w="8240" w:type="dxa"/>
            <w:vAlign w:val="bottom"/>
            <w:tcBorders>
              <w:bottom w:val="single" w:sz="8" w:color="CCEEFF"/>
            </w:tcBorders>
          </w:tcPr>
          <w:p>
            <w:pPr>
              <w:spacing w:after="0" w:line="20" w:lineRule="exact"/>
              <w:rPr>
                <w:sz w:val="1"/>
                <w:szCs w:val="1"/>
                <w:color w:val="auto"/>
              </w:rPr>
            </w:pPr>
          </w:p>
        </w:tc>
        <w:tc>
          <w:tcPr>
            <w:tcW w:w="138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CCEEFF"/>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r>
      <w:tr>
        <w:trPr>
          <w:trHeight w:val="178"/>
        </w:trPr>
        <w:tc>
          <w:tcPr>
            <w:tcW w:w="8240" w:type="dxa"/>
            <w:vAlign w:val="bottom"/>
            <w:shd w:val="clear" w:color="auto" w:fill="CCEEFF"/>
          </w:tcPr>
          <w:p>
            <w:pPr>
              <w:spacing w:after="0"/>
              <w:rPr>
                <w:sz w:val="15"/>
                <w:szCs w:val="15"/>
                <w:color w:val="auto"/>
              </w:rPr>
            </w:pPr>
          </w:p>
        </w:tc>
        <w:tc>
          <w:tcPr>
            <w:tcW w:w="1380" w:type="dxa"/>
            <w:vAlign w:val="bottom"/>
            <w:shd w:val="clear" w:color="auto" w:fill="CCEEFF"/>
          </w:tcPr>
          <w:p>
            <w:pPr>
              <w:spacing w:after="0"/>
              <w:rPr>
                <w:sz w:val="15"/>
                <w:szCs w:val="15"/>
                <w:color w:val="auto"/>
              </w:rPr>
            </w:pPr>
          </w:p>
        </w:tc>
        <w:tc>
          <w:tcPr>
            <w:tcW w:w="44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1000" w:type="dxa"/>
            <w:vAlign w:val="bottom"/>
            <w:shd w:val="clear" w:color="auto" w:fill="CCEEFF"/>
          </w:tcPr>
          <w:p>
            <w:pPr>
              <w:spacing w:after="0"/>
              <w:rPr>
                <w:sz w:val="15"/>
                <w:szCs w:val="15"/>
                <w:color w:val="auto"/>
              </w:rPr>
            </w:pPr>
          </w:p>
        </w:tc>
      </w:tr>
      <w:tr>
        <w:trPr>
          <w:trHeight w:val="198"/>
        </w:trPr>
        <w:tc>
          <w:tcPr>
            <w:tcW w:w="8240" w:type="dxa"/>
            <w:vAlign w:val="bottom"/>
          </w:tcPr>
          <w:p>
            <w:pPr>
              <w:ind w:left="20"/>
              <w:spacing w:after="0"/>
              <w:rPr>
                <w:sz w:val="20"/>
                <w:szCs w:val="20"/>
                <w:color w:val="auto"/>
              </w:rPr>
            </w:pPr>
            <w:r>
              <w:rPr>
                <w:rFonts w:ascii="Arial" w:cs="Arial" w:eastAsia="Arial" w:hAnsi="Arial"/>
                <w:sz w:val="15"/>
                <w:szCs w:val="15"/>
                <w:b w:val="1"/>
                <w:bCs w:val="1"/>
                <w:color w:val="auto"/>
              </w:rPr>
              <w:t>Operating Income</w:t>
            </w:r>
          </w:p>
        </w:tc>
        <w:tc>
          <w:tcPr>
            <w:tcW w:w="1380" w:type="dxa"/>
            <w:vAlign w:val="bottom"/>
          </w:tcPr>
          <w:p>
            <w:pPr>
              <w:jc w:val="right"/>
              <w:spacing w:after="0"/>
              <w:rPr>
                <w:sz w:val="20"/>
                <w:szCs w:val="20"/>
                <w:color w:val="auto"/>
              </w:rPr>
            </w:pPr>
            <w:r>
              <w:rPr>
                <w:rFonts w:ascii="Arial" w:cs="Arial" w:eastAsia="Arial" w:hAnsi="Arial"/>
                <w:sz w:val="15"/>
                <w:szCs w:val="15"/>
                <w:color w:val="auto"/>
              </w:rPr>
              <w:t>73,506</w:t>
            </w:r>
          </w:p>
        </w:tc>
        <w:tc>
          <w:tcPr>
            <w:tcW w:w="44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1000" w:type="dxa"/>
            <w:vAlign w:val="bottom"/>
          </w:tcPr>
          <w:p>
            <w:pPr>
              <w:jc w:val="right"/>
              <w:spacing w:after="0"/>
              <w:rPr>
                <w:sz w:val="20"/>
                <w:szCs w:val="20"/>
                <w:color w:val="auto"/>
              </w:rPr>
            </w:pPr>
            <w:r>
              <w:rPr>
                <w:rFonts w:ascii="Arial" w:cs="Arial" w:eastAsia="Arial" w:hAnsi="Arial"/>
                <w:sz w:val="15"/>
                <w:szCs w:val="15"/>
                <w:color w:val="auto"/>
              </w:rPr>
              <w:t>50,162</w:t>
            </w:r>
          </w:p>
        </w:tc>
      </w:tr>
      <w:tr>
        <w:trPr>
          <w:trHeight w:val="22"/>
        </w:trPr>
        <w:tc>
          <w:tcPr>
            <w:tcW w:w="8240" w:type="dxa"/>
            <w:vAlign w:val="bottom"/>
            <w:tcBorders>
              <w:bottom w:val="single" w:sz="8" w:color="CCEEFF"/>
            </w:tcBorders>
          </w:tcPr>
          <w:p>
            <w:pPr>
              <w:spacing w:after="0" w:line="20" w:lineRule="exact"/>
              <w:rPr>
                <w:sz w:val="1"/>
                <w:szCs w:val="1"/>
                <w:color w:val="auto"/>
              </w:rPr>
            </w:pPr>
          </w:p>
        </w:tc>
        <w:tc>
          <w:tcPr>
            <w:tcW w:w="138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CCEEFF"/>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r>
      <w:tr>
        <w:trPr>
          <w:trHeight w:val="178"/>
        </w:trPr>
        <w:tc>
          <w:tcPr>
            <w:tcW w:w="8240" w:type="dxa"/>
            <w:vAlign w:val="bottom"/>
            <w:shd w:val="clear" w:color="auto" w:fill="CCEEFF"/>
          </w:tcPr>
          <w:p>
            <w:pPr>
              <w:spacing w:after="0"/>
              <w:rPr>
                <w:sz w:val="15"/>
                <w:szCs w:val="15"/>
                <w:color w:val="auto"/>
              </w:rPr>
            </w:pPr>
          </w:p>
        </w:tc>
        <w:tc>
          <w:tcPr>
            <w:tcW w:w="1380" w:type="dxa"/>
            <w:vAlign w:val="bottom"/>
            <w:shd w:val="clear" w:color="auto" w:fill="CCEEFF"/>
          </w:tcPr>
          <w:p>
            <w:pPr>
              <w:spacing w:after="0"/>
              <w:rPr>
                <w:sz w:val="15"/>
                <w:szCs w:val="15"/>
                <w:color w:val="auto"/>
              </w:rPr>
            </w:pPr>
          </w:p>
        </w:tc>
        <w:tc>
          <w:tcPr>
            <w:tcW w:w="44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1000" w:type="dxa"/>
            <w:vAlign w:val="bottom"/>
            <w:shd w:val="clear" w:color="auto" w:fill="CCEEFF"/>
          </w:tcPr>
          <w:p>
            <w:pPr>
              <w:spacing w:after="0"/>
              <w:rPr>
                <w:sz w:val="15"/>
                <w:szCs w:val="15"/>
                <w:color w:val="auto"/>
              </w:rPr>
            </w:pPr>
          </w:p>
        </w:tc>
      </w:tr>
      <w:tr>
        <w:trPr>
          <w:trHeight w:val="198"/>
        </w:trPr>
        <w:tc>
          <w:tcPr>
            <w:tcW w:w="8240" w:type="dxa"/>
            <w:vAlign w:val="bottom"/>
          </w:tcPr>
          <w:p>
            <w:pPr>
              <w:ind w:left="20"/>
              <w:spacing w:after="0"/>
              <w:rPr>
                <w:sz w:val="20"/>
                <w:szCs w:val="20"/>
                <w:color w:val="auto"/>
              </w:rPr>
            </w:pPr>
            <w:r>
              <w:rPr>
                <w:rFonts w:ascii="Arial" w:cs="Arial" w:eastAsia="Arial" w:hAnsi="Arial"/>
                <w:sz w:val="15"/>
                <w:szCs w:val="15"/>
                <w:b w:val="1"/>
                <w:bCs w:val="1"/>
                <w:color w:val="auto"/>
              </w:rPr>
              <w:t>Other Income (Deductions)</w:t>
            </w:r>
          </w:p>
        </w:tc>
        <w:tc>
          <w:tcPr>
            <w:tcW w:w="138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1000" w:type="dxa"/>
            <w:vAlign w:val="bottom"/>
          </w:tcPr>
          <w:p>
            <w:pPr>
              <w:spacing w:after="0"/>
              <w:rPr>
                <w:sz w:val="17"/>
                <w:szCs w:val="17"/>
                <w:color w:val="auto"/>
              </w:rPr>
            </w:pPr>
          </w:p>
        </w:tc>
      </w:tr>
      <w:tr>
        <w:trPr>
          <w:trHeight w:val="22"/>
        </w:trPr>
        <w:tc>
          <w:tcPr>
            <w:tcW w:w="824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r>
      <w:tr>
        <w:trPr>
          <w:trHeight w:val="200"/>
        </w:trPr>
        <w:tc>
          <w:tcPr>
            <w:tcW w:w="8240" w:type="dxa"/>
            <w:vAlign w:val="bottom"/>
            <w:tcBorders>
              <w:bottom w:val="single" w:sz="8" w:color="CCEEFF"/>
            </w:tcBorders>
            <w:shd w:val="clear" w:color="auto" w:fill="CCEEFF"/>
          </w:tcPr>
          <w:p>
            <w:pPr>
              <w:ind w:left="380"/>
              <w:spacing w:after="0"/>
              <w:rPr>
                <w:sz w:val="20"/>
                <w:szCs w:val="20"/>
                <w:color w:val="auto"/>
              </w:rPr>
            </w:pPr>
            <w:r>
              <w:rPr>
                <w:rFonts w:ascii="Arial" w:cs="Arial" w:eastAsia="Arial" w:hAnsi="Arial"/>
                <w:sz w:val="15"/>
                <w:szCs w:val="15"/>
                <w:color w:val="auto"/>
              </w:rPr>
              <w:t>Allowance for equity funds used during construction</w:t>
            </w:r>
          </w:p>
        </w:tc>
        <w:tc>
          <w:tcPr>
            <w:tcW w:w="13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9,482</w:t>
            </w:r>
          </w:p>
        </w:tc>
        <w:tc>
          <w:tcPr>
            <w:tcW w:w="440" w:type="dxa"/>
            <w:vAlign w:val="bottom"/>
            <w:tcBorders>
              <w:bottom w:val="single" w:sz="8" w:color="CCEEFF"/>
            </w:tcBorders>
            <w:shd w:val="clear" w:color="auto" w:fill="CCEEFF"/>
          </w:tcPr>
          <w:p>
            <w:pPr>
              <w:spacing w:after="0"/>
              <w:rPr>
                <w:sz w:val="17"/>
                <w:szCs w:val="17"/>
                <w:color w:val="auto"/>
              </w:rPr>
            </w:pPr>
          </w:p>
        </w:tc>
        <w:tc>
          <w:tcPr>
            <w:tcW w:w="360" w:type="dxa"/>
            <w:vAlign w:val="bottom"/>
            <w:tcBorders>
              <w:bottom w:val="single" w:sz="8" w:color="CCEEFF"/>
            </w:tcBorders>
            <w:shd w:val="clear" w:color="auto" w:fill="CCEEFF"/>
          </w:tcPr>
          <w:p>
            <w:pPr>
              <w:spacing w:after="0"/>
              <w:rPr>
                <w:sz w:val="17"/>
                <w:szCs w:val="17"/>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10,516</w:t>
            </w:r>
          </w:p>
        </w:tc>
      </w:tr>
      <w:tr>
        <w:trPr>
          <w:trHeight w:val="198"/>
        </w:trPr>
        <w:tc>
          <w:tcPr>
            <w:tcW w:w="8240" w:type="dxa"/>
            <w:vAlign w:val="bottom"/>
          </w:tcPr>
          <w:p>
            <w:pPr>
              <w:ind w:left="380"/>
              <w:spacing w:after="0"/>
              <w:rPr>
                <w:sz w:val="20"/>
                <w:szCs w:val="20"/>
                <w:color w:val="auto"/>
              </w:rPr>
            </w:pPr>
            <w:r>
              <w:rPr>
                <w:rFonts w:ascii="Arial" w:cs="Arial" w:eastAsia="Arial" w:hAnsi="Arial"/>
                <w:sz w:val="15"/>
                <w:szCs w:val="15"/>
                <w:color w:val="auto"/>
              </w:rPr>
              <w:t>Other income</w:t>
            </w:r>
          </w:p>
        </w:tc>
        <w:tc>
          <w:tcPr>
            <w:tcW w:w="1380" w:type="dxa"/>
            <w:vAlign w:val="bottom"/>
          </w:tcPr>
          <w:p>
            <w:pPr>
              <w:jc w:val="right"/>
              <w:spacing w:after="0"/>
              <w:rPr>
                <w:sz w:val="20"/>
                <w:szCs w:val="20"/>
                <w:color w:val="auto"/>
              </w:rPr>
            </w:pPr>
            <w:r>
              <w:rPr>
                <w:rFonts w:ascii="Arial" w:cs="Arial" w:eastAsia="Arial" w:hAnsi="Arial"/>
                <w:sz w:val="15"/>
                <w:szCs w:val="15"/>
                <w:color w:val="auto"/>
              </w:rPr>
              <w:t>480</w:t>
            </w:r>
          </w:p>
        </w:tc>
        <w:tc>
          <w:tcPr>
            <w:tcW w:w="44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1000" w:type="dxa"/>
            <w:vAlign w:val="bottom"/>
          </w:tcPr>
          <w:p>
            <w:pPr>
              <w:jc w:val="right"/>
              <w:spacing w:after="0"/>
              <w:rPr>
                <w:sz w:val="20"/>
                <w:szCs w:val="20"/>
                <w:color w:val="auto"/>
              </w:rPr>
            </w:pPr>
            <w:r>
              <w:rPr>
                <w:rFonts w:ascii="Arial" w:cs="Arial" w:eastAsia="Arial" w:hAnsi="Arial"/>
                <w:sz w:val="15"/>
                <w:szCs w:val="15"/>
                <w:color w:val="auto"/>
              </w:rPr>
              <w:t>117</w:t>
            </w:r>
          </w:p>
        </w:tc>
      </w:tr>
      <w:tr>
        <w:trPr>
          <w:trHeight w:val="22"/>
        </w:trPr>
        <w:tc>
          <w:tcPr>
            <w:tcW w:w="824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r>
      <w:tr>
        <w:trPr>
          <w:trHeight w:val="220"/>
        </w:trPr>
        <w:tc>
          <w:tcPr>
            <w:tcW w:w="8240" w:type="dxa"/>
            <w:vAlign w:val="bottom"/>
            <w:tcBorders>
              <w:bottom w:val="single" w:sz="8" w:color="CCEEFF"/>
            </w:tcBorders>
            <w:shd w:val="clear" w:color="auto" w:fill="CCEEFF"/>
          </w:tcPr>
          <w:p>
            <w:pPr>
              <w:ind w:left="380"/>
              <w:spacing w:after="0"/>
              <w:rPr>
                <w:sz w:val="20"/>
                <w:szCs w:val="20"/>
                <w:color w:val="auto"/>
              </w:rPr>
            </w:pPr>
            <w:r>
              <w:rPr>
                <w:rFonts w:ascii="Arial" w:cs="Arial" w:eastAsia="Arial" w:hAnsi="Arial"/>
                <w:sz w:val="15"/>
                <w:szCs w:val="15"/>
                <w:color w:val="auto"/>
              </w:rPr>
              <w:t>Other expense</w:t>
            </w:r>
          </w:p>
        </w:tc>
        <w:tc>
          <w:tcPr>
            <w:tcW w:w="13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(3,680)</w:t>
            </w:r>
          </w:p>
        </w:tc>
        <w:tc>
          <w:tcPr>
            <w:tcW w:w="440" w:type="dxa"/>
            <w:vAlign w:val="bottom"/>
            <w:tcBorders>
              <w:bottom w:val="single" w:sz="8" w:color="CCEEFF"/>
            </w:tcBorders>
            <w:shd w:val="clear" w:color="auto" w:fill="CCEEFF"/>
          </w:tcPr>
          <w:p>
            <w:pPr>
              <w:spacing w:after="0"/>
              <w:rPr>
                <w:sz w:val="19"/>
                <w:szCs w:val="19"/>
                <w:color w:val="auto"/>
              </w:rPr>
            </w:pPr>
          </w:p>
        </w:tc>
        <w:tc>
          <w:tcPr>
            <w:tcW w:w="360" w:type="dxa"/>
            <w:vAlign w:val="bottom"/>
            <w:tcBorders>
              <w:bottom w:val="single" w:sz="8" w:color="CCEEFF"/>
            </w:tcBorders>
            <w:shd w:val="clear" w:color="auto" w:fill="CCEEFF"/>
          </w:tcPr>
          <w:p>
            <w:pPr>
              <w:spacing w:after="0"/>
              <w:rPr>
                <w:sz w:val="19"/>
                <w:szCs w:val="19"/>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(4,038)</w:t>
            </w:r>
          </w:p>
        </w:tc>
      </w:tr>
      <w:tr>
        <w:trPr>
          <w:trHeight w:val="189"/>
        </w:trPr>
        <w:tc>
          <w:tcPr>
            <w:tcW w:w="8240" w:type="dxa"/>
            <w:vAlign w:val="bottom"/>
          </w:tcPr>
          <w:p>
            <w:pPr>
              <w:ind w:left="480"/>
              <w:spacing w:after="0"/>
              <w:rPr>
                <w:sz w:val="20"/>
                <w:szCs w:val="20"/>
                <w:color w:val="auto"/>
              </w:rPr>
            </w:pPr>
            <w:r>
              <w:rPr>
                <w:rFonts w:ascii="Arial" w:cs="Arial" w:eastAsia="Arial" w:hAnsi="Arial"/>
                <w:sz w:val="15"/>
                <w:szCs w:val="15"/>
                <w:color w:val="auto"/>
              </w:rPr>
              <w:t>Total</w:t>
            </w:r>
          </w:p>
        </w:tc>
        <w:tc>
          <w:tcPr>
            <w:tcW w:w="138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rPr>
              <w:t>6,282</w:t>
            </w:r>
          </w:p>
        </w:tc>
        <w:tc>
          <w:tcPr>
            <w:tcW w:w="440" w:type="dxa"/>
            <w:vAlign w:val="bottom"/>
          </w:tcPr>
          <w:p>
            <w:pPr>
              <w:spacing w:after="0"/>
              <w:rPr>
                <w:sz w:val="16"/>
                <w:szCs w:val="16"/>
                <w:color w:val="auto"/>
              </w:rPr>
            </w:pPr>
          </w:p>
        </w:tc>
        <w:tc>
          <w:tcPr>
            <w:tcW w:w="360" w:type="dxa"/>
            <w:vAlign w:val="bottom"/>
            <w:tcBorders>
              <w:top w:val="single" w:sz="8" w:color="auto"/>
            </w:tcBorders>
          </w:tcPr>
          <w:p>
            <w:pPr>
              <w:spacing w:after="0"/>
              <w:rPr>
                <w:sz w:val="16"/>
                <w:szCs w:val="16"/>
                <w:color w:val="auto"/>
              </w:rPr>
            </w:pPr>
          </w:p>
        </w:tc>
        <w:tc>
          <w:tcPr>
            <w:tcW w:w="100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rPr>
              <w:t>6,595</w:t>
            </w:r>
          </w:p>
        </w:tc>
      </w:tr>
      <w:tr>
        <w:trPr>
          <w:trHeight w:val="22"/>
        </w:trPr>
        <w:tc>
          <w:tcPr>
            <w:tcW w:w="8240" w:type="dxa"/>
            <w:vAlign w:val="bottom"/>
            <w:tcBorders>
              <w:bottom w:val="single" w:sz="8" w:color="CCEEFF"/>
            </w:tcBorders>
          </w:tcPr>
          <w:p>
            <w:pPr>
              <w:spacing w:after="0" w:line="20" w:lineRule="exact"/>
              <w:rPr>
                <w:sz w:val="1"/>
                <w:szCs w:val="1"/>
                <w:color w:val="auto"/>
              </w:rPr>
            </w:pPr>
          </w:p>
        </w:tc>
        <w:tc>
          <w:tcPr>
            <w:tcW w:w="138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CCEEFF"/>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r>
      <w:tr>
        <w:trPr>
          <w:trHeight w:val="178"/>
        </w:trPr>
        <w:tc>
          <w:tcPr>
            <w:tcW w:w="8240" w:type="dxa"/>
            <w:vAlign w:val="bottom"/>
            <w:shd w:val="clear" w:color="auto" w:fill="CCEEFF"/>
          </w:tcPr>
          <w:p>
            <w:pPr>
              <w:spacing w:after="0"/>
              <w:rPr>
                <w:sz w:val="15"/>
                <w:szCs w:val="15"/>
                <w:color w:val="auto"/>
              </w:rPr>
            </w:pPr>
          </w:p>
        </w:tc>
        <w:tc>
          <w:tcPr>
            <w:tcW w:w="1380" w:type="dxa"/>
            <w:vAlign w:val="bottom"/>
            <w:shd w:val="clear" w:color="auto" w:fill="CCEEFF"/>
          </w:tcPr>
          <w:p>
            <w:pPr>
              <w:spacing w:after="0"/>
              <w:rPr>
                <w:sz w:val="15"/>
                <w:szCs w:val="15"/>
                <w:color w:val="auto"/>
              </w:rPr>
            </w:pPr>
          </w:p>
        </w:tc>
        <w:tc>
          <w:tcPr>
            <w:tcW w:w="44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1000" w:type="dxa"/>
            <w:vAlign w:val="bottom"/>
            <w:shd w:val="clear" w:color="auto" w:fill="CCEEFF"/>
          </w:tcPr>
          <w:p>
            <w:pPr>
              <w:spacing w:after="0"/>
              <w:rPr>
                <w:sz w:val="15"/>
                <w:szCs w:val="15"/>
                <w:color w:val="auto"/>
              </w:rPr>
            </w:pPr>
          </w:p>
        </w:tc>
      </w:tr>
      <w:tr>
        <w:trPr>
          <w:trHeight w:val="198"/>
        </w:trPr>
        <w:tc>
          <w:tcPr>
            <w:tcW w:w="8240" w:type="dxa"/>
            <w:vAlign w:val="bottom"/>
          </w:tcPr>
          <w:p>
            <w:pPr>
              <w:ind w:left="20"/>
              <w:spacing w:after="0"/>
              <w:rPr>
                <w:sz w:val="20"/>
                <w:szCs w:val="20"/>
                <w:color w:val="auto"/>
              </w:rPr>
            </w:pPr>
            <w:r>
              <w:rPr>
                <w:rFonts w:ascii="Arial" w:cs="Arial" w:eastAsia="Arial" w:hAnsi="Arial"/>
                <w:sz w:val="15"/>
                <w:szCs w:val="15"/>
                <w:b w:val="1"/>
                <w:bCs w:val="1"/>
                <w:color w:val="auto"/>
              </w:rPr>
              <w:t>Interest Expense</w:t>
            </w:r>
          </w:p>
        </w:tc>
        <w:tc>
          <w:tcPr>
            <w:tcW w:w="138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1000" w:type="dxa"/>
            <w:vAlign w:val="bottom"/>
          </w:tcPr>
          <w:p>
            <w:pPr>
              <w:spacing w:after="0"/>
              <w:rPr>
                <w:sz w:val="17"/>
                <w:szCs w:val="17"/>
                <w:color w:val="auto"/>
              </w:rPr>
            </w:pPr>
          </w:p>
        </w:tc>
      </w:tr>
      <w:tr>
        <w:trPr>
          <w:trHeight w:val="22"/>
        </w:trPr>
        <w:tc>
          <w:tcPr>
            <w:tcW w:w="824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r>
      <w:tr>
        <w:trPr>
          <w:trHeight w:val="200"/>
        </w:trPr>
        <w:tc>
          <w:tcPr>
            <w:tcW w:w="8240" w:type="dxa"/>
            <w:vAlign w:val="bottom"/>
            <w:tcBorders>
              <w:bottom w:val="single" w:sz="8" w:color="CCEEFF"/>
            </w:tcBorders>
            <w:shd w:val="clear" w:color="auto" w:fill="CCEEFF"/>
          </w:tcPr>
          <w:p>
            <w:pPr>
              <w:ind w:left="380"/>
              <w:spacing w:after="0"/>
              <w:rPr>
                <w:sz w:val="20"/>
                <w:szCs w:val="20"/>
                <w:color w:val="auto"/>
              </w:rPr>
            </w:pPr>
            <w:r>
              <w:rPr>
                <w:rFonts w:ascii="Arial" w:cs="Arial" w:eastAsia="Arial" w:hAnsi="Arial"/>
                <w:sz w:val="15"/>
                <w:szCs w:val="15"/>
                <w:color w:val="auto"/>
              </w:rPr>
              <w:t>Interest charges</w:t>
            </w:r>
          </w:p>
        </w:tc>
        <w:tc>
          <w:tcPr>
            <w:tcW w:w="13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51,864</w:t>
            </w:r>
          </w:p>
        </w:tc>
        <w:tc>
          <w:tcPr>
            <w:tcW w:w="440" w:type="dxa"/>
            <w:vAlign w:val="bottom"/>
            <w:tcBorders>
              <w:bottom w:val="single" w:sz="8" w:color="CCEEFF"/>
            </w:tcBorders>
            <w:shd w:val="clear" w:color="auto" w:fill="CCEEFF"/>
          </w:tcPr>
          <w:p>
            <w:pPr>
              <w:spacing w:after="0"/>
              <w:rPr>
                <w:sz w:val="17"/>
                <w:szCs w:val="17"/>
                <w:color w:val="auto"/>
              </w:rPr>
            </w:pPr>
          </w:p>
        </w:tc>
        <w:tc>
          <w:tcPr>
            <w:tcW w:w="360" w:type="dxa"/>
            <w:vAlign w:val="bottom"/>
            <w:tcBorders>
              <w:bottom w:val="single" w:sz="8" w:color="CCEEFF"/>
            </w:tcBorders>
            <w:shd w:val="clear" w:color="auto" w:fill="CCEEFF"/>
          </w:tcPr>
          <w:p>
            <w:pPr>
              <w:spacing w:after="0"/>
              <w:rPr>
                <w:sz w:val="17"/>
                <w:szCs w:val="17"/>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50,744</w:t>
            </w:r>
          </w:p>
        </w:tc>
      </w:tr>
      <w:tr>
        <w:trPr>
          <w:trHeight w:val="198"/>
        </w:trPr>
        <w:tc>
          <w:tcPr>
            <w:tcW w:w="8240" w:type="dxa"/>
            <w:vAlign w:val="bottom"/>
          </w:tcPr>
          <w:p>
            <w:pPr>
              <w:ind w:left="380"/>
              <w:spacing w:after="0"/>
              <w:rPr>
                <w:sz w:val="20"/>
                <w:szCs w:val="20"/>
                <w:color w:val="auto"/>
              </w:rPr>
            </w:pPr>
            <w:r>
              <w:rPr>
                <w:rFonts w:ascii="Arial" w:cs="Arial" w:eastAsia="Arial" w:hAnsi="Arial"/>
                <w:sz w:val="15"/>
                <w:szCs w:val="15"/>
                <w:color w:val="auto"/>
              </w:rPr>
              <w:t>Allowance for borrowed funds used during construction</w:t>
            </w:r>
          </w:p>
        </w:tc>
        <w:tc>
          <w:tcPr>
            <w:tcW w:w="1380" w:type="dxa"/>
            <w:vAlign w:val="bottom"/>
          </w:tcPr>
          <w:p>
            <w:pPr>
              <w:jc w:val="right"/>
              <w:spacing w:after="0"/>
              <w:rPr>
                <w:sz w:val="20"/>
                <w:szCs w:val="20"/>
                <w:color w:val="auto"/>
              </w:rPr>
            </w:pPr>
            <w:r>
              <w:rPr>
                <w:rFonts w:ascii="Arial" w:cs="Arial" w:eastAsia="Arial" w:hAnsi="Arial"/>
                <w:sz w:val="15"/>
                <w:szCs w:val="15"/>
                <w:color w:val="auto"/>
              </w:rPr>
              <w:t>(4,472)</w:t>
            </w:r>
          </w:p>
        </w:tc>
        <w:tc>
          <w:tcPr>
            <w:tcW w:w="44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1000" w:type="dxa"/>
            <w:vAlign w:val="bottom"/>
          </w:tcPr>
          <w:p>
            <w:pPr>
              <w:jc w:val="right"/>
              <w:spacing w:after="0"/>
              <w:rPr>
                <w:sz w:val="20"/>
                <w:szCs w:val="20"/>
                <w:color w:val="auto"/>
              </w:rPr>
            </w:pPr>
            <w:r>
              <w:rPr>
                <w:rFonts w:ascii="Arial" w:cs="Arial" w:eastAsia="Arial" w:hAnsi="Arial"/>
                <w:sz w:val="15"/>
                <w:szCs w:val="15"/>
                <w:color w:val="auto"/>
              </w:rPr>
              <w:t>(5,227)</w:t>
            </w:r>
          </w:p>
        </w:tc>
      </w:tr>
      <w:tr>
        <w:trPr>
          <w:trHeight w:val="22"/>
        </w:trPr>
        <w:tc>
          <w:tcPr>
            <w:tcW w:w="8240" w:type="dxa"/>
            <w:vAlign w:val="bottom"/>
            <w:tcBorders>
              <w:bottom w:val="single" w:sz="8" w:color="CCEEFF"/>
            </w:tcBorders>
          </w:tcPr>
          <w:p>
            <w:pPr>
              <w:spacing w:after="0" w:line="20" w:lineRule="exact"/>
              <w:rPr>
                <w:sz w:val="1"/>
                <w:szCs w:val="1"/>
                <w:color w:val="auto"/>
              </w:rPr>
            </w:pPr>
          </w:p>
        </w:tc>
        <w:tc>
          <w:tcPr>
            <w:tcW w:w="138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CCEEFF"/>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r>
      <w:tr>
        <w:trPr>
          <w:trHeight w:val="211"/>
        </w:trPr>
        <w:tc>
          <w:tcPr>
            <w:tcW w:w="8240" w:type="dxa"/>
            <w:vAlign w:val="bottom"/>
            <w:tcBorders>
              <w:bottom w:val="single" w:sz="8" w:color="CCEEFF"/>
            </w:tcBorders>
            <w:shd w:val="clear" w:color="auto" w:fill="CCEEFF"/>
          </w:tcPr>
          <w:p>
            <w:pPr>
              <w:ind w:left="480"/>
              <w:spacing w:after="0"/>
              <w:rPr>
                <w:sz w:val="20"/>
                <w:szCs w:val="20"/>
                <w:color w:val="auto"/>
              </w:rPr>
            </w:pPr>
            <w:r>
              <w:rPr>
                <w:rFonts w:ascii="Arial" w:cs="Arial" w:eastAsia="Arial" w:hAnsi="Arial"/>
                <w:sz w:val="15"/>
                <w:szCs w:val="15"/>
                <w:color w:val="auto"/>
              </w:rPr>
              <w:t>Total</w:t>
            </w:r>
          </w:p>
        </w:tc>
        <w:tc>
          <w:tcPr>
            <w:tcW w:w="13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47,392</w:t>
            </w:r>
          </w:p>
        </w:tc>
        <w:tc>
          <w:tcPr>
            <w:tcW w:w="440" w:type="dxa"/>
            <w:vAlign w:val="bottom"/>
            <w:tcBorders>
              <w:bottom w:val="single" w:sz="8" w:color="CCEEFF"/>
            </w:tcBorders>
            <w:shd w:val="clear" w:color="auto" w:fill="CCEEFF"/>
          </w:tcPr>
          <w:p>
            <w:pPr>
              <w:spacing w:after="0"/>
              <w:rPr>
                <w:sz w:val="18"/>
                <w:szCs w:val="18"/>
                <w:color w:val="auto"/>
              </w:rPr>
            </w:pPr>
          </w:p>
        </w:tc>
        <w:tc>
          <w:tcPr>
            <w:tcW w:w="360" w:type="dxa"/>
            <w:vAlign w:val="bottom"/>
            <w:tcBorders>
              <w:bottom w:val="single" w:sz="8" w:color="CCEEFF"/>
            </w:tcBorders>
            <w:shd w:val="clear" w:color="auto" w:fill="CCEEFF"/>
          </w:tcPr>
          <w:p>
            <w:pPr>
              <w:spacing w:after="0"/>
              <w:rPr>
                <w:sz w:val="18"/>
                <w:szCs w:val="18"/>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45,517</w:t>
            </w:r>
          </w:p>
        </w:tc>
      </w:tr>
      <w:tr>
        <w:trPr>
          <w:trHeight w:val="178"/>
        </w:trPr>
        <w:tc>
          <w:tcPr>
            <w:tcW w:w="8240" w:type="dxa"/>
            <w:vAlign w:val="bottom"/>
          </w:tcPr>
          <w:p>
            <w:pPr>
              <w:spacing w:after="0"/>
              <w:rPr>
                <w:sz w:val="15"/>
                <w:szCs w:val="15"/>
                <w:color w:val="auto"/>
              </w:rPr>
            </w:pPr>
          </w:p>
        </w:tc>
        <w:tc>
          <w:tcPr>
            <w:tcW w:w="1380" w:type="dxa"/>
            <w:vAlign w:val="bottom"/>
            <w:tcBorders>
              <w:top w:val="single" w:sz="8" w:color="auto"/>
            </w:tcBorders>
          </w:tcPr>
          <w:p>
            <w:pPr>
              <w:spacing w:after="0"/>
              <w:rPr>
                <w:sz w:val="15"/>
                <w:szCs w:val="15"/>
                <w:color w:val="auto"/>
              </w:rPr>
            </w:pPr>
          </w:p>
        </w:tc>
        <w:tc>
          <w:tcPr>
            <w:tcW w:w="440" w:type="dxa"/>
            <w:vAlign w:val="bottom"/>
          </w:tcPr>
          <w:p>
            <w:pPr>
              <w:spacing w:after="0"/>
              <w:rPr>
                <w:sz w:val="15"/>
                <w:szCs w:val="15"/>
                <w:color w:val="auto"/>
              </w:rPr>
            </w:pPr>
          </w:p>
        </w:tc>
        <w:tc>
          <w:tcPr>
            <w:tcW w:w="360" w:type="dxa"/>
            <w:vAlign w:val="bottom"/>
            <w:tcBorders>
              <w:top w:val="single" w:sz="8" w:color="auto"/>
            </w:tcBorders>
          </w:tcPr>
          <w:p>
            <w:pPr>
              <w:spacing w:after="0"/>
              <w:rPr>
                <w:sz w:val="15"/>
                <w:szCs w:val="15"/>
                <w:color w:val="auto"/>
              </w:rPr>
            </w:pPr>
          </w:p>
        </w:tc>
        <w:tc>
          <w:tcPr>
            <w:tcW w:w="1000" w:type="dxa"/>
            <w:vAlign w:val="bottom"/>
            <w:tcBorders>
              <w:top w:val="single" w:sz="8" w:color="auto"/>
            </w:tcBorders>
          </w:tcPr>
          <w:p>
            <w:pPr>
              <w:spacing w:after="0"/>
              <w:rPr>
                <w:sz w:val="15"/>
                <w:szCs w:val="15"/>
                <w:color w:val="auto"/>
              </w:rPr>
            </w:pPr>
          </w:p>
        </w:tc>
      </w:tr>
      <w:tr>
        <w:trPr>
          <w:trHeight w:val="200"/>
        </w:trPr>
        <w:tc>
          <w:tcPr>
            <w:tcW w:w="824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5"/>
                <w:szCs w:val="15"/>
                <w:b w:val="1"/>
                <w:bCs w:val="1"/>
                <w:color w:val="auto"/>
              </w:rPr>
              <w:t>Income Before Income Taxes</w:t>
            </w:r>
          </w:p>
        </w:tc>
        <w:tc>
          <w:tcPr>
            <w:tcW w:w="13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32,396</w:t>
            </w:r>
          </w:p>
        </w:tc>
        <w:tc>
          <w:tcPr>
            <w:tcW w:w="440" w:type="dxa"/>
            <w:vAlign w:val="bottom"/>
            <w:tcBorders>
              <w:bottom w:val="single" w:sz="8" w:color="CCEEFF"/>
            </w:tcBorders>
            <w:shd w:val="clear" w:color="auto" w:fill="CCEEFF"/>
          </w:tcPr>
          <w:p>
            <w:pPr>
              <w:spacing w:after="0"/>
              <w:rPr>
                <w:sz w:val="17"/>
                <w:szCs w:val="17"/>
                <w:color w:val="auto"/>
              </w:rPr>
            </w:pPr>
          </w:p>
        </w:tc>
        <w:tc>
          <w:tcPr>
            <w:tcW w:w="360" w:type="dxa"/>
            <w:vAlign w:val="bottom"/>
            <w:tcBorders>
              <w:bottom w:val="single" w:sz="8" w:color="CCEEFF"/>
            </w:tcBorders>
            <w:shd w:val="clear" w:color="auto" w:fill="CCEEFF"/>
          </w:tcPr>
          <w:p>
            <w:pPr>
              <w:spacing w:after="0"/>
              <w:rPr>
                <w:sz w:val="17"/>
                <w:szCs w:val="17"/>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11,240</w:t>
            </w:r>
          </w:p>
        </w:tc>
      </w:tr>
      <w:tr>
        <w:trPr>
          <w:trHeight w:val="187"/>
        </w:trPr>
        <w:tc>
          <w:tcPr>
            <w:tcW w:w="8240" w:type="dxa"/>
            <w:vAlign w:val="bottom"/>
          </w:tcPr>
          <w:p>
            <w:pPr>
              <w:spacing w:after="0"/>
              <w:rPr>
                <w:sz w:val="16"/>
                <w:szCs w:val="16"/>
                <w:color w:val="auto"/>
              </w:rPr>
            </w:pPr>
          </w:p>
        </w:tc>
        <w:tc>
          <w:tcPr>
            <w:tcW w:w="138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1000" w:type="dxa"/>
            <w:vAlign w:val="bottom"/>
          </w:tcPr>
          <w:p>
            <w:pPr>
              <w:spacing w:after="0"/>
              <w:rPr>
                <w:sz w:val="16"/>
                <w:szCs w:val="16"/>
                <w:color w:val="auto"/>
              </w:rPr>
            </w:pPr>
          </w:p>
        </w:tc>
      </w:tr>
      <w:tr>
        <w:trPr>
          <w:trHeight w:val="220"/>
        </w:trPr>
        <w:tc>
          <w:tcPr>
            <w:tcW w:w="824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5"/>
                <w:szCs w:val="15"/>
                <w:b w:val="1"/>
                <w:bCs w:val="1"/>
                <w:color w:val="auto"/>
              </w:rPr>
              <w:t>Income Taxes</w:t>
            </w:r>
          </w:p>
        </w:tc>
        <w:tc>
          <w:tcPr>
            <w:tcW w:w="13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4,211</w:t>
            </w:r>
          </w:p>
        </w:tc>
        <w:tc>
          <w:tcPr>
            <w:tcW w:w="440" w:type="dxa"/>
            <w:vAlign w:val="bottom"/>
            <w:tcBorders>
              <w:bottom w:val="single" w:sz="8" w:color="CCEEFF"/>
            </w:tcBorders>
            <w:shd w:val="clear" w:color="auto" w:fill="CCEEFF"/>
          </w:tcPr>
          <w:p>
            <w:pPr>
              <w:spacing w:after="0"/>
              <w:rPr>
                <w:sz w:val="19"/>
                <w:szCs w:val="19"/>
                <w:color w:val="auto"/>
              </w:rPr>
            </w:pPr>
          </w:p>
        </w:tc>
        <w:tc>
          <w:tcPr>
            <w:tcW w:w="360" w:type="dxa"/>
            <w:vAlign w:val="bottom"/>
            <w:tcBorders>
              <w:bottom w:val="single" w:sz="8" w:color="CCEEFF"/>
            </w:tcBorders>
            <w:shd w:val="clear" w:color="auto" w:fill="CCEEFF"/>
          </w:tcPr>
          <w:p>
            <w:pPr>
              <w:spacing w:after="0"/>
              <w:rPr>
                <w:sz w:val="19"/>
                <w:szCs w:val="19"/>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1,914</w:t>
            </w:r>
          </w:p>
        </w:tc>
      </w:tr>
      <w:tr>
        <w:trPr>
          <w:trHeight w:val="178"/>
        </w:trPr>
        <w:tc>
          <w:tcPr>
            <w:tcW w:w="8240" w:type="dxa"/>
            <w:vAlign w:val="bottom"/>
          </w:tcPr>
          <w:p>
            <w:pPr>
              <w:spacing w:after="0"/>
              <w:rPr>
                <w:sz w:val="15"/>
                <w:szCs w:val="15"/>
                <w:color w:val="auto"/>
              </w:rPr>
            </w:pPr>
          </w:p>
        </w:tc>
        <w:tc>
          <w:tcPr>
            <w:tcW w:w="1380" w:type="dxa"/>
            <w:vAlign w:val="bottom"/>
            <w:tcBorders>
              <w:top w:val="single" w:sz="8" w:color="auto"/>
            </w:tcBorders>
          </w:tcPr>
          <w:p>
            <w:pPr>
              <w:spacing w:after="0"/>
              <w:rPr>
                <w:sz w:val="15"/>
                <w:szCs w:val="15"/>
                <w:color w:val="auto"/>
              </w:rPr>
            </w:pPr>
          </w:p>
        </w:tc>
        <w:tc>
          <w:tcPr>
            <w:tcW w:w="440" w:type="dxa"/>
            <w:vAlign w:val="bottom"/>
          </w:tcPr>
          <w:p>
            <w:pPr>
              <w:spacing w:after="0"/>
              <w:rPr>
                <w:sz w:val="15"/>
                <w:szCs w:val="15"/>
                <w:color w:val="auto"/>
              </w:rPr>
            </w:pPr>
          </w:p>
        </w:tc>
        <w:tc>
          <w:tcPr>
            <w:tcW w:w="360" w:type="dxa"/>
            <w:vAlign w:val="bottom"/>
            <w:tcBorders>
              <w:top w:val="single" w:sz="8" w:color="auto"/>
            </w:tcBorders>
          </w:tcPr>
          <w:p>
            <w:pPr>
              <w:spacing w:after="0"/>
              <w:rPr>
                <w:sz w:val="15"/>
                <w:szCs w:val="15"/>
                <w:color w:val="auto"/>
              </w:rPr>
            </w:pPr>
          </w:p>
        </w:tc>
        <w:tc>
          <w:tcPr>
            <w:tcW w:w="1000" w:type="dxa"/>
            <w:vAlign w:val="bottom"/>
            <w:tcBorders>
              <w:top w:val="single" w:sz="8" w:color="auto"/>
            </w:tcBorders>
          </w:tcPr>
          <w:p>
            <w:pPr>
              <w:spacing w:after="0"/>
              <w:rPr>
                <w:sz w:val="15"/>
                <w:szCs w:val="15"/>
                <w:color w:val="auto"/>
              </w:rPr>
            </w:pPr>
          </w:p>
        </w:tc>
      </w:tr>
      <w:tr>
        <w:trPr>
          <w:trHeight w:val="200"/>
        </w:trPr>
        <w:tc>
          <w:tcPr>
            <w:tcW w:w="824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5"/>
                <w:szCs w:val="15"/>
                <w:b w:val="1"/>
                <w:bCs w:val="1"/>
                <w:color w:val="auto"/>
              </w:rPr>
              <w:t>Net Income</w:t>
            </w:r>
          </w:p>
        </w:tc>
        <w:tc>
          <w:tcPr>
            <w:tcW w:w="13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28,185</w:t>
            </w:r>
          </w:p>
        </w:tc>
        <w:tc>
          <w:tcPr>
            <w:tcW w:w="440" w:type="dxa"/>
            <w:vAlign w:val="bottom"/>
            <w:tcBorders>
              <w:bottom w:val="single" w:sz="8" w:color="CCEEFF"/>
            </w:tcBorders>
            <w:shd w:val="clear" w:color="auto" w:fill="CCEEFF"/>
          </w:tcPr>
          <w:p>
            <w:pPr>
              <w:spacing w:after="0"/>
              <w:rPr>
                <w:sz w:val="17"/>
                <w:szCs w:val="17"/>
                <w:color w:val="auto"/>
              </w:rPr>
            </w:pPr>
          </w:p>
        </w:tc>
        <w:tc>
          <w:tcPr>
            <w:tcW w:w="360" w:type="dxa"/>
            <w:vAlign w:val="bottom"/>
            <w:tcBorders>
              <w:bottom w:val="single" w:sz="8" w:color="CCEEFF"/>
            </w:tcBorders>
            <w:shd w:val="clear" w:color="auto" w:fill="CCEEFF"/>
          </w:tcPr>
          <w:p>
            <w:pPr>
              <w:spacing w:after="0"/>
              <w:rPr>
                <w:sz w:val="17"/>
                <w:szCs w:val="17"/>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9,326</w:t>
            </w:r>
          </w:p>
        </w:tc>
      </w:tr>
      <w:tr>
        <w:trPr>
          <w:trHeight w:val="187"/>
        </w:trPr>
        <w:tc>
          <w:tcPr>
            <w:tcW w:w="8240" w:type="dxa"/>
            <w:vAlign w:val="bottom"/>
          </w:tcPr>
          <w:p>
            <w:pPr>
              <w:spacing w:after="0"/>
              <w:rPr>
                <w:sz w:val="16"/>
                <w:szCs w:val="16"/>
                <w:color w:val="auto"/>
              </w:rPr>
            </w:pPr>
          </w:p>
        </w:tc>
        <w:tc>
          <w:tcPr>
            <w:tcW w:w="138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1000" w:type="dxa"/>
            <w:vAlign w:val="bottom"/>
          </w:tcPr>
          <w:p>
            <w:pPr>
              <w:spacing w:after="0"/>
              <w:rPr>
                <w:sz w:val="16"/>
                <w:szCs w:val="16"/>
                <w:color w:val="auto"/>
              </w:rPr>
            </w:pPr>
          </w:p>
        </w:tc>
      </w:tr>
      <w:tr>
        <w:trPr>
          <w:trHeight w:val="200"/>
        </w:trPr>
        <w:tc>
          <w:tcPr>
            <w:tcW w:w="8240" w:type="dxa"/>
            <w:vAlign w:val="bottom"/>
            <w:tcBorders>
              <w:bottom w:val="single" w:sz="8" w:color="CCEEFF"/>
            </w:tcBorders>
            <w:shd w:val="clear" w:color="auto" w:fill="CCEEFF"/>
          </w:tcPr>
          <w:p>
            <w:pPr>
              <w:ind w:left="380"/>
              <w:spacing w:after="0"/>
              <w:rPr>
                <w:sz w:val="20"/>
                <w:szCs w:val="20"/>
                <w:color w:val="auto"/>
              </w:rPr>
            </w:pPr>
            <w:r>
              <w:rPr>
                <w:rFonts w:ascii="Arial" w:cs="Arial" w:eastAsia="Arial" w:hAnsi="Arial"/>
                <w:sz w:val="15"/>
                <w:szCs w:val="15"/>
                <w:color w:val="auto"/>
              </w:rPr>
              <w:t>Less: Net income attributable to noncontrolling interests</w:t>
            </w:r>
          </w:p>
        </w:tc>
        <w:tc>
          <w:tcPr>
            <w:tcW w:w="13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4,873</w:t>
            </w:r>
          </w:p>
        </w:tc>
        <w:tc>
          <w:tcPr>
            <w:tcW w:w="440" w:type="dxa"/>
            <w:vAlign w:val="bottom"/>
            <w:tcBorders>
              <w:bottom w:val="single" w:sz="8" w:color="CCEEFF"/>
            </w:tcBorders>
            <w:shd w:val="clear" w:color="auto" w:fill="CCEEFF"/>
          </w:tcPr>
          <w:p>
            <w:pPr>
              <w:spacing w:after="0"/>
              <w:rPr>
                <w:sz w:val="17"/>
                <w:szCs w:val="17"/>
                <w:color w:val="auto"/>
              </w:rPr>
            </w:pPr>
          </w:p>
        </w:tc>
        <w:tc>
          <w:tcPr>
            <w:tcW w:w="360" w:type="dxa"/>
            <w:vAlign w:val="bottom"/>
            <w:tcBorders>
              <w:bottom w:val="single" w:sz="8" w:color="CCEEFF"/>
            </w:tcBorders>
            <w:shd w:val="clear" w:color="auto" w:fill="CCEEFF"/>
          </w:tcPr>
          <w:p>
            <w:pPr>
              <w:spacing w:after="0"/>
              <w:rPr>
                <w:sz w:val="17"/>
                <w:szCs w:val="17"/>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4,873</w:t>
            </w:r>
          </w:p>
        </w:tc>
      </w:tr>
      <w:tr>
        <w:trPr>
          <w:trHeight w:val="187"/>
        </w:trPr>
        <w:tc>
          <w:tcPr>
            <w:tcW w:w="8240" w:type="dxa"/>
            <w:vAlign w:val="bottom"/>
            <w:tcBorders>
              <w:bottom w:val="single" w:sz="8" w:color="CCEEFF"/>
            </w:tcBorders>
          </w:tcPr>
          <w:p>
            <w:pPr>
              <w:spacing w:after="0"/>
              <w:rPr>
                <w:sz w:val="16"/>
                <w:szCs w:val="16"/>
                <w:color w:val="auto"/>
              </w:rPr>
            </w:pPr>
          </w:p>
        </w:tc>
        <w:tc>
          <w:tcPr>
            <w:tcW w:w="1380" w:type="dxa"/>
            <w:vAlign w:val="bottom"/>
            <w:tcBorders>
              <w:bottom w:val="single" w:sz="8" w:color="auto"/>
            </w:tcBorders>
          </w:tcPr>
          <w:p>
            <w:pPr>
              <w:spacing w:after="0"/>
              <w:rPr>
                <w:sz w:val="16"/>
                <w:szCs w:val="16"/>
                <w:color w:val="auto"/>
              </w:rPr>
            </w:pPr>
          </w:p>
        </w:tc>
        <w:tc>
          <w:tcPr>
            <w:tcW w:w="440" w:type="dxa"/>
            <w:vAlign w:val="bottom"/>
            <w:tcBorders>
              <w:bottom w:val="single" w:sz="8" w:color="CCEEFF"/>
            </w:tcBorders>
          </w:tcPr>
          <w:p>
            <w:pPr>
              <w:spacing w:after="0"/>
              <w:rPr>
                <w:sz w:val="16"/>
                <w:szCs w:val="16"/>
                <w:color w:val="auto"/>
              </w:rPr>
            </w:pPr>
          </w:p>
        </w:tc>
        <w:tc>
          <w:tcPr>
            <w:tcW w:w="360" w:type="dxa"/>
            <w:vAlign w:val="bottom"/>
            <w:tcBorders>
              <w:bottom w:val="single" w:sz="8" w:color="auto"/>
            </w:tcBorders>
          </w:tcPr>
          <w:p>
            <w:pPr>
              <w:spacing w:after="0"/>
              <w:rPr>
                <w:sz w:val="16"/>
                <w:szCs w:val="16"/>
                <w:color w:val="auto"/>
              </w:rPr>
            </w:pPr>
          </w:p>
        </w:tc>
        <w:tc>
          <w:tcPr>
            <w:tcW w:w="1000" w:type="dxa"/>
            <w:vAlign w:val="bottom"/>
            <w:tcBorders>
              <w:bottom w:val="single" w:sz="8" w:color="auto"/>
            </w:tcBorders>
          </w:tcPr>
          <w:p>
            <w:pPr>
              <w:spacing w:after="0"/>
              <w:rPr>
                <w:sz w:val="16"/>
                <w:szCs w:val="16"/>
                <w:color w:val="auto"/>
              </w:rPr>
            </w:pPr>
          </w:p>
        </w:tc>
      </w:tr>
      <w:tr>
        <w:trPr>
          <w:trHeight w:val="205"/>
        </w:trPr>
        <w:tc>
          <w:tcPr>
            <w:tcW w:w="824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5"/>
                <w:szCs w:val="15"/>
                <w:b w:val="1"/>
                <w:bCs w:val="1"/>
                <w:color w:val="auto"/>
              </w:rPr>
              <w:t>Net Income Attributable To Common Shareholders</w:t>
            </w:r>
          </w:p>
        </w:tc>
        <w:tc>
          <w:tcPr>
            <w:tcW w:w="13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rPr>
              <w:t>$ 23,312</w:t>
            </w:r>
          </w:p>
        </w:tc>
        <w:tc>
          <w:tcPr>
            <w:tcW w:w="440" w:type="dxa"/>
            <w:vAlign w:val="bottom"/>
            <w:tcBorders>
              <w:bottom w:val="single" w:sz="8" w:color="CCEEFF"/>
            </w:tcBorders>
            <w:shd w:val="clear" w:color="auto" w:fill="CCEEFF"/>
          </w:tcPr>
          <w:p>
            <w:pPr>
              <w:spacing w:after="0"/>
              <w:rPr>
                <w:sz w:val="17"/>
                <w:szCs w:val="17"/>
                <w:color w:val="auto"/>
              </w:rPr>
            </w:pPr>
          </w:p>
        </w:tc>
        <w:tc>
          <w:tcPr>
            <w:tcW w:w="360" w:type="dxa"/>
            <w:vAlign w:val="bottom"/>
            <w:tcBorders>
              <w:bottom w:val="single" w:sz="8" w:color="auto"/>
            </w:tcBorders>
            <w:shd w:val="clear" w:color="auto" w:fill="CCEEFF"/>
          </w:tcPr>
          <w:p>
            <w:pPr>
              <w:spacing w:after="0"/>
              <w:rPr>
                <w:sz w:val="17"/>
                <w:szCs w:val="17"/>
                <w:color w:val="auto"/>
              </w:rPr>
            </w:pPr>
          </w:p>
        </w:tc>
        <w:tc>
          <w:tcPr>
            <w:tcW w:w="10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rPr>
              <w:t>$ 4,453</w:t>
            </w:r>
          </w:p>
        </w:tc>
      </w:tr>
      <w:tr>
        <w:trPr>
          <w:trHeight w:val="20"/>
        </w:trPr>
        <w:tc>
          <w:tcPr>
            <w:tcW w:w="8240" w:type="dxa"/>
            <w:vAlign w:val="bottom"/>
          </w:tcPr>
          <w:p>
            <w:pPr>
              <w:spacing w:after="0" w:line="20" w:lineRule="exact"/>
              <w:rPr>
                <w:sz w:val="1"/>
                <w:szCs w:val="1"/>
                <w:color w:val="auto"/>
              </w:rPr>
            </w:pPr>
          </w:p>
        </w:tc>
        <w:tc>
          <w:tcPr>
            <w:tcW w:w="1380" w:type="dxa"/>
            <w:vAlign w:val="bottom"/>
            <w:tcBorders>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r>
      <w:tr>
        <w:trPr>
          <w:trHeight w:val="165"/>
        </w:trPr>
        <w:tc>
          <w:tcPr>
            <w:tcW w:w="8240" w:type="dxa"/>
            <w:vAlign w:val="bottom"/>
          </w:tcPr>
          <w:p>
            <w:pPr>
              <w:spacing w:after="0"/>
              <w:rPr>
                <w:sz w:val="14"/>
                <w:szCs w:val="14"/>
                <w:color w:val="auto"/>
              </w:rPr>
            </w:pPr>
          </w:p>
        </w:tc>
        <w:tc>
          <w:tcPr>
            <w:tcW w:w="138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1000" w:type="dxa"/>
            <w:vAlign w:val="bottom"/>
          </w:tcPr>
          <w:p>
            <w:pPr>
              <w:spacing w:after="0"/>
              <w:rPr>
                <w:sz w:val="14"/>
                <w:szCs w:val="14"/>
                <w:color w:val="auto"/>
              </w:rPr>
            </w:pPr>
          </w:p>
        </w:tc>
      </w:tr>
      <w:tr>
        <w:trPr>
          <w:trHeight w:val="200"/>
        </w:trPr>
        <w:tc>
          <w:tcPr>
            <w:tcW w:w="824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5"/>
                <w:szCs w:val="15"/>
                <w:b w:val="1"/>
                <w:bCs w:val="1"/>
                <w:color w:val="auto"/>
              </w:rPr>
              <w:t>Weighted-Average Common Shares Outstanding - Basic</w:t>
            </w:r>
          </w:p>
        </w:tc>
        <w:tc>
          <w:tcPr>
            <w:tcW w:w="13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111,728</w:t>
            </w:r>
          </w:p>
        </w:tc>
        <w:tc>
          <w:tcPr>
            <w:tcW w:w="440" w:type="dxa"/>
            <w:vAlign w:val="bottom"/>
            <w:tcBorders>
              <w:bottom w:val="single" w:sz="8" w:color="CCEEFF"/>
            </w:tcBorders>
            <w:shd w:val="clear" w:color="auto" w:fill="CCEEFF"/>
          </w:tcPr>
          <w:p>
            <w:pPr>
              <w:spacing w:after="0"/>
              <w:rPr>
                <w:sz w:val="17"/>
                <w:szCs w:val="17"/>
                <w:color w:val="auto"/>
              </w:rPr>
            </w:pPr>
          </w:p>
        </w:tc>
        <w:tc>
          <w:tcPr>
            <w:tcW w:w="360" w:type="dxa"/>
            <w:vAlign w:val="bottom"/>
            <w:tcBorders>
              <w:bottom w:val="single" w:sz="8" w:color="CCEEFF"/>
            </w:tcBorders>
            <w:shd w:val="clear" w:color="auto" w:fill="CCEEFF"/>
          </w:tcPr>
          <w:p>
            <w:pPr>
              <w:spacing w:after="0"/>
              <w:rPr>
                <w:sz w:val="17"/>
                <w:szCs w:val="17"/>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111,296</w:t>
            </w:r>
          </w:p>
        </w:tc>
      </w:tr>
      <w:tr>
        <w:trPr>
          <w:trHeight w:val="187"/>
        </w:trPr>
        <w:tc>
          <w:tcPr>
            <w:tcW w:w="8240" w:type="dxa"/>
            <w:vAlign w:val="bottom"/>
          </w:tcPr>
          <w:p>
            <w:pPr>
              <w:spacing w:after="0"/>
              <w:rPr>
                <w:sz w:val="16"/>
                <w:szCs w:val="16"/>
                <w:color w:val="auto"/>
              </w:rPr>
            </w:pPr>
          </w:p>
        </w:tc>
        <w:tc>
          <w:tcPr>
            <w:tcW w:w="138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1000" w:type="dxa"/>
            <w:vAlign w:val="bottom"/>
          </w:tcPr>
          <w:p>
            <w:pPr>
              <w:spacing w:after="0"/>
              <w:rPr>
                <w:sz w:val="16"/>
                <w:szCs w:val="16"/>
                <w:color w:val="auto"/>
              </w:rPr>
            </w:pPr>
          </w:p>
        </w:tc>
      </w:tr>
      <w:tr>
        <w:trPr>
          <w:trHeight w:val="200"/>
        </w:trPr>
        <w:tc>
          <w:tcPr>
            <w:tcW w:w="824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5"/>
                <w:szCs w:val="15"/>
                <w:b w:val="1"/>
                <w:bCs w:val="1"/>
                <w:color w:val="auto"/>
              </w:rPr>
              <w:t>Weighted-Average Common Shares Outstanding - Diluted</w:t>
            </w:r>
          </w:p>
        </w:tc>
        <w:tc>
          <w:tcPr>
            <w:tcW w:w="13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112,195</w:t>
            </w:r>
          </w:p>
        </w:tc>
        <w:tc>
          <w:tcPr>
            <w:tcW w:w="440" w:type="dxa"/>
            <w:vAlign w:val="bottom"/>
            <w:tcBorders>
              <w:bottom w:val="single" w:sz="8" w:color="CCEEFF"/>
            </w:tcBorders>
            <w:shd w:val="clear" w:color="auto" w:fill="CCEEFF"/>
          </w:tcPr>
          <w:p>
            <w:pPr>
              <w:spacing w:after="0"/>
              <w:rPr>
                <w:sz w:val="17"/>
                <w:szCs w:val="17"/>
                <w:color w:val="auto"/>
              </w:rPr>
            </w:pPr>
          </w:p>
        </w:tc>
        <w:tc>
          <w:tcPr>
            <w:tcW w:w="360" w:type="dxa"/>
            <w:vAlign w:val="bottom"/>
            <w:tcBorders>
              <w:bottom w:val="single" w:sz="8" w:color="CCEEFF"/>
            </w:tcBorders>
            <w:shd w:val="clear" w:color="auto" w:fill="CCEEFF"/>
          </w:tcPr>
          <w:p>
            <w:pPr>
              <w:spacing w:after="0"/>
              <w:rPr>
                <w:sz w:val="17"/>
                <w:szCs w:val="17"/>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111,847</w:t>
            </w:r>
          </w:p>
        </w:tc>
      </w:tr>
      <w:tr>
        <w:trPr>
          <w:trHeight w:val="187"/>
        </w:trPr>
        <w:tc>
          <w:tcPr>
            <w:tcW w:w="8240" w:type="dxa"/>
            <w:vAlign w:val="bottom"/>
          </w:tcPr>
          <w:p>
            <w:pPr>
              <w:spacing w:after="0"/>
              <w:rPr>
                <w:sz w:val="16"/>
                <w:szCs w:val="16"/>
                <w:color w:val="auto"/>
              </w:rPr>
            </w:pPr>
          </w:p>
        </w:tc>
        <w:tc>
          <w:tcPr>
            <w:tcW w:w="138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1000" w:type="dxa"/>
            <w:vAlign w:val="bottom"/>
          </w:tcPr>
          <w:p>
            <w:pPr>
              <w:spacing w:after="0"/>
              <w:rPr>
                <w:sz w:val="16"/>
                <w:szCs w:val="16"/>
                <w:color w:val="auto"/>
              </w:rPr>
            </w:pPr>
          </w:p>
        </w:tc>
      </w:tr>
      <w:tr>
        <w:trPr>
          <w:trHeight w:val="200"/>
        </w:trPr>
        <w:tc>
          <w:tcPr>
            <w:tcW w:w="824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5"/>
                <w:szCs w:val="15"/>
                <w:b w:val="1"/>
                <w:bCs w:val="1"/>
                <w:color w:val="auto"/>
              </w:rPr>
              <w:t>Earnings Per Weighted-Average Common Share Outstanding</w:t>
            </w:r>
          </w:p>
        </w:tc>
        <w:tc>
          <w:tcPr>
            <w:tcW w:w="1380" w:type="dxa"/>
            <w:vAlign w:val="bottom"/>
            <w:tcBorders>
              <w:bottom w:val="single" w:sz="8" w:color="CCEEFF"/>
            </w:tcBorders>
            <w:shd w:val="clear" w:color="auto" w:fill="CCEEFF"/>
          </w:tcPr>
          <w:p>
            <w:pPr>
              <w:spacing w:after="0"/>
              <w:rPr>
                <w:sz w:val="17"/>
                <w:szCs w:val="17"/>
                <w:color w:val="auto"/>
              </w:rPr>
            </w:pPr>
          </w:p>
        </w:tc>
        <w:tc>
          <w:tcPr>
            <w:tcW w:w="440" w:type="dxa"/>
            <w:vAlign w:val="bottom"/>
            <w:tcBorders>
              <w:bottom w:val="single" w:sz="8" w:color="CCEEFF"/>
            </w:tcBorders>
            <w:shd w:val="clear" w:color="auto" w:fill="CCEEFF"/>
          </w:tcPr>
          <w:p>
            <w:pPr>
              <w:spacing w:after="0"/>
              <w:rPr>
                <w:sz w:val="17"/>
                <w:szCs w:val="17"/>
                <w:color w:val="auto"/>
              </w:rPr>
            </w:pPr>
          </w:p>
        </w:tc>
        <w:tc>
          <w:tcPr>
            <w:tcW w:w="360" w:type="dxa"/>
            <w:vAlign w:val="bottom"/>
            <w:tcBorders>
              <w:bottom w:val="single" w:sz="8" w:color="CCEEFF"/>
            </w:tcBorders>
            <w:shd w:val="clear" w:color="auto" w:fill="CCEEFF"/>
          </w:tcPr>
          <w:p>
            <w:pPr>
              <w:spacing w:after="0"/>
              <w:rPr>
                <w:sz w:val="17"/>
                <w:szCs w:val="17"/>
                <w:color w:val="auto"/>
              </w:rPr>
            </w:pPr>
          </w:p>
        </w:tc>
        <w:tc>
          <w:tcPr>
            <w:tcW w:w="1000" w:type="dxa"/>
            <w:vAlign w:val="bottom"/>
            <w:tcBorders>
              <w:bottom w:val="single" w:sz="8" w:color="CCEEFF"/>
            </w:tcBorders>
            <w:shd w:val="clear" w:color="auto" w:fill="CCEEFF"/>
          </w:tcPr>
          <w:p>
            <w:pPr>
              <w:spacing w:after="0"/>
              <w:rPr>
                <w:sz w:val="17"/>
                <w:szCs w:val="17"/>
                <w:color w:val="auto"/>
              </w:rPr>
            </w:pPr>
          </w:p>
        </w:tc>
      </w:tr>
      <w:tr>
        <w:trPr>
          <w:trHeight w:val="198"/>
        </w:trPr>
        <w:tc>
          <w:tcPr>
            <w:tcW w:w="8240" w:type="dxa"/>
            <w:vAlign w:val="bottom"/>
          </w:tcPr>
          <w:p>
            <w:pPr>
              <w:ind w:left="380"/>
              <w:spacing w:after="0"/>
              <w:rPr>
                <w:sz w:val="20"/>
                <w:szCs w:val="20"/>
                <w:color w:val="auto"/>
              </w:rPr>
            </w:pPr>
            <w:r>
              <w:rPr>
                <w:rFonts w:ascii="Arial" w:cs="Arial" w:eastAsia="Arial" w:hAnsi="Arial"/>
                <w:sz w:val="15"/>
                <w:szCs w:val="15"/>
                <w:color w:val="auto"/>
              </w:rPr>
              <w:t>Net income attributable to common shareholders - basic</w:t>
            </w:r>
          </w:p>
        </w:tc>
        <w:tc>
          <w:tcPr>
            <w:tcW w:w="1380" w:type="dxa"/>
            <w:vAlign w:val="bottom"/>
          </w:tcPr>
          <w:p>
            <w:pPr>
              <w:jc w:val="right"/>
              <w:spacing w:after="0"/>
              <w:rPr>
                <w:sz w:val="20"/>
                <w:szCs w:val="20"/>
                <w:color w:val="auto"/>
              </w:rPr>
            </w:pPr>
            <w:r>
              <w:rPr>
                <w:rFonts w:ascii="Arial" w:cs="Arial" w:eastAsia="Arial" w:hAnsi="Arial"/>
                <w:sz w:val="15"/>
                <w:szCs w:val="15"/>
                <w:color w:val="auto"/>
              </w:rPr>
              <w:t>$ 0.21</w:t>
            </w:r>
          </w:p>
        </w:tc>
        <w:tc>
          <w:tcPr>
            <w:tcW w:w="44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1000" w:type="dxa"/>
            <w:vAlign w:val="bottom"/>
          </w:tcPr>
          <w:p>
            <w:pPr>
              <w:jc w:val="right"/>
              <w:spacing w:after="0"/>
              <w:rPr>
                <w:sz w:val="20"/>
                <w:szCs w:val="20"/>
                <w:color w:val="auto"/>
              </w:rPr>
            </w:pPr>
            <w:r>
              <w:rPr>
                <w:rFonts w:ascii="Arial" w:cs="Arial" w:eastAsia="Arial" w:hAnsi="Arial"/>
                <w:sz w:val="15"/>
                <w:szCs w:val="15"/>
                <w:color w:val="auto"/>
              </w:rPr>
              <w:t>$ 0.04</w:t>
            </w:r>
          </w:p>
        </w:tc>
      </w:tr>
      <w:tr>
        <w:trPr>
          <w:trHeight w:val="22"/>
        </w:trPr>
        <w:tc>
          <w:tcPr>
            <w:tcW w:w="824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r>
      <w:tr>
        <w:trPr>
          <w:trHeight w:val="198"/>
        </w:trPr>
        <w:tc>
          <w:tcPr>
            <w:tcW w:w="8240" w:type="dxa"/>
            <w:vAlign w:val="bottom"/>
            <w:shd w:val="clear" w:color="auto" w:fill="CCEEFF"/>
          </w:tcPr>
          <w:p>
            <w:pPr>
              <w:ind w:left="380"/>
              <w:spacing w:after="0"/>
              <w:rPr>
                <w:sz w:val="20"/>
                <w:szCs w:val="20"/>
                <w:color w:val="auto"/>
              </w:rPr>
            </w:pPr>
            <w:r>
              <w:rPr>
                <w:rFonts w:ascii="Arial" w:cs="Arial" w:eastAsia="Arial" w:hAnsi="Arial"/>
                <w:sz w:val="15"/>
                <w:szCs w:val="15"/>
                <w:color w:val="auto"/>
              </w:rPr>
              <w:t>Net income attributable to common shareholders - diluted</w:t>
            </w:r>
          </w:p>
        </w:tc>
        <w:tc>
          <w:tcPr>
            <w:tcW w:w="1380" w:type="dxa"/>
            <w:vAlign w:val="bottom"/>
            <w:shd w:val="clear" w:color="auto" w:fill="CCEEFF"/>
          </w:tcPr>
          <w:p>
            <w:pPr>
              <w:jc w:val="right"/>
              <w:spacing w:after="0"/>
              <w:rPr>
                <w:sz w:val="20"/>
                <w:szCs w:val="20"/>
                <w:color w:val="auto"/>
              </w:rPr>
            </w:pPr>
            <w:r>
              <w:rPr>
                <w:rFonts w:ascii="Arial" w:cs="Arial" w:eastAsia="Arial" w:hAnsi="Arial"/>
                <w:sz w:val="15"/>
                <w:szCs w:val="15"/>
                <w:color w:val="auto"/>
              </w:rPr>
              <w:t>$ 0.21</w:t>
            </w:r>
          </w:p>
        </w:tc>
        <w:tc>
          <w:tcPr>
            <w:tcW w:w="44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000" w:type="dxa"/>
            <w:vAlign w:val="bottom"/>
            <w:shd w:val="clear" w:color="auto" w:fill="CCEEFF"/>
          </w:tcPr>
          <w:p>
            <w:pPr>
              <w:jc w:val="right"/>
              <w:spacing w:after="0"/>
              <w:rPr>
                <w:sz w:val="20"/>
                <w:szCs w:val="20"/>
                <w:color w:val="auto"/>
              </w:rPr>
            </w:pPr>
            <w:r>
              <w:rPr>
                <w:rFonts w:ascii="Arial" w:cs="Arial" w:eastAsia="Arial" w:hAnsi="Arial"/>
                <w:sz w:val="15"/>
                <w:szCs w:val="15"/>
                <w:color w:val="auto"/>
              </w:rPr>
              <w:t>$ 0.04</w:t>
            </w:r>
          </w:p>
        </w:tc>
      </w:tr>
      <w:tr>
        <w:trPr>
          <w:trHeight w:val="22"/>
        </w:trPr>
        <w:tc>
          <w:tcPr>
            <w:tcW w:w="8240" w:type="dxa"/>
            <w:vAlign w:val="bottom"/>
            <w:shd w:val="clear" w:color="auto" w:fill="CCEEFF"/>
          </w:tcPr>
          <w:p>
            <w:pPr>
              <w:spacing w:after="0" w:line="20" w:lineRule="exact"/>
              <w:rPr>
                <w:sz w:val="1"/>
                <w:szCs w:val="1"/>
                <w:color w:val="auto"/>
              </w:rPr>
            </w:pPr>
          </w:p>
        </w:tc>
        <w:tc>
          <w:tcPr>
            <w:tcW w:w="1380" w:type="dxa"/>
            <w:vAlign w:val="bottom"/>
            <w:shd w:val="clear" w:color="auto" w:fill="CCEEFF"/>
          </w:tcPr>
          <w:p>
            <w:pPr>
              <w:spacing w:after="0" w:line="20" w:lineRule="exact"/>
              <w:rPr>
                <w:sz w:val="1"/>
                <w:szCs w:val="1"/>
                <w:color w:val="auto"/>
              </w:rPr>
            </w:pPr>
          </w:p>
        </w:tc>
        <w:tc>
          <w:tcPr>
            <w:tcW w:w="440" w:type="dxa"/>
            <w:vAlign w:val="bottom"/>
            <w:shd w:val="clear" w:color="auto" w:fill="CCEEFF"/>
          </w:tcPr>
          <w:p>
            <w:pPr>
              <w:spacing w:after="0" w:line="20" w:lineRule="exact"/>
              <w:rPr>
                <w:sz w:val="1"/>
                <w:szCs w:val="1"/>
                <w:color w:val="auto"/>
              </w:rPr>
            </w:pPr>
          </w:p>
        </w:tc>
        <w:tc>
          <w:tcPr>
            <w:tcW w:w="360" w:type="dxa"/>
            <w:vAlign w:val="bottom"/>
            <w:shd w:val="clear" w:color="auto" w:fill="CCEEFF"/>
          </w:tcPr>
          <w:p>
            <w:pPr>
              <w:spacing w:after="0" w:line="20" w:lineRule="exact"/>
              <w:rPr>
                <w:sz w:val="1"/>
                <w:szCs w:val="1"/>
                <w:color w:val="auto"/>
              </w:rPr>
            </w:pPr>
          </w:p>
        </w:tc>
        <w:tc>
          <w:tcPr>
            <w:tcW w:w="1000" w:type="dxa"/>
            <w:vAlign w:val="bottom"/>
            <w:shd w:val="clear" w:color="auto" w:fill="CCEEFF"/>
          </w:tcPr>
          <w:p>
            <w:pPr>
              <w:spacing w:after="0" w:line="20" w:lineRule="exact"/>
              <w:rPr>
                <w:sz w:val="1"/>
                <w:szCs w:val="1"/>
                <w:color w:val="auto"/>
              </w:rPr>
            </w:pPr>
          </w:p>
        </w:tc>
      </w:tr>
    </w:tbl>
    <w:p>
      <w:pPr>
        <w:sectPr>
          <w:pgSz w:w="11900" w:h="16838" w:orient="portrait"/>
          <w:cols w:equalWidth="0" w:num="1">
            <w:col w:w="11420"/>
          </w:cols>
          <w:pgMar w:left="240" w:top="532" w:right="239" w:bottom="1440" w:gutter="0" w:footer="0" w:header="0"/>
        </w:sectPr>
      </w:pPr>
    </w:p>
    <w:bookmarkStart w:id="8" w:name="page9"/>
    <w:bookmarkEnd w:id="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312420</wp:posOffset>
            </wp:positionV>
            <wp:extent cx="7214235" cy="57118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 w:name="page10"/>
    <w:bookmarkEnd w:id="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2579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214235" cy="57257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 w:name="page11"/>
    <w:bookmarkEnd w:id="1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1" w:name="page12"/>
    <w:bookmarkEnd w:id="1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2" w:name="page13"/>
    <w:bookmarkEnd w:id="1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3" w:name="page14"/>
    <w:bookmarkEnd w:id="1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4" w:name="page15"/>
    <w:bookmarkEnd w:id="1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5" w:name="page16"/>
    <w:bookmarkEnd w:id="1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6" w:name="page17"/>
    <w:bookmarkEnd w:id="1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8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214235" cy="5718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7" w:name="page18"/>
    <w:bookmarkEnd w:id="1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8" w:name="page19"/>
    <w:bookmarkEnd w:id="1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9" w:name="page20"/>
    <w:bookmarkEnd w:id="1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0" w:name="page21"/>
    <w:bookmarkEnd w:id="2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1" w:name="page22"/>
    <w:bookmarkEnd w:id="2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2" w:name="page23"/>
    <w:bookmarkEnd w:id="2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3" w:name="page24"/>
    <w:bookmarkEnd w:id="2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4" w:name="page25"/>
    <w:bookmarkEnd w:id="2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5" w:name="page26"/>
    <w:bookmarkEnd w:id="2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6" w:name="page27"/>
    <w:bookmarkEnd w:id="2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7" w:name="page28"/>
    <w:bookmarkEnd w:id="2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8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214235" cy="5718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8" w:name="page29"/>
    <w:bookmarkEnd w:id="28"/>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2AE8944A"/>
    <w:multiLevelType w:val="hybridMultilevel"/>
    <w:lvl w:ilvl="0">
      <w:lvlJc w:val="left"/>
      <w:lvlText w:val="☐"/>
      <w:numFmt w:val="bullet"/>
      <w:start w:val="1"/>
    </w:lvl>
  </w:abstractNum>
  <w:abstractNum w:abstractNumId="1">
    <w:nsid w:val="625558EC"/>
    <w:multiLevelType w:val="hybridMultilevel"/>
    <w:lvl w:ilvl="0">
      <w:lvlJc w:val="left"/>
      <w:lvlText w:val="•"/>
      <w:numFmt w:val="bullet"/>
      <w:start w:val="1"/>
    </w:lvl>
  </w:abstractNum>
  <w:abstractNum w:abstractNumId="2">
    <w:nsid w:val="238E1F29"/>
    <w:multiLevelType w:val="hybridMultilevel"/>
    <w:lvl w:ilvl="0">
      <w:lvlJc w:val="left"/>
      <w:lvlText w:val="•"/>
      <w:numFmt w:val="bullet"/>
      <w:start w:val="1"/>
    </w:lvl>
  </w:abstractNum>
  <w:abstractNum w:abstractNumId="3">
    <w:nsid w:val="46E87CCD"/>
    <w:multiLevelType w:val="hybridMultilevel"/>
    <w:lvl w:ilvl="0">
      <w:lvlJc w:val="left"/>
      <w:lvlText w:val="•"/>
      <w:numFmt w:val="bullet"/>
      <w:start w:val="1"/>
    </w:lvl>
  </w:abstractNum>
  <w:abstractNum w:abstractNumId="4">
    <w:nsid w:val="3D1B58BA"/>
    <w:multiLevelType w:val="hybridMultilevel"/>
    <w:lvl w:ilvl="0">
      <w:lvlJc w:val="left"/>
      <w:lvlText w:val="•"/>
      <w:numFmt w:val="bullet"/>
      <w:start w:val="1"/>
    </w:lvl>
  </w:abstractNum>
  <w:abstractNum w:abstractNumId="5">
    <w:nsid w:val="507ED7AB"/>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2020-01-17T06:45:25Z</dcterms:created>
  <dcterms:modified xsi:type="dcterms:W3CDTF">2020-01-17T06:45:25Z</dcterms:modified>
</cp:coreProperties>
</file>