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19"/>
        <w:spacing w:after="0"/>
        <w:rPr>
          <w:sz w:val="20"/>
          <w:szCs w:val="20"/>
          <w:color w:val="auto"/>
        </w:rPr>
      </w:pPr>
      <w:r>
        <w:rPr>
          <w:rFonts w:ascii="Arial" w:cs="Arial" w:eastAsia="Arial" w:hAnsi="Arial"/>
          <w:sz w:val="17"/>
          <w:szCs w:val="17"/>
          <w:b w:val="1"/>
          <w:bCs w:val="1"/>
          <w:color w:val="auto"/>
        </w:rPr>
        <w:t>UNITED STATES</w:t>
      </w:r>
    </w:p>
    <w:p>
      <w:pPr>
        <w:spacing w:after="0" w:line="2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SECURITIES AND EXCHANGE COMMISSION</w:t>
      </w:r>
    </w:p>
    <w:p>
      <w:pPr>
        <w:spacing w:after="0" w:line="2" w:lineRule="exact"/>
        <w:rPr>
          <w:sz w:val="24"/>
          <w:szCs w:val="24"/>
          <w:color w:val="auto"/>
        </w:rPr>
      </w:pPr>
    </w:p>
    <w:p>
      <w:pPr>
        <w:jc w:val="center"/>
        <w:ind w:right="-119"/>
        <w:spacing w:after="0"/>
        <w:rPr>
          <w:sz w:val="20"/>
          <w:szCs w:val="20"/>
          <w:color w:val="auto"/>
        </w:rPr>
      </w:pPr>
      <w:r>
        <w:rPr>
          <w:rFonts w:ascii="Arial" w:cs="Arial" w:eastAsia="Arial" w:hAnsi="Arial"/>
          <w:sz w:val="17"/>
          <w:szCs w:val="17"/>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3096895</wp:posOffset>
            </wp:positionH>
            <wp:positionV relativeFrom="paragraph">
              <wp:posOffset>222250</wp:posOffset>
            </wp:positionV>
            <wp:extent cx="1089025" cy="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089025" cy="6985"/>
                    </a:xfrm>
                    <a:prstGeom prst="rect">
                      <a:avLst/>
                    </a:prstGeom>
                    <a:noFill/>
                  </pic:spPr>
                </pic:pic>
              </a:graphicData>
            </a:graphic>
          </wp:anchor>
        </w:drawing>
      </w:r>
    </w:p>
    <w:p>
      <w:pPr>
        <w:spacing w:after="0" w:line="200" w:lineRule="exact"/>
        <w:rPr>
          <w:sz w:val="24"/>
          <w:szCs w:val="24"/>
          <w:color w:val="auto"/>
        </w:rPr>
      </w:pPr>
    </w:p>
    <w:p>
      <w:pPr>
        <w:spacing w:after="0" w:line="325"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FORM 8-K</w:t>
      </w:r>
    </w:p>
    <w:p>
      <w:pPr>
        <w:spacing w:after="0" w:line="20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CURRENT REPORT</w:t>
      </w:r>
    </w:p>
    <w:p>
      <w:pPr>
        <w:spacing w:after="0" w:line="20"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Pursuant to Section 13 or 15(d) of the</w:t>
      </w:r>
    </w:p>
    <w:p>
      <w:pPr>
        <w:spacing w:after="0" w:line="2" w:lineRule="exact"/>
        <w:rPr>
          <w:sz w:val="24"/>
          <w:szCs w:val="24"/>
          <w:color w:val="auto"/>
        </w:rPr>
      </w:pPr>
    </w:p>
    <w:p>
      <w:pPr>
        <w:jc w:val="center"/>
        <w:ind w:right="-119"/>
        <w:spacing w:after="0"/>
        <w:rPr>
          <w:sz w:val="20"/>
          <w:szCs w:val="20"/>
          <w:color w:val="auto"/>
        </w:rPr>
      </w:pPr>
      <w:r>
        <w:rPr>
          <w:rFonts w:ascii="Arial" w:cs="Arial" w:eastAsia="Arial" w:hAnsi="Arial"/>
          <w:sz w:val="17"/>
          <w:szCs w:val="17"/>
          <w:b w:val="1"/>
          <w:bCs w:val="1"/>
          <w:color w:val="auto"/>
        </w:rPr>
        <w:t>Securities Exchange Act of 1934</w:t>
      </w:r>
    </w:p>
    <w:p>
      <w:pPr>
        <w:spacing w:after="0" w:line="186" w:lineRule="exact"/>
        <w:rPr>
          <w:sz w:val="24"/>
          <w:szCs w:val="24"/>
          <w:color w:val="auto"/>
        </w:rPr>
      </w:pPr>
    </w:p>
    <w:p>
      <w:pPr>
        <w:jc w:val="center"/>
        <w:ind w:right="-119"/>
        <w:spacing w:after="0"/>
        <w:tabs>
          <w:tab w:leader="none" w:pos="140" w:val="left"/>
        </w:tabs>
        <w:rPr>
          <w:sz w:val="20"/>
          <w:szCs w:val="20"/>
          <w:color w:val="auto"/>
        </w:rPr>
      </w:pPr>
      <w:r>
        <w:rPr>
          <w:rFonts w:ascii="Arial" w:cs="Arial" w:eastAsia="Arial" w:hAnsi="Arial"/>
          <w:sz w:val="17"/>
          <w:szCs w:val="17"/>
          <w:color w:val="auto"/>
        </w:rPr>
        <w:t>Date of report (Date of earliest event reported):</w:t>
      </w:r>
      <w:r>
        <w:rPr>
          <w:sz w:val="20"/>
          <w:szCs w:val="20"/>
          <w:color w:val="auto"/>
        </w:rPr>
        <w:tab/>
      </w:r>
      <w:r>
        <w:rPr>
          <w:rFonts w:ascii="Arial" w:cs="Arial" w:eastAsia="Arial" w:hAnsi="Arial"/>
          <w:sz w:val="15"/>
          <w:szCs w:val="15"/>
          <w:color w:val="auto"/>
        </w:rPr>
        <w:t>August 3, 2017</w:t>
      </w:r>
    </w:p>
    <w:p>
      <w:pPr>
        <w:spacing w:after="0" w:line="332" w:lineRule="exact"/>
        <w:rPr>
          <w:sz w:val="24"/>
          <w:szCs w:val="24"/>
          <w:color w:val="auto"/>
        </w:rPr>
      </w:pPr>
    </w:p>
    <w:tbl>
      <w:tblPr>
        <w:tblLayout w:type="fixed"/>
        <w:tblInd w:w="0" w:type="dxa"/>
        <w:tblCellMar>
          <w:top w:w="0" w:type="dxa"/>
          <w:left w:w="0" w:type="dxa"/>
          <w:bottom w:w="0" w:type="dxa"/>
          <w:right w:w="0" w:type="dxa"/>
        </w:tblCellMar>
      </w:tblPr>
      <w:tr>
        <w:trPr>
          <w:trHeight w:val="198"/>
        </w:trPr>
        <w:tc>
          <w:tcPr>
            <w:tcW w:w="2780" w:type="dxa"/>
            <w:vAlign w:val="bottom"/>
          </w:tcPr>
          <w:p>
            <w:pPr>
              <w:spacing w:after="0"/>
              <w:rPr>
                <w:sz w:val="17"/>
                <w:szCs w:val="17"/>
                <w:color w:val="auto"/>
              </w:rPr>
            </w:pPr>
          </w:p>
        </w:tc>
        <w:tc>
          <w:tcPr>
            <w:tcW w:w="5320" w:type="dxa"/>
            <w:vAlign w:val="bottom"/>
          </w:tcPr>
          <w:p>
            <w:pPr>
              <w:jc w:val="center"/>
              <w:ind w:left="56"/>
              <w:spacing w:after="0"/>
              <w:rPr>
                <w:sz w:val="20"/>
                <w:szCs w:val="20"/>
                <w:color w:val="auto"/>
              </w:rPr>
            </w:pPr>
            <w:r>
              <w:rPr>
                <w:rFonts w:ascii="Arial" w:cs="Arial" w:eastAsia="Arial" w:hAnsi="Arial"/>
                <w:sz w:val="17"/>
                <w:szCs w:val="17"/>
                <w:color w:val="auto"/>
                <w:w w:val="89"/>
              </w:rPr>
              <w:t>Exact Name of Registrant as Specified in Charter; State of</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jc w:val="center"/>
              <w:ind w:left="76"/>
              <w:spacing w:after="0"/>
              <w:rPr>
                <w:sz w:val="20"/>
                <w:szCs w:val="20"/>
                <w:color w:val="auto"/>
              </w:rPr>
            </w:pPr>
            <w:r>
              <w:rPr>
                <w:rFonts w:ascii="Arial" w:cs="Arial" w:eastAsia="Arial" w:hAnsi="Arial"/>
                <w:sz w:val="17"/>
                <w:szCs w:val="17"/>
                <w:color w:val="auto"/>
                <w:w w:val="92"/>
              </w:rPr>
              <w:t>Incorporation;</w:t>
            </w:r>
          </w:p>
        </w:tc>
        <w:tc>
          <w:tcPr>
            <w:tcW w:w="2900" w:type="dxa"/>
            <w:vAlign w:val="bottom"/>
          </w:tcPr>
          <w:p>
            <w:pPr>
              <w:jc w:val="center"/>
              <w:ind w:right="76"/>
              <w:spacing w:after="0"/>
              <w:rPr>
                <w:sz w:val="20"/>
                <w:szCs w:val="20"/>
                <w:color w:val="auto"/>
              </w:rPr>
            </w:pPr>
            <w:r>
              <w:rPr>
                <w:rFonts w:ascii="Arial" w:cs="Arial" w:eastAsia="Arial" w:hAnsi="Arial"/>
                <w:sz w:val="17"/>
                <w:szCs w:val="17"/>
                <w:color w:val="auto"/>
                <w:w w:val="93"/>
              </w:rPr>
              <w:t>IRS Employer</w:t>
            </w:r>
          </w:p>
        </w:tc>
      </w:tr>
      <w:tr>
        <w:trPr>
          <w:trHeight w:val="222"/>
        </w:trPr>
        <w:tc>
          <w:tcPr>
            <w:tcW w:w="2780" w:type="dxa"/>
            <w:vAlign w:val="bottom"/>
            <w:tcBorders>
              <w:bottom w:val="single" w:sz="8" w:color="auto"/>
            </w:tcBorders>
          </w:tcPr>
          <w:p>
            <w:pPr>
              <w:jc w:val="center"/>
              <w:ind w:left="236"/>
              <w:spacing w:after="0"/>
              <w:rPr>
                <w:sz w:val="20"/>
                <w:szCs w:val="20"/>
                <w:color w:val="auto"/>
              </w:rPr>
            </w:pPr>
            <w:r>
              <w:rPr>
                <w:rFonts w:ascii="Arial" w:cs="Arial" w:eastAsia="Arial" w:hAnsi="Arial"/>
                <w:sz w:val="17"/>
                <w:szCs w:val="17"/>
                <w:color w:val="auto"/>
                <w:w w:val="91"/>
              </w:rPr>
              <w:t>Commission File Number</w:t>
            </w:r>
          </w:p>
        </w:tc>
        <w:tc>
          <w:tcPr>
            <w:tcW w:w="5320" w:type="dxa"/>
            <w:vAlign w:val="bottom"/>
            <w:tcBorders>
              <w:bottom w:val="single" w:sz="8" w:color="auto"/>
            </w:tcBorders>
          </w:tcPr>
          <w:p>
            <w:pPr>
              <w:jc w:val="center"/>
              <w:ind w:left="56"/>
              <w:spacing w:after="0"/>
              <w:rPr>
                <w:sz w:val="20"/>
                <w:szCs w:val="20"/>
                <w:color w:val="auto"/>
              </w:rPr>
            </w:pPr>
            <w:r>
              <w:rPr>
                <w:rFonts w:ascii="Arial" w:cs="Arial" w:eastAsia="Arial" w:hAnsi="Arial"/>
                <w:sz w:val="17"/>
                <w:szCs w:val="17"/>
                <w:color w:val="auto"/>
                <w:w w:val="88"/>
              </w:rPr>
              <w:t>Address and Telephone Number</w:t>
            </w:r>
          </w:p>
        </w:tc>
        <w:tc>
          <w:tcPr>
            <w:tcW w:w="2900" w:type="dxa"/>
            <w:vAlign w:val="bottom"/>
            <w:tcBorders>
              <w:bottom w:val="single" w:sz="8" w:color="auto"/>
            </w:tcBorders>
          </w:tcPr>
          <w:p>
            <w:pPr>
              <w:jc w:val="center"/>
              <w:ind w:right="76"/>
              <w:spacing w:after="0"/>
              <w:rPr>
                <w:sz w:val="20"/>
                <w:szCs w:val="20"/>
                <w:color w:val="auto"/>
              </w:rPr>
            </w:pPr>
            <w:r>
              <w:rPr>
                <w:rFonts w:ascii="Arial" w:cs="Arial" w:eastAsia="Arial" w:hAnsi="Arial"/>
                <w:sz w:val="17"/>
                <w:szCs w:val="17"/>
                <w:color w:val="auto"/>
                <w:w w:val="93"/>
              </w:rPr>
              <w:t>Identification Number</w:t>
            </w:r>
          </w:p>
        </w:tc>
      </w:tr>
      <w:tr>
        <w:trPr>
          <w:trHeight w:val="450"/>
        </w:trPr>
        <w:tc>
          <w:tcPr>
            <w:tcW w:w="2780" w:type="dxa"/>
            <w:vAlign w:val="bottom"/>
          </w:tcPr>
          <w:p>
            <w:pPr>
              <w:jc w:val="center"/>
              <w:ind w:left="256"/>
              <w:spacing w:after="0"/>
              <w:rPr>
                <w:sz w:val="20"/>
                <w:szCs w:val="20"/>
                <w:color w:val="auto"/>
              </w:rPr>
            </w:pPr>
            <w:r>
              <w:rPr>
                <w:rFonts w:ascii="Arial" w:cs="Arial" w:eastAsia="Arial" w:hAnsi="Arial"/>
                <w:sz w:val="17"/>
                <w:szCs w:val="17"/>
                <w:color w:val="auto"/>
                <w:w w:val="90"/>
              </w:rPr>
              <w:t>1-8962</w:t>
            </w:r>
          </w:p>
        </w:tc>
        <w:tc>
          <w:tcPr>
            <w:tcW w:w="5320" w:type="dxa"/>
            <w:vAlign w:val="bottom"/>
          </w:tcPr>
          <w:p>
            <w:pPr>
              <w:ind w:left="340"/>
              <w:spacing w:after="0"/>
              <w:rPr>
                <w:sz w:val="20"/>
                <w:szCs w:val="20"/>
                <w:color w:val="auto"/>
              </w:rPr>
            </w:pPr>
            <w:r>
              <w:rPr>
                <w:rFonts w:ascii="Arial" w:cs="Arial" w:eastAsia="Arial" w:hAnsi="Arial"/>
                <w:sz w:val="17"/>
                <w:szCs w:val="17"/>
                <w:color w:val="auto"/>
              </w:rPr>
              <w:t>Pinnacle West Capital Corporation</w:t>
            </w:r>
          </w:p>
        </w:tc>
        <w:tc>
          <w:tcPr>
            <w:tcW w:w="2900" w:type="dxa"/>
            <w:vAlign w:val="bottom"/>
          </w:tcPr>
          <w:p>
            <w:pPr>
              <w:jc w:val="center"/>
              <w:ind w:right="76"/>
              <w:spacing w:after="0"/>
              <w:rPr>
                <w:sz w:val="20"/>
                <w:szCs w:val="20"/>
                <w:color w:val="auto"/>
              </w:rPr>
            </w:pPr>
            <w:r>
              <w:rPr>
                <w:rFonts w:ascii="Arial" w:cs="Arial" w:eastAsia="Arial" w:hAnsi="Arial"/>
                <w:sz w:val="17"/>
                <w:szCs w:val="17"/>
                <w:color w:val="auto"/>
                <w:w w:val="90"/>
              </w:rPr>
              <w:t>86-0512431</w:t>
            </w: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(an Arizona corporation)</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400 North Fifth Street, P.O. Box 53999</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Phoenix, AZ 85072-3999</w:t>
            </w:r>
          </w:p>
        </w:tc>
        <w:tc>
          <w:tcPr>
            <w:tcW w:w="2900" w:type="dxa"/>
            <w:vAlign w:val="bottom"/>
          </w:tcPr>
          <w:p>
            <w:pPr>
              <w:spacing w:after="0"/>
              <w:rPr>
                <w:sz w:val="17"/>
                <w:szCs w:val="17"/>
                <w:color w:val="auto"/>
              </w:rPr>
            </w:pPr>
          </w:p>
        </w:tc>
      </w:tr>
      <w:tr>
        <w:trPr>
          <w:trHeight w:val="214"/>
        </w:trPr>
        <w:tc>
          <w:tcPr>
            <w:tcW w:w="2780" w:type="dxa"/>
            <w:vAlign w:val="bottom"/>
          </w:tcPr>
          <w:p>
            <w:pPr>
              <w:spacing w:after="0"/>
              <w:rPr>
                <w:sz w:val="18"/>
                <w:szCs w:val="18"/>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(602) 250-1000</w:t>
            </w:r>
          </w:p>
        </w:tc>
        <w:tc>
          <w:tcPr>
            <w:tcW w:w="2900" w:type="dxa"/>
            <w:vAlign w:val="bottom"/>
          </w:tcPr>
          <w:p>
            <w:pPr>
              <w:spacing w:after="0"/>
              <w:rPr>
                <w:sz w:val="18"/>
                <w:szCs w:val="18"/>
                <w:color w:val="auto"/>
              </w:rPr>
            </w:pPr>
          </w:p>
        </w:tc>
      </w:tr>
      <w:tr>
        <w:trPr>
          <w:trHeight w:val="467"/>
        </w:trPr>
        <w:tc>
          <w:tcPr>
            <w:tcW w:w="2780" w:type="dxa"/>
            <w:vAlign w:val="bottom"/>
          </w:tcPr>
          <w:p>
            <w:pPr>
              <w:jc w:val="center"/>
              <w:ind w:left="256"/>
              <w:spacing w:after="0"/>
              <w:rPr>
                <w:sz w:val="20"/>
                <w:szCs w:val="20"/>
                <w:color w:val="auto"/>
              </w:rPr>
            </w:pPr>
            <w:r>
              <w:rPr>
                <w:rFonts w:ascii="Arial" w:cs="Arial" w:eastAsia="Arial" w:hAnsi="Arial"/>
                <w:sz w:val="17"/>
                <w:szCs w:val="17"/>
                <w:color w:val="auto"/>
                <w:w w:val="90"/>
              </w:rPr>
              <w:t>1-4473</w:t>
            </w:r>
          </w:p>
        </w:tc>
        <w:tc>
          <w:tcPr>
            <w:tcW w:w="5320" w:type="dxa"/>
            <w:vAlign w:val="bottom"/>
          </w:tcPr>
          <w:p>
            <w:pPr>
              <w:ind w:left="340"/>
              <w:spacing w:after="0"/>
              <w:rPr>
                <w:sz w:val="20"/>
                <w:szCs w:val="20"/>
                <w:color w:val="auto"/>
              </w:rPr>
            </w:pPr>
            <w:r>
              <w:rPr>
                <w:rFonts w:ascii="Arial" w:cs="Arial" w:eastAsia="Arial" w:hAnsi="Arial"/>
                <w:sz w:val="17"/>
                <w:szCs w:val="17"/>
                <w:color w:val="auto"/>
              </w:rPr>
              <w:t>Arizona Public Service Company</w:t>
            </w:r>
          </w:p>
        </w:tc>
        <w:tc>
          <w:tcPr>
            <w:tcW w:w="2900" w:type="dxa"/>
            <w:vAlign w:val="bottom"/>
          </w:tcPr>
          <w:p>
            <w:pPr>
              <w:jc w:val="center"/>
              <w:ind w:right="56"/>
              <w:spacing w:after="0"/>
              <w:rPr>
                <w:sz w:val="20"/>
                <w:szCs w:val="20"/>
                <w:color w:val="auto"/>
              </w:rPr>
            </w:pPr>
            <w:r>
              <w:rPr>
                <w:rFonts w:ascii="Arial" w:cs="Arial" w:eastAsia="Arial" w:hAnsi="Arial"/>
                <w:sz w:val="17"/>
                <w:szCs w:val="17"/>
                <w:color w:val="auto"/>
                <w:w w:val="88"/>
              </w:rPr>
              <w:t>86-0011170</w:t>
            </w: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(an Arizona corporation)</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400 North Fifth Street, P.O. Box 53999</w:t>
            </w:r>
          </w:p>
        </w:tc>
        <w:tc>
          <w:tcPr>
            <w:tcW w:w="2900" w:type="dxa"/>
            <w:vAlign w:val="bottom"/>
          </w:tcPr>
          <w:p>
            <w:pPr>
              <w:spacing w:after="0"/>
              <w:rPr>
                <w:sz w:val="17"/>
                <w:szCs w:val="17"/>
                <w:color w:val="auto"/>
              </w:rPr>
            </w:pPr>
          </w:p>
        </w:tc>
      </w:tr>
      <w:tr>
        <w:trPr>
          <w:trHeight w:val="198"/>
        </w:trPr>
        <w:tc>
          <w:tcPr>
            <w:tcW w:w="2780" w:type="dxa"/>
            <w:vAlign w:val="bottom"/>
          </w:tcPr>
          <w:p>
            <w:pPr>
              <w:spacing w:after="0"/>
              <w:rPr>
                <w:sz w:val="17"/>
                <w:szCs w:val="17"/>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Phoenix, AZ 85072-3999</w:t>
            </w:r>
          </w:p>
        </w:tc>
        <w:tc>
          <w:tcPr>
            <w:tcW w:w="2900" w:type="dxa"/>
            <w:vAlign w:val="bottom"/>
          </w:tcPr>
          <w:p>
            <w:pPr>
              <w:spacing w:after="0"/>
              <w:rPr>
                <w:sz w:val="17"/>
                <w:szCs w:val="17"/>
                <w:color w:val="auto"/>
              </w:rPr>
            </w:pPr>
          </w:p>
        </w:tc>
      </w:tr>
      <w:tr>
        <w:trPr>
          <w:trHeight w:val="214"/>
        </w:trPr>
        <w:tc>
          <w:tcPr>
            <w:tcW w:w="2780" w:type="dxa"/>
            <w:vAlign w:val="bottom"/>
          </w:tcPr>
          <w:p>
            <w:pPr>
              <w:spacing w:after="0"/>
              <w:rPr>
                <w:sz w:val="18"/>
                <w:szCs w:val="18"/>
                <w:color w:val="auto"/>
              </w:rPr>
            </w:pPr>
          </w:p>
        </w:tc>
        <w:tc>
          <w:tcPr>
            <w:tcW w:w="5320" w:type="dxa"/>
            <w:vAlign w:val="bottom"/>
          </w:tcPr>
          <w:p>
            <w:pPr>
              <w:ind w:left="340"/>
              <w:spacing w:after="0"/>
              <w:rPr>
                <w:sz w:val="20"/>
                <w:szCs w:val="20"/>
                <w:color w:val="auto"/>
              </w:rPr>
            </w:pPr>
            <w:r>
              <w:rPr>
                <w:rFonts w:ascii="Arial" w:cs="Arial" w:eastAsia="Arial" w:hAnsi="Arial"/>
                <w:sz w:val="17"/>
                <w:szCs w:val="17"/>
                <w:color w:val="auto"/>
              </w:rPr>
              <w:t>(602) 250-1000</w:t>
            </w:r>
          </w:p>
        </w:tc>
        <w:tc>
          <w:tcPr>
            <w:tcW w:w="2900" w:type="dxa"/>
            <w:vAlign w:val="bottom"/>
          </w:tcPr>
          <w:p>
            <w:pPr>
              <w:spacing w:after="0"/>
              <w:rPr>
                <w:sz w:val="18"/>
                <w:szCs w:val="18"/>
                <w:color w:val="auto"/>
              </w:rPr>
            </w:pPr>
          </w:p>
        </w:tc>
      </w:tr>
    </w:tbl>
    <w:p>
      <w:pPr>
        <w:spacing w:after="0" w:line="204" w:lineRule="exact"/>
        <w:rPr>
          <w:sz w:val="24"/>
          <w:szCs w:val="24"/>
          <w:color w:val="auto"/>
        </w:rPr>
      </w:pPr>
    </w:p>
    <w:p>
      <w:pPr>
        <w:ind w:right="240" w:firstLine="527"/>
        <w:spacing w:after="0" w:line="265" w:lineRule="auto"/>
        <w:rPr>
          <w:sz w:val="20"/>
          <w:szCs w:val="20"/>
          <w:color w:val="auto"/>
        </w:rPr>
      </w:pPr>
      <w:r>
        <w:rPr>
          <w:rFonts w:ascii="Arial" w:cs="Arial" w:eastAsia="Arial" w:hAnsi="Arial"/>
          <w:sz w:val="17"/>
          <w:szCs w:val="17"/>
          <w:color w:val="auto"/>
        </w:rPr>
        <w:t>Check the appropriate box below if the Form 8-K filing is intended to simultaneously satisfy the filing obligation of the registrant under any of the following provisions:</w:t>
      </w:r>
    </w:p>
    <w:p>
      <w:pPr>
        <w:spacing w:after="0" w:line="162" w:lineRule="exact"/>
        <w:rPr>
          <w:sz w:val="24"/>
          <w:szCs w:val="24"/>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Written communications pursuant to Rule 425 under the Securities Act (17 CFR 230.425)</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Soliciting material pursuant to Rule 14a-12 under the Exchange Act (17 CFR 240.14a-12)</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14d-2(b) under the Exchange Act (17 CFR 240.14d-2(b))</w:t>
      </w:r>
    </w:p>
    <w:p>
      <w:pPr>
        <w:spacing w:after="0" w:line="200" w:lineRule="exact"/>
        <w:rPr>
          <w:rFonts w:ascii="MS PGothic" w:cs="MS PGothic" w:eastAsia="MS PGothic" w:hAnsi="MS PGothic"/>
          <w:sz w:val="17"/>
          <w:szCs w:val="17"/>
          <w:color w:val="auto"/>
        </w:rPr>
      </w:pPr>
    </w:p>
    <w:p>
      <w:pPr>
        <w:ind w:left="720" w:hanging="185"/>
        <w:spacing w:after="0"/>
        <w:tabs>
          <w:tab w:leader="none" w:pos="720" w:val="left"/>
        </w:tabs>
        <w:numPr>
          <w:ilvl w:val="0"/>
          <w:numId w:val="1"/>
        </w:numPr>
        <w:rPr>
          <w:rFonts w:ascii="MS PGothic" w:cs="MS PGothic" w:eastAsia="MS PGothic" w:hAnsi="MS PGothic"/>
          <w:sz w:val="17"/>
          <w:szCs w:val="17"/>
          <w:color w:val="auto"/>
        </w:rPr>
      </w:pPr>
      <w:r>
        <w:rPr>
          <w:rFonts w:ascii="Arial" w:cs="Arial" w:eastAsia="Arial" w:hAnsi="Arial"/>
          <w:sz w:val="17"/>
          <w:szCs w:val="17"/>
          <w:color w:val="auto"/>
        </w:rPr>
        <w:t>Pre-commencement communications pursuant to Rule 13e-4(c) under the Exchange Act (17 CFR 240.13e-4(c))</w:t>
      </w:r>
    </w:p>
    <w:p>
      <w:pPr>
        <w:spacing w:after="0" w:line="200" w:lineRule="exact"/>
        <w:rPr>
          <w:sz w:val="24"/>
          <w:szCs w:val="24"/>
          <w:color w:val="auto"/>
        </w:rPr>
      </w:pPr>
    </w:p>
    <w:p>
      <w:pPr>
        <w:ind w:firstLine="527"/>
        <w:spacing w:after="0" w:line="215" w:lineRule="exact"/>
        <w:rPr>
          <w:sz w:val="20"/>
          <w:szCs w:val="20"/>
          <w:color w:val="auto"/>
        </w:rPr>
      </w:pPr>
      <w:r>
        <w:rPr>
          <w:rFonts w:ascii="Arial" w:cs="Arial" w:eastAsia="Arial" w:hAnsi="Arial"/>
          <w:sz w:val="17"/>
          <w:szCs w:val="17"/>
          <w:color w:val="auto"/>
        </w:rPr>
        <w:t xml:space="preserve">Indicate by check mark whether the registrant is an emerging growth company as defined in Rule 405 of the Securities Act of 1933 (§230.405 of this chapter) or Rule 12b-2 of the Securities Exchange Act of 1934 (§240.12b-2 of this chapter). Emerging growth company </w:t>
      </w:r>
      <w:r>
        <w:rPr>
          <w:rFonts w:ascii="MS PGothic" w:cs="MS PGothic" w:eastAsia="MS PGothic" w:hAnsi="MS PGothic"/>
          <w:sz w:val="17"/>
          <w:szCs w:val="17"/>
          <w:color w:val="auto"/>
        </w:rPr>
        <w:t>☐</w:t>
      </w:r>
    </w:p>
    <w:p>
      <w:pPr>
        <w:spacing w:after="0" w:line="165" w:lineRule="exact"/>
        <w:rPr>
          <w:sz w:val="24"/>
          <w:szCs w:val="24"/>
          <w:color w:val="auto"/>
        </w:rPr>
      </w:pPr>
    </w:p>
    <w:p>
      <w:pPr>
        <w:ind w:right="260" w:firstLine="527"/>
        <w:spacing w:after="0" w:line="215" w:lineRule="exact"/>
        <w:rPr>
          <w:sz w:val="20"/>
          <w:szCs w:val="20"/>
          <w:color w:val="auto"/>
        </w:rPr>
      </w:pPr>
      <w:r>
        <w:rPr>
          <w:rFonts w:ascii="Arial" w:cs="Arial" w:eastAsia="Arial" w:hAnsi="Arial"/>
          <w:sz w:val="17"/>
          <w:szCs w:val="17"/>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7"/>
          <w:szCs w:val="17"/>
          <w:color w:val="auto"/>
        </w:rPr>
        <w:t>☐</w:t>
      </w:r>
    </w:p>
    <w:p>
      <w:pPr>
        <w:sectPr>
          <w:pgSz w:w="11900" w:h="16838" w:orient="portrait"/>
          <w:cols w:equalWidth="0" w:num="1">
            <w:col w:w="11340"/>
          </w:cols>
          <w:pgMar w:left="220" w:top="587" w:right="339" w:bottom="1440" w:gutter="0" w:footer="0" w:header="0"/>
        </w:sectPr>
      </w:pPr>
    </w:p>
    <w:bookmarkStart w:id="1" w:name="page2"/>
    <w:bookmarkEnd w:id="1"/>
    <w:p>
      <w:pPr>
        <w:jc w:val="both"/>
        <w:ind w:firstLine="527"/>
        <w:spacing w:after="0" w:line="250" w:lineRule="auto"/>
        <w:rPr>
          <w:sz w:val="20"/>
          <w:szCs w:val="20"/>
          <w:color w:val="auto"/>
        </w:rPr>
      </w:pPr>
      <w:r>
        <w:rPr>
          <w:rFonts w:ascii="Arial" w:cs="Arial" w:eastAsia="Arial" w:hAnsi="Arial"/>
          <w:sz w:val="17"/>
          <w:szCs w:val="17"/>
          <w:color w:val="auto"/>
        </w:rPr>
        <w:t>This combined Form 8-K is separately filed or furnished by Pinnacle West Capital Corporation and Arizona Public Service Company. Each registrant is filing or furnishing on its own behalf all of the information contained in this Form 8-K that relates to such registrant and, where required, its subsidiaries. Except as stated in the preceding sentence, neither registrant is filing or furnishing any information that does not relate to such registrant, and therefore makes no representation as to any such information.</w:t>
      </w:r>
    </w:p>
    <w:p>
      <w:pPr>
        <w:sectPr>
          <w:pgSz w:w="11900" w:h="16838" w:orient="portrait"/>
          <w:cols w:equalWidth="0" w:num="1">
            <w:col w:w="11360"/>
          </w:cols>
          <w:pgMar w:left="220" w:top="503" w:right="319" w:bottom="1440" w:gutter="0" w:footer="0" w:header="0"/>
        </w:sectPr>
      </w:pPr>
    </w:p>
    <w:bookmarkStart w:id="2" w:name="page3"/>
    <w:bookmarkEnd w:id="2"/>
    <w:p>
      <w:pPr>
        <w:spacing w:after="0"/>
        <w:rPr>
          <w:sz w:val="20"/>
          <w:szCs w:val="20"/>
          <w:color w:val="auto"/>
        </w:rPr>
      </w:pPr>
      <w:r>
        <w:rPr>
          <w:rFonts w:ascii="Arial" w:cs="Arial" w:eastAsia="Arial" w:hAnsi="Arial"/>
          <w:sz w:val="16"/>
          <w:szCs w:val="16"/>
          <w:b w:val="1"/>
          <w:bCs w:val="1"/>
          <w:color w:val="auto"/>
        </w:rPr>
        <w:t>Item 1.01. Entry into a Material Definitive Agreement.</w:t>
      </w:r>
    </w:p>
    <w:p>
      <w:pPr>
        <w:spacing w:after="0" w:line="19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Item 2.03. Creation of a Direct Financial Obligation or an Obligation under an Off-Balance Sheet Arrangement of a Registrant.</w:t>
      </w:r>
    </w:p>
    <w:p>
      <w:pPr>
        <w:spacing w:after="0" w:line="194" w:lineRule="exact"/>
        <w:rPr>
          <w:sz w:val="20"/>
          <w:szCs w:val="20"/>
          <w:color w:val="auto"/>
        </w:rPr>
      </w:pPr>
    </w:p>
    <w:p>
      <w:pPr>
        <w:ind w:right="80" w:firstLine="527"/>
        <w:spacing w:after="0" w:line="271" w:lineRule="auto"/>
        <w:rPr>
          <w:sz w:val="20"/>
          <w:szCs w:val="20"/>
          <w:color w:val="auto"/>
        </w:rPr>
      </w:pPr>
      <w:r>
        <w:rPr>
          <w:rFonts w:ascii="Arial" w:cs="Arial" w:eastAsia="Arial" w:hAnsi="Arial"/>
          <w:sz w:val="15"/>
          <w:szCs w:val="15"/>
          <w:color w:val="auto"/>
        </w:rPr>
        <w:t>On July 31, 2017, Pinnacle West Capital Corporation (“Pinnacle West”), The Bank of Tokyo-Mitsubishi UFJ, Ltd., as Agent (the "Agent"), as an Issuing Bank and as a Lender, and JPMorgan Chase Bank, N.A., as a Lender ("JPMorgan") entered into an amendment to the 364-day credit agreement, dated as of August 31, 2016, with the Agent and JPMorgan, allowing Pinnacle West to borrow, repay and reborrow, from time to time, up to $125 million through July 30, 2018. Pinnacle West will use the amended facility to directly or indirectly fund or otherwise support obligations related to 4C Acquisition, LLC, a subsidiary of Pinnacle West. The amended facility can also be used for letters of credit. Borrowings under the amended facility will bear interest at LIBOR plus 0.80% per annum.</w:t>
      </w:r>
    </w:p>
    <w:p>
      <w:pPr>
        <w:spacing w:after="0" w:line="147" w:lineRule="exact"/>
        <w:rPr>
          <w:sz w:val="20"/>
          <w:szCs w:val="20"/>
          <w:color w:val="auto"/>
        </w:rPr>
      </w:pPr>
    </w:p>
    <w:p>
      <w:pPr>
        <w:ind w:firstLine="527"/>
        <w:spacing w:after="0" w:line="267" w:lineRule="auto"/>
        <w:rPr>
          <w:sz w:val="20"/>
          <w:szCs w:val="20"/>
          <w:color w:val="auto"/>
        </w:rPr>
      </w:pPr>
      <w:r>
        <w:rPr>
          <w:rFonts w:ascii="Arial" w:cs="Arial" w:eastAsia="Arial" w:hAnsi="Arial"/>
          <w:sz w:val="15"/>
          <w:szCs w:val="15"/>
          <w:color w:val="auto"/>
        </w:rPr>
        <w:t>Borrowings under the amended facility are conditioned on Pinnacle West’s ability to make certain representations at the time each borrowing is made, except for representations concerning no material adverse effect and certain litigation matters, which were made only at the time the amended facility was entered into. The amended facility includes customary covenants, including requirements that Pinnacle West maintain ownership of a specified percentage of the outstanding capital stock of Arizona Public Service Company, maintain a consolidated debt-to-capitalization ratio no greater than a prescribed level and comply with certain lien restrictions. The amended facility also includes customary events of default, including a cross default provision and a change of control provision. If an event of default occurs, lenders holding a specified percentage of the commitments, or the agent with such lenders’ consent, may terminate the obligations of the lenders to make loans under the amended facility and the obligations of the issuing banks to issue letters of credit and may declare the obligations outstanding under the amended facility to be due and payable.</w:t>
      </w:r>
    </w:p>
    <w:p>
      <w:pPr>
        <w:spacing w:after="0" w:line="152" w:lineRule="exact"/>
        <w:rPr>
          <w:sz w:val="20"/>
          <w:szCs w:val="20"/>
          <w:color w:val="auto"/>
        </w:rPr>
      </w:pPr>
    </w:p>
    <w:p>
      <w:pPr>
        <w:ind w:left="540"/>
        <w:spacing w:after="0"/>
        <w:rPr>
          <w:sz w:val="20"/>
          <w:szCs w:val="20"/>
          <w:color w:val="auto"/>
        </w:rPr>
      </w:pPr>
      <w:r>
        <w:rPr>
          <w:rFonts w:ascii="Arial" w:cs="Arial" w:eastAsia="Arial" w:hAnsi="Arial"/>
          <w:sz w:val="16"/>
          <w:szCs w:val="16"/>
          <w:color w:val="auto"/>
        </w:rPr>
        <w:t>Pinnacle West and its affiliates maintain normal banking and other relationships with the Lenders in the amended facility and/or their affiliates.</w:t>
      </w:r>
    </w:p>
    <w:p>
      <w:pPr>
        <w:spacing w:after="0" w:line="186"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Item 2.02. Results of Operations and Financial Condition.</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The following information is furnished pursuant to Item 2.02.</w:t>
      </w:r>
    </w:p>
    <w:p>
      <w:pPr>
        <w:spacing w:after="0" w:line="190" w:lineRule="exact"/>
        <w:rPr>
          <w:sz w:val="20"/>
          <w:szCs w:val="20"/>
          <w:color w:val="auto"/>
        </w:rPr>
      </w:pPr>
    </w:p>
    <w:p>
      <w:pPr>
        <w:ind w:right="100" w:firstLine="527"/>
        <w:spacing w:after="0" w:line="271" w:lineRule="auto"/>
        <w:rPr>
          <w:sz w:val="20"/>
          <w:szCs w:val="20"/>
          <w:color w:val="auto"/>
        </w:rPr>
      </w:pPr>
      <w:r>
        <w:rPr>
          <w:rFonts w:ascii="Arial" w:cs="Arial" w:eastAsia="Arial" w:hAnsi="Arial"/>
          <w:sz w:val="16"/>
          <w:szCs w:val="16"/>
          <w:color w:val="auto"/>
        </w:rPr>
        <w:t>On August 3, 2017, Pinnacle West issued a press release regarding its financial results for the fiscal quarter ended June 30, 2017. A copy of the press release is attached hereto as Exhibit 99.1.</w:t>
      </w:r>
    </w:p>
    <w:p>
      <w:pPr>
        <w:spacing w:after="0" w:line="141"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Item 7.01. Regulation FD Disclosure.</w:t>
      </w:r>
    </w:p>
    <w:p>
      <w:pPr>
        <w:spacing w:after="0" w:line="194" w:lineRule="exact"/>
        <w:rPr>
          <w:sz w:val="20"/>
          <w:szCs w:val="20"/>
          <w:color w:val="auto"/>
        </w:rPr>
      </w:pPr>
    </w:p>
    <w:p>
      <w:pPr>
        <w:ind w:left="540"/>
        <w:spacing w:after="0"/>
        <w:rPr>
          <w:sz w:val="20"/>
          <w:szCs w:val="20"/>
          <w:color w:val="auto"/>
        </w:rPr>
      </w:pPr>
      <w:r>
        <w:rPr>
          <w:rFonts w:ascii="Arial" w:cs="Arial" w:eastAsia="Arial" w:hAnsi="Arial"/>
          <w:sz w:val="16"/>
          <w:szCs w:val="16"/>
          <w:color w:val="auto"/>
        </w:rPr>
        <w:t>The following information is furnished pursuant to Item 7.01.</w:t>
      </w:r>
    </w:p>
    <w:p>
      <w:pPr>
        <w:spacing w:after="0" w:line="190" w:lineRule="exact"/>
        <w:rPr>
          <w:sz w:val="20"/>
          <w:szCs w:val="20"/>
          <w:color w:val="auto"/>
        </w:rPr>
      </w:pPr>
    </w:p>
    <w:p>
      <w:pPr>
        <w:ind w:right="60" w:firstLine="527"/>
        <w:spacing w:after="0" w:line="257" w:lineRule="auto"/>
        <w:rPr>
          <w:sz w:val="20"/>
          <w:szCs w:val="20"/>
          <w:color w:val="auto"/>
        </w:rPr>
      </w:pPr>
      <w:r>
        <w:rPr>
          <w:rFonts w:ascii="Arial" w:cs="Arial" w:eastAsia="Arial" w:hAnsi="Arial"/>
          <w:sz w:val="16"/>
          <w:szCs w:val="16"/>
          <w:color w:val="auto"/>
        </w:rPr>
        <w:t>The Company is providing a copy of the slide presentation made in connection with the quarterly earnings conference call on August 3, 2017. This information contains Company operating results for the fiscal quarter ended June 30, 2017 and a quarterly consolidated statistical summary. The slide presentation is attached hereto as Exhibit 99.2 and is concurrently being posted to the Company’s website at www.pinnaclewest.com.</w:t>
      </w:r>
    </w:p>
    <w:p>
      <w:pPr>
        <w:sectPr>
          <w:pgSz w:w="11900" w:h="16838" w:orient="portrait"/>
          <w:cols w:equalWidth="0" w:num="1">
            <w:col w:w="11440"/>
          </w:cols>
          <w:pgMar w:left="220" w:top="494" w:right="239" w:bottom="1440" w:gutter="0" w:footer="0" w:header="0"/>
        </w:sectPr>
      </w:pPr>
    </w:p>
    <w:bookmarkStart w:id="3" w:name="page4"/>
    <w:bookmarkEnd w:id="3"/>
    <w:p>
      <w:pPr>
        <w:spacing w:after="0"/>
        <w:tabs>
          <w:tab w:leader="none" w:pos="820" w:val="left"/>
        </w:tabs>
        <w:rPr>
          <w:sz w:val="20"/>
          <w:szCs w:val="20"/>
          <w:color w:val="auto"/>
        </w:rPr>
      </w:pPr>
      <w:r>
        <w:rPr>
          <w:rFonts w:ascii="Arial" w:cs="Arial" w:eastAsia="Arial" w:hAnsi="Arial"/>
          <w:sz w:val="16"/>
          <w:szCs w:val="16"/>
          <w:b w:val="1"/>
          <w:bCs w:val="1"/>
          <w:color w:val="auto"/>
        </w:rPr>
        <w:t>Item 9.01.</w:t>
      </w:r>
      <w:r>
        <w:rPr>
          <w:sz w:val="20"/>
          <w:szCs w:val="20"/>
          <w:color w:val="auto"/>
        </w:rPr>
        <w:tab/>
      </w:r>
      <w:r>
        <w:rPr>
          <w:rFonts w:ascii="Arial" w:cs="Arial" w:eastAsia="Arial" w:hAnsi="Arial"/>
          <w:sz w:val="14"/>
          <w:szCs w:val="14"/>
          <w:b w:val="1"/>
          <w:bCs w:val="1"/>
          <w:color w:val="auto"/>
        </w:rPr>
        <w:t>Financial Statements and Exhibits.</w:t>
      </w:r>
    </w:p>
    <w:p>
      <w:pPr>
        <w:spacing w:after="0" w:line="21" w:lineRule="exact"/>
        <w:rPr>
          <w:sz w:val="20"/>
          <w:szCs w:val="20"/>
          <w:color w:val="auto"/>
        </w:rPr>
      </w:pPr>
    </w:p>
    <w:tbl>
      <w:tblPr>
        <w:tblLayout w:type="fixed"/>
        <w:tblInd w:w="500" w:type="dxa"/>
        <w:tblCellMar>
          <w:top w:w="0" w:type="dxa"/>
          <w:left w:w="0" w:type="dxa"/>
          <w:bottom w:w="0" w:type="dxa"/>
          <w:right w:w="0" w:type="dxa"/>
        </w:tblCellMar>
      </w:tblPr>
      <w:tr>
        <w:trPr>
          <w:trHeight w:val="210"/>
        </w:trPr>
        <w:tc>
          <w:tcPr>
            <w:tcW w:w="1360" w:type="dxa"/>
            <w:vAlign w:val="bottom"/>
          </w:tcPr>
          <w:p>
            <w:pPr>
              <w:ind w:left="40"/>
              <w:spacing w:after="0"/>
              <w:rPr>
                <w:sz w:val="20"/>
                <w:szCs w:val="20"/>
                <w:color w:val="auto"/>
              </w:rPr>
            </w:pPr>
            <w:r>
              <w:rPr>
                <w:rFonts w:ascii="Arial" w:cs="Arial" w:eastAsia="Arial" w:hAnsi="Arial"/>
                <w:sz w:val="16"/>
                <w:szCs w:val="16"/>
                <w:b w:val="1"/>
                <w:bCs w:val="1"/>
                <w:color w:val="auto"/>
              </w:rPr>
              <w:t>(d)  Exhibits</w:t>
            </w:r>
          </w:p>
        </w:tc>
        <w:tc>
          <w:tcPr>
            <w:tcW w:w="1620" w:type="dxa"/>
            <w:vAlign w:val="bottom"/>
          </w:tcPr>
          <w:p>
            <w:pPr>
              <w:spacing w:after="0"/>
              <w:rPr>
                <w:sz w:val="18"/>
                <w:szCs w:val="18"/>
                <w:color w:val="auto"/>
              </w:rPr>
            </w:pPr>
          </w:p>
        </w:tc>
        <w:tc>
          <w:tcPr>
            <w:tcW w:w="7480" w:type="dxa"/>
            <w:vAlign w:val="bottom"/>
          </w:tcPr>
          <w:p>
            <w:pPr>
              <w:spacing w:after="0"/>
              <w:rPr>
                <w:sz w:val="18"/>
                <w:szCs w:val="18"/>
                <w:color w:val="auto"/>
              </w:rPr>
            </w:pPr>
          </w:p>
        </w:tc>
      </w:tr>
      <w:tr>
        <w:trPr>
          <w:trHeight w:val="497"/>
        </w:trPr>
        <w:tc>
          <w:tcPr>
            <w:tcW w:w="1360" w:type="dxa"/>
            <w:vAlign w:val="bottom"/>
            <w:tcBorders>
              <w:bottom w:val="single" w:sz="8" w:color="auto"/>
            </w:tcBorders>
          </w:tcPr>
          <w:p>
            <w:pPr>
              <w:jc w:val="center"/>
              <w:ind w:right="119"/>
              <w:spacing w:after="0"/>
              <w:rPr>
                <w:sz w:val="20"/>
                <w:szCs w:val="20"/>
                <w:color w:val="auto"/>
              </w:rPr>
            </w:pPr>
            <w:r>
              <w:rPr>
                <w:rFonts w:ascii="Arial" w:cs="Arial" w:eastAsia="Arial" w:hAnsi="Arial"/>
                <w:sz w:val="16"/>
                <w:szCs w:val="16"/>
                <w:b w:val="1"/>
                <w:bCs w:val="1"/>
                <w:color w:val="auto"/>
                <w:w w:val="95"/>
              </w:rPr>
              <w:t>Exhibit No.</w:t>
            </w:r>
          </w:p>
        </w:tc>
        <w:tc>
          <w:tcPr>
            <w:tcW w:w="1620" w:type="dxa"/>
            <w:vAlign w:val="bottom"/>
            <w:tcBorders>
              <w:bottom w:val="single" w:sz="8" w:color="auto"/>
            </w:tcBorders>
          </w:tcPr>
          <w:p>
            <w:pPr>
              <w:jc w:val="center"/>
              <w:spacing w:after="0"/>
              <w:rPr>
                <w:sz w:val="20"/>
                <w:szCs w:val="20"/>
                <w:color w:val="auto"/>
              </w:rPr>
            </w:pPr>
            <w:r>
              <w:rPr>
                <w:rFonts w:ascii="Arial" w:cs="Arial" w:eastAsia="Arial" w:hAnsi="Arial"/>
                <w:sz w:val="16"/>
                <w:szCs w:val="16"/>
                <w:b w:val="1"/>
                <w:bCs w:val="1"/>
                <w:color w:val="auto"/>
                <w:w w:val="91"/>
              </w:rPr>
              <w:t>Registrant(s)</w:t>
            </w:r>
          </w:p>
        </w:tc>
        <w:tc>
          <w:tcPr>
            <w:tcW w:w="7480" w:type="dxa"/>
            <w:vAlign w:val="bottom"/>
            <w:tcBorders>
              <w:bottom w:val="single" w:sz="8" w:color="auto"/>
            </w:tcBorders>
          </w:tcPr>
          <w:p>
            <w:pPr>
              <w:ind w:left="300"/>
              <w:spacing w:after="0"/>
              <w:rPr>
                <w:sz w:val="20"/>
                <w:szCs w:val="20"/>
                <w:color w:val="auto"/>
              </w:rPr>
            </w:pPr>
            <w:r>
              <w:rPr>
                <w:rFonts w:ascii="Arial" w:cs="Arial" w:eastAsia="Arial" w:hAnsi="Arial"/>
                <w:sz w:val="16"/>
                <w:szCs w:val="16"/>
                <w:b w:val="1"/>
                <w:bCs w:val="1"/>
                <w:color w:val="auto"/>
              </w:rPr>
              <w:t>Description</w:t>
            </w:r>
          </w:p>
        </w:tc>
      </w:tr>
      <w:tr>
        <w:trPr>
          <w:trHeight w:val="436"/>
        </w:trPr>
        <w:tc>
          <w:tcPr>
            <w:tcW w:w="1360" w:type="dxa"/>
            <w:vAlign w:val="bottom"/>
          </w:tcPr>
          <w:p>
            <w:pPr>
              <w:jc w:val="center"/>
              <w:ind w:right="119"/>
              <w:spacing w:after="0"/>
              <w:rPr>
                <w:sz w:val="20"/>
                <w:szCs w:val="20"/>
                <w:color w:val="auto"/>
              </w:rPr>
            </w:pPr>
            <w:r>
              <w:rPr>
                <w:rFonts w:ascii="Arial" w:cs="Arial" w:eastAsia="Arial" w:hAnsi="Arial"/>
                <w:sz w:val="16"/>
                <w:szCs w:val="16"/>
                <w:color w:val="auto"/>
                <w:w w:val="89"/>
              </w:rPr>
              <w:t>99.1</w:t>
            </w:r>
          </w:p>
        </w:tc>
        <w:tc>
          <w:tcPr>
            <w:tcW w:w="162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480" w:type="dxa"/>
            <w:vAlign w:val="bottom"/>
          </w:tcPr>
          <w:p>
            <w:pPr>
              <w:ind w:left="300"/>
              <w:spacing w:after="0"/>
              <w:rPr>
                <w:sz w:val="20"/>
                <w:szCs w:val="20"/>
                <w:color w:val="auto"/>
              </w:rPr>
            </w:pPr>
            <w:r>
              <w:rPr>
                <w:rFonts w:ascii="Arial" w:cs="Arial" w:eastAsia="Arial" w:hAnsi="Arial"/>
                <w:sz w:val="16"/>
                <w:szCs w:val="16"/>
                <w:color w:val="auto"/>
              </w:rPr>
              <w:t>Earnings News Release issued on August 3, 2017.</w:t>
            </w:r>
          </w:p>
        </w:tc>
      </w:tr>
      <w:tr>
        <w:trPr>
          <w:trHeight w:val="206"/>
        </w:trPr>
        <w:tc>
          <w:tcPr>
            <w:tcW w:w="1360" w:type="dxa"/>
            <w:vAlign w:val="bottom"/>
          </w:tcPr>
          <w:p>
            <w:pPr>
              <w:spacing w:after="0"/>
              <w:rPr>
                <w:sz w:val="17"/>
                <w:szCs w:val="17"/>
                <w:color w:val="auto"/>
              </w:rPr>
            </w:pPr>
          </w:p>
        </w:tc>
        <w:tc>
          <w:tcPr>
            <w:tcW w:w="1620" w:type="dxa"/>
            <w:vAlign w:val="bottom"/>
          </w:tcPr>
          <w:p>
            <w:pPr>
              <w:jc w:val="center"/>
              <w:spacing w:after="0"/>
              <w:rPr>
                <w:sz w:val="20"/>
                <w:szCs w:val="20"/>
                <w:color w:val="auto"/>
              </w:rPr>
            </w:pPr>
            <w:r>
              <w:rPr>
                <w:rFonts w:ascii="Arial" w:cs="Arial" w:eastAsia="Arial" w:hAnsi="Arial"/>
                <w:sz w:val="16"/>
                <w:szCs w:val="16"/>
                <w:color w:val="auto"/>
                <w:w w:val="93"/>
              </w:rPr>
              <w:t>APS</w:t>
            </w:r>
          </w:p>
        </w:tc>
        <w:tc>
          <w:tcPr>
            <w:tcW w:w="7480" w:type="dxa"/>
            <w:vAlign w:val="bottom"/>
          </w:tcPr>
          <w:p>
            <w:pPr>
              <w:spacing w:after="0"/>
              <w:rPr>
                <w:sz w:val="17"/>
                <w:szCs w:val="17"/>
                <w:color w:val="auto"/>
              </w:rPr>
            </w:pPr>
          </w:p>
        </w:tc>
      </w:tr>
      <w:tr>
        <w:trPr>
          <w:trHeight w:val="454"/>
        </w:trPr>
        <w:tc>
          <w:tcPr>
            <w:tcW w:w="1360" w:type="dxa"/>
            <w:vAlign w:val="bottom"/>
          </w:tcPr>
          <w:p>
            <w:pPr>
              <w:jc w:val="center"/>
              <w:ind w:right="119"/>
              <w:spacing w:after="0"/>
              <w:rPr>
                <w:sz w:val="20"/>
                <w:szCs w:val="20"/>
                <w:color w:val="auto"/>
              </w:rPr>
            </w:pPr>
            <w:r>
              <w:rPr>
                <w:rFonts w:ascii="Arial" w:cs="Arial" w:eastAsia="Arial" w:hAnsi="Arial"/>
                <w:sz w:val="16"/>
                <w:szCs w:val="16"/>
                <w:color w:val="auto"/>
                <w:w w:val="89"/>
              </w:rPr>
              <w:t>99.2</w:t>
            </w:r>
          </w:p>
        </w:tc>
        <w:tc>
          <w:tcPr>
            <w:tcW w:w="1620" w:type="dxa"/>
            <w:vAlign w:val="bottom"/>
          </w:tcPr>
          <w:p>
            <w:pPr>
              <w:jc w:val="center"/>
              <w:spacing w:after="0"/>
              <w:rPr>
                <w:sz w:val="20"/>
                <w:szCs w:val="20"/>
                <w:color w:val="auto"/>
              </w:rPr>
            </w:pPr>
            <w:r>
              <w:rPr>
                <w:rFonts w:ascii="Arial" w:cs="Arial" w:eastAsia="Arial" w:hAnsi="Arial"/>
                <w:sz w:val="16"/>
                <w:szCs w:val="16"/>
                <w:color w:val="auto"/>
                <w:w w:val="89"/>
              </w:rPr>
              <w:t>Pinnacle West</w:t>
            </w:r>
          </w:p>
        </w:tc>
        <w:tc>
          <w:tcPr>
            <w:tcW w:w="7480" w:type="dxa"/>
            <w:vAlign w:val="bottom"/>
          </w:tcPr>
          <w:p>
            <w:pPr>
              <w:ind w:left="300"/>
              <w:spacing w:after="0"/>
              <w:rPr>
                <w:sz w:val="20"/>
                <w:szCs w:val="20"/>
                <w:color w:val="auto"/>
              </w:rPr>
            </w:pPr>
            <w:r>
              <w:rPr>
                <w:rFonts w:ascii="Arial" w:cs="Arial" w:eastAsia="Arial" w:hAnsi="Arial"/>
                <w:sz w:val="16"/>
                <w:szCs w:val="16"/>
                <w:color w:val="auto"/>
                <w:w w:val="93"/>
              </w:rPr>
              <w:t>Pinnacle West Capital Corporation Second Quarter 2017 Results slide presentation accompanying August 3,</w:t>
            </w:r>
          </w:p>
        </w:tc>
      </w:tr>
      <w:tr>
        <w:trPr>
          <w:trHeight w:val="206"/>
        </w:trPr>
        <w:tc>
          <w:tcPr>
            <w:tcW w:w="1360" w:type="dxa"/>
            <w:vAlign w:val="bottom"/>
          </w:tcPr>
          <w:p>
            <w:pPr>
              <w:spacing w:after="0"/>
              <w:rPr>
                <w:sz w:val="17"/>
                <w:szCs w:val="17"/>
                <w:color w:val="auto"/>
              </w:rPr>
            </w:pPr>
          </w:p>
        </w:tc>
        <w:tc>
          <w:tcPr>
            <w:tcW w:w="1620" w:type="dxa"/>
            <w:vAlign w:val="bottom"/>
          </w:tcPr>
          <w:p>
            <w:pPr>
              <w:jc w:val="center"/>
              <w:spacing w:after="0"/>
              <w:rPr>
                <w:sz w:val="20"/>
                <w:szCs w:val="20"/>
                <w:color w:val="auto"/>
              </w:rPr>
            </w:pPr>
            <w:r>
              <w:rPr>
                <w:rFonts w:ascii="Arial" w:cs="Arial" w:eastAsia="Arial" w:hAnsi="Arial"/>
                <w:sz w:val="16"/>
                <w:szCs w:val="16"/>
                <w:color w:val="auto"/>
                <w:w w:val="93"/>
              </w:rPr>
              <w:t>APS</w:t>
            </w:r>
          </w:p>
        </w:tc>
        <w:tc>
          <w:tcPr>
            <w:tcW w:w="7480" w:type="dxa"/>
            <w:vAlign w:val="bottom"/>
          </w:tcPr>
          <w:p>
            <w:pPr>
              <w:ind w:left="300"/>
              <w:spacing w:after="0"/>
              <w:rPr>
                <w:sz w:val="20"/>
                <w:szCs w:val="20"/>
                <w:color w:val="auto"/>
              </w:rPr>
            </w:pPr>
            <w:r>
              <w:rPr>
                <w:rFonts w:ascii="Arial" w:cs="Arial" w:eastAsia="Arial" w:hAnsi="Arial"/>
                <w:sz w:val="16"/>
                <w:szCs w:val="16"/>
                <w:color w:val="auto"/>
              </w:rPr>
              <w:t>2017 conference call.</w:t>
            </w:r>
          </w:p>
        </w:tc>
      </w:tr>
    </w:tbl>
    <w:p>
      <w:pPr>
        <w:sectPr>
          <w:pgSz w:w="11900" w:h="16838" w:orient="portrait"/>
          <w:cols w:equalWidth="0" w:num="1">
            <w:col w:w="10960"/>
          </w:cols>
          <w:pgMar w:left="220" w:top="494" w:right="719" w:bottom="1440" w:gutter="0" w:footer="0" w:header="0"/>
        </w:sectPr>
      </w:pPr>
    </w:p>
    <w:bookmarkStart w:id="4" w:name="page5"/>
    <w:bookmarkEnd w:id="4"/>
    <w:p>
      <w:pPr>
        <w:jc w:val="center"/>
        <w:ind w:right="-19"/>
        <w:spacing w:after="0"/>
        <w:rPr>
          <w:sz w:val="20"/>
          <w:szCs w:val="20"/>
          <w:color w:val="auto"/>
        </w:rPr>
      </w:pPr>
      <w:r>
        <w:rPr>
          <w:rFonts w:ascii="Arial" w:cs="Arial" w:eastAsia="Arial" w:hAnsi="Arial"/>
          <w:sz w:val="18"/>
          <w:szCs w:val="18"/>
          <w:color w:val="auto"/>
        </w:rPr>
        <w:t>SIGNATURES</w:t>
      </w:r>
    </w:p>
    <w:p>
      <w:pPr>
        <w:spacing w:after="0" w:line="200" w:lineRule="exact"/>
        <w:rPr>
          <w:sz w:val="20"/>
          <w:szCs w:val="20"/>
          <w:color w:val="auto"/>
        </w:rPr>
      </w:pPr>
    </w:p>
    <w:p>
      <w:pPr>
        <w:spacing w:after="0" w:line="263" w:lineRule="exact"/>
        <w:rPr>
          <w:sz w:val="20"/>
          <w:szCs w:val="20"/>
          <w:color w:val="auto"/>
        </w:rPr>
      </w:pPr>
    </w:p>
    <w:p>
      <w:pPr>
        <w:ind w:firstLine="527"/>
        <w:spacing w:after="0" w:line="260" w:lineRule="auto"/>
        <w:rPr>
          <w:sz w:val="20"/>
          <w:szCs w:val="20"/>
          <w:color w:val="auto"/>
        </w:rPr>
      </w:pPr>
      <w:r>
        <w:rPr>
          <w:rFonts w:ascii="Arial" w:cs="Arial" w:eastAsia="Arial" w:hAnsi="Arial"/>
          <w:sz w:val="18"/>
          <w:szCs w:val="18"/>
          <w:color w:val="auto"/>
        </w:rPr>
        <w:t>Pursuant to the requirements of the Securities Exchange Act of 1934, each registrant has duly caused this report to be signed on its behalf by the undersigned hereunto duly authorized.</w:t>
      </w:r>
    </w:p>
    <w:p>
      <w:pPr>
        <w:spacing w:after="0" w:line="200" w:lineRule="exact"/>
        <w:rPr>
          <w:sz w:val="20"/>
          <w:szCs w:val="20"/>
          <w:color w:val="auto"/>
        </w:rPr>
      </w:pPr>
    </w:p>
    <w:p>
      <w:pPr>
        <w:spacing w:after="0" w:line="308" w:lineRule="exact"/>
        <w:rPr>
          <w:sz w:val="20"/>
          <w:szCs w:val="20"/>
          <w:color w:val="auto"/>
        </w:rPr>
      </w:pPr>
    </w:p>
    <w:tbl>
      <w:tblPr>
        <w:tblLayout w:type="fixed"/>
        <w:tblInd w:w="2240" w:type="dxa"/>
        <w:tblCellMar>
          <w:top w:w="0" w:type="dxa"/>
          <w:left w:w="0" w:type="dxa"/>
          <w:bottom w:w="0" w:type="dxa"/>
          <w:right w:w="0" w:type="dxa"/>
        </w:tblCellMar>
      </w:tblPr>
      <w:tr>
        <w:trPr>
          <w:trHeight w:val="223"/>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PINNACLE WEST CAPITAL CORPORATION</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(Registrant)</w:t>
            </w:r>
          </w:p>
        </w:tc>
      </w:tr>
      <w:tr>
        <w:trPr>
          <w:trHeight w:val="513"/>
        </w:trPr>
        <w:tc>
          <w:tcPr>
            <w:tcW w:w="2700" w:type="dxa"/>
            <w:vAlign w:val="bottom"/>
          </w:tcPr>
          <w:p>
            <w:pPr>
              <w:spacing w:after="0"/>
              <w:rPr>
                <w:sz w:val="20"/>
                <w:szCs w:val="20"/>
                <w:color w:val="auto"/>
              </w:rPr>
            </w:pPr>
            <w:r>
              <w:rPr>
                <w:rFonts w:ascii="Arial" w:cs="Arial" w:eastAsia="Arial" w:hAnsi="Arial"/>
                <w:sz w:val="18"/>
                <w:szCs w:val="18"/>
                <w:color w:val="auto"/>
              </w:rPr>
              <w:t>Dated: August 3, 2017</w:t>
            </w:r>
          </w:p>
        </w:tc>
        <w:tc>
          <w:tcPr>
            <w:tcW w:w="43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By: /s/ James R. Hatfield</w:t>
            </w:r>
          </w:p>
        </w:tc>
      </w:tr>
      <w:tr>
        <w:trPr>
          <w:trHeight w:val="226"/>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James R. Hatfield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Executive Vice President and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Chief Financial Officer</w:t>
            </w:r>
          </w:p>
        </w:tc>
      </w:tr>
      <w:tr>
        <w:trPr>
          <w:trHeight w:val="506"/>
        </w:trPr>
        <w:tc>
          <w:tcPr>
            <w:tcW w:w="2700" w:type="dxa"/>
            <w:vAlign w:val="bottom"/>
          </w:tcPr>
          <w:p>
            <w:pPr>
              <w:spacing w:after="0"/>
              <w:rPr>
                <w:sz w:val="24"/>
                <w:szCs w:val="24"/>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ARIZONA PUBLIC SERVICE COMPANY</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(Registrant)</w:t>
            </w:r>
          </w:p>
        </w:tc>
      </w:tr>
      <w:tr>
        <w:trPr>
          <w:trHeight w:val="513"/>
        </w:trPr>
        <w:tc>
          <w:tcPr>
            <w:tcW w:w="2700" w:type="dxa"/>
            <w:vAlign w:val="bottom"/>
          </w:tcPr>
          <w:p>
            <w:pPr>
              <w:spacing w:after="0"/>
              <w:rPr>
                <w:sz w:val="20"/>
                <w:szCs w:val="20"/>
                <w:color w:val="auto"/>
              </w:rPr>
            </w:pPr>
            <w:r>
              <w:rPr>
                <w:rFonts w:ascii="Arial" w:cs="Arial" w:eastAsia="Arial" w:hAnsi="Arial"/>
                <w:sz w:val="18"/>
                <w:szCs w:val="18"/>
                <w:color w:val="auto"/>
              </w:rPr>
              <w:t>Dated: August 3, 2017</w:t>
            </w:r>
          </w:p>
        </w:tc>
        <w:tc>
          <w:tcPr>
            <w:tcW w:w="432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By: /s/ James R. Hatfield</w:t>
            </w:r>
          </w:p>
        </w:tc>
      </w:tr>
      <w:tr>
        <w:trPr>
          <w:trHeight w:val="226"/>
        </w:trPr>
        <w:tc>
          <w:tcPr>
            <w:tcW w:w="2700" w:type="dxa"/>
            <w:vAlign w:val="bottom"/>
          </w:tcPr>
          <w:p>
            <w:pPr>
              <w:spacing w:after="0"/>
              <w:rPr>
                <w:sz w:val="19"/>
                <w:szCs w:val="19"/>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James R. Hatfield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Executive Vice President and</w:t>
            </w:r>
          </w:p>
        </w:tc>
      </w:tr>
      <w:tr>
        <w:trPr>
          <w:trHeight w:val="242"/>
        </w:trPr>
        <w:tc>
          <w:tcPr>
            <w:tcW w:w="2700" w:type="dxa"/>
            <w:vAlign w:val="bottom"/>
          </w:tcPr>
          <w:p>
            <w:pPr>
              <w:spacing w:after="0"/>
              <w:rPr>
                <w:sz w:val="21"/>
                <w:szCs w:val="21"/>
                <w:color w:val="auto"/>
              </w:rPr>
            </w:pPr>
          </w:p>
        </w:tc>
        <w:tc>
          <w:tcPr>
            <w:tcW w:w="4320" w:type="dxa"/>
            <w:vAlign w:val="bottom"/>
          </w:tcPr>
          <w:p>
            <w:pPr>
              <w:ind w:left="20"/>
              <w:spacing w:after="0"/>
              <w:rPr>
                <w:sz w:val="20"/>
                <w:szCs w:val="20"/>
                <w:color w:val="auto"/>
              </w:rPr>
            </w:pPr>
            <w:r>
              <w:rPr>
                <w:rFonts w:ascii="Arial" w:cs="Arial" w:eastAsia="Arial" w:hAnsi="Arial"/>
                <w:sz w:val="18"/>
                <w:szCs w:val="18"/>
                <w:color w:val="auto"/>
              </w:rPr>
              <w:t>Chief Financial Officer</w:t>
            </w:r>
          </w:p>
        </w:tc>
      </w:tr>
    </w:tbl>
    <w:p>
      <w:pPr>
        <w:sectPr>
          <w:pgSz w:w="11900" w:h="16838" w:orient="portrait"/>
          <w:cols w:equalWidth="0" w:num="1">
            <w:col w:w="11460"/>
          </w:cols>
          <w:pgMar w:left="220" w:top="683" w:right="219" w:bottom="1440" w:gutter="0" w:footer="0" w:header="0"/>
        </w:sectPr>
      </w:pPr>
    </w:p>
    <w:bookmarkStart w:id="5" w:name="page6"/>
    <w:bookmarkEnd w:id="5"/>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144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8400" w:type="dxa"/>
            <w:vAlign w:val="bottom"/>
          </w:tcPr>
          <w:p>
            <w:pPr>
              <w:ind w:left="2200"/>
              <w:spacing w:after="0"/>
              <w:rPr>
                <w:sz w:val="20"/>
                <w:szCs w:val="20"/>
                <w:color w:val="auto"/>
              </w:rPr>
            </w:pPr>
            <w:r>
              <w:rPr>
                <w:rFonts w:ascii="Arial" w:cs="Arial" w:eastAsia="Arial" w:hAnsi="Arial"/>
                <w:sz w:val="16"/>
                <w:szCs w:val="16"/>
                <w:b w:val="1"/>
                <w:bCs w:val="1"/>
                <w:color w:val="auto"/>
              </w:rPr>
              <w:t>Exhibit Index</w:t>
            </w:r>
          </w:p>
        </w:tc>
      </w:tr>
      <w:tr>
        <w:trPr>
          <w:trHeight w:val="701"/>
        </w:trPr>
        <w:tc>
          <w:tcPr>
            <w:tcW w:w="1440" w:type="dxa"/>
            <w:vAlign w:val="bottom"/>
            <w:tcBorders>
              <w:bottom w:val="single" w:sz="8" w:color="auto"/>
            </w:tcBorders>
          </w:tcPr>
          <w:p>
            <w:pPr>
              <w:jc w:val="center"/>
              <w:ind w:right="79"/>
              <w:spacing w:after="0"/>
              <w:rPr>
                <w:sz w:val="20"/>
                <w:szCs w:val="20"/>
                <w:color w:val="auto"/>
              </w:rPr>
            </w:pPr>
            <w:r>
              <w:rPr>
                <w:rFonts w:ascii="Arial" w:cs="Arial" w:eastAsia="Arial" w:hAnsi="Arial"/>
                <w:sz w:val="16"/>
                <w:szCs w:val="16"/>
                <w:b w:val="1"/>
                <w:bCs w:val="1"/>
                <w:color w:val="auto"/>
                <w:w w:val="95"/>
              </w:rPr>
              <w:t>Exhibit No.</w:t>
            </w:r>
          </w:p>
        </w:tc>
        <w:tc>
          <w:tcPr>
            <w:tcW w:w="1620" w:type="dxa"/>
            <w:vAlign w:val="bottom"/>
            <w:tcBorders>
              <w:bottom w:val="single" w:sz="8" w:color="auto"/>
            </w:tcBorders>
          </w:tcPr>
          <w:p>
            <w:pPr>
              <w:jc w:val="center"/>
              <w:ind w:left="39"/>
              <w:spacing w:after="0"/>
              <w:rPr>
                <w:sz w:val="20"/>
                <w:szCs w:val="20"/>
                <w:color w:val="auto"/>
              </w:rPr>
            </w:pPr>
            <w:r>
              <w:rPr>
                <w:rFonts w:ascii="Arial" w:cs="Arial" w:eastAsia="Arial" w:hAnsi="Arial"/>
                <w:sz w:val="16"/>
                <w:szCs w:val="16"/>
                <w:b w:val="1"/>
                <w:bCs w:val="1"/>
                <w:color w:val="auto"/>
                <w:w w:val="91"/>
              </w:rPr>
              <w:t>Registrant(s)</w:t>
            </w:r>
          </w:p>
        </w:tc>
        <w:tc>
          <w:tcPr>
            <w:tcW w:w="8400" w:type="dxa"/>
            <w:vAlign w:val="bottom"/>
            <w:tcBorders>
              <w:bottom w:val="single" w:sz="8" w:color="auto"/>
            </w:tcBorders>
          </w:tcPr>
          <w:p>
            <w:pPr>
              <w:ind w:left="300"/>
              <w:spacing w:after="0"/>
              <w:rPr>
                <w:sz w:val="20"/>
                <w:szCs w:val="20"/>
                <w:color w:val="auto"/>
              </w:rPr>
            </w:pPr>
            <w:r>
              <w:rPr>
                <w:rFonts w:ascii="Arial" w:cs="Arial" w:eastAsia="Arial" w:hAnsi="Arial"/>
                <w:sz w:val="16"/>
                <w:szCs w:val="16"/>
                <w:b w:val="1"/>
                <w:bCs w:val="1"/>
                <w:color w:val="auto"/>
              </w:rPr>
              <w:t>Description</w:t>
            </w:r>
          </w:p>
        </w:tc>
      </w:tr>
      <w:tr>
        <w:trPr>
          <w:trHeight w:val="436"/>
        </w:trPr>
        <w:tc>
          <w:tcPr>
            <w:tcW w:w="1440" w:type="dxa"/>
            <w:vAlign w:val="bottom"/>
          </w:tcPr>
          <w:p>
            <w:pPr>
              <w:jc w:val="center"/>
              <w:ind w:right="79"/>
              <w:spacing w:after="0"/>
              <w:rPr>
                <w:sz w:val="20"/>
                <w:szCs w:val="20"/>
                <w:color w:val="auto"/>
              </w:rPr>
            </w:pPr>
            <w:r>
              <w:rPr>
                <w:rFonts w:ascii="Arial" w:cs="Arial" w:eastAsia="Arial" w:hAnsi="Arial"/>
                <w:sz w:val="16"/>
                <w:szCs w:val="16"/>
                <w:color w:val="auto"/>
                <w:w w:val="89"/>
              </w:rPr>
              <w:t>99.1</w:t>
            </w:r>
          </w:p>
        </w:tc>
        <w:tc>
          <w:tcPr>
            <w:tcW w:w="1620" w:type="dxa"/>
            <w:vAlign w:val="bottom"/>
          </w:tcPr>
          <w:p>
            <w:pPr>
              <w:jc w:val="center"/>
              <w:ind w:left="19"/>
              <w:spacing w:after="0"/>
              <w:rPr>
                <w:sz w:val="20"/>
                <w:szCs w:val="20"/>
                <w:color w:val="auto"/>
              </w:rPr>
            </w:pPr>
            <w:r>
              <w:rPr>
                <w:rFonts w:ascii="Arial" w:cs="Arial" w:eastAsia="Arial" w:hAnsi="Arial"/>
                <w:sz w:val="16"/>
                <w:szCs w:val="16"/>
                <w:color w:val="auto"/>
                <w:w w:val="89"/>
              </w:rPr>
              <w:t>Pinnacle West</w:t>
            </w:r>
          </w:p>
        </w:tc>
        <w:tc>
          <w:tcPr>
            <w:tcW w:w="8400" w:type="dxa"/>
            <w:vAlign w:val="bottom"/>
          </w:tcPr>
          <w:p>
            <w:pPr>
              <w:ind w:left="300"/>
              <w:spacing w:after="0"/>
              <w:rPr>
                <w:sz w:val="20"/>
                <w:szCs w:val="20"/>
                <w:color w:val="auto"/>
              </w:rPr>
            </w:pPr>
            <w:r>
              <w:rPr>
                <w:rFonts w:ascii="Arial" w:cs="Arial" w:eastAsia="Arial" w:hAnsi="Arial"/>
                <w:sz w:val="16"/>
                <w:szCs w:val="16"/>
                <w:color w:val="auto"/>
              </w:rPr>
              <w:t>Earnings News Release issued on August 3, 2017.</w:t>
            </w:r>
          </w:p>
        </w:tc>
      </w:tr>
      <w:tr>
        <w:trPr>
          <w:trHeight w:val="206"/>
        </w:trPr>
        <w:tc>
          <w:tcPr>
            <w:tcW w:w="1440" w:type="dxa"/>
            <w:vAlign w:val="bottom"/>
          </w:tcPr>
          <w:p>
            <w:pPr>
              <w:spacing w:after="0"/>
              <w:rPr>
                <w:sz w:val="17"/>
                <w:szCs w:val="17"/>
                <w:color w:val="auto"/>
              </w:rPr>
            </w:pPr>
          </w:p>
        </w:tc>
        <w:tc>
          <w:tcPr>
            <w:tcW w:w="1620" w:type="dxa"/>
            <w:vAlign w:val="bottom"/>
          </w:tcPr>
          <w:p>
            <w:pPr>
              <w:jc w:val="center"/>
              <w:ind w:left="39"/>
              <w:spacing w:after="0"/>
              <w:rPr>
                <w:sz w:val="20"/>
                <w:szCs w:val="20"/>
                <w:color w:val="auto"/>
              </w:rPr>
            </w:pPr>
            <w:r>
              <w:rPr>
                <w:rFonts w:ascii="Arial" w:cs="Arial" w:eastAsia="Arial" w:hAnsi="Arial"/>
                <w:sz w:val="16"/>
                <w:szCs w:val="16"/>
                <w:color w:val="auto"/>
                <w:w w:val="93"/>
              </w:rPr>
              <w:t>APS</w:t>
            </w:r>
          </w:p>
        </w:tc>
        <w:tc>
          <w:tcPr>
            <w:tcW w:w="8400" w:type="dxa"/>
            <w:vAlign w:val="bottom"/>
          </w:tcPr>
          <w:p>
            <w:pPr>
              <w:spacing w:after="0"/>
              <w:rPr>
                <w:sz w:val="17"/>
                <w:szCs w:val="17"/>
                <w:color w:val="auto"/>
              </w:rPr>
            </w:pPr>
          </w:p>
        </w:tc>
      </w:tr>
      <w:tr>
        <w:trPr>
          <w:trHeight w:val="454"/>
        </w:trPr>
        <w:tc>
          <w:tcPr>
            <w:tcW w:w="1440" w:type="dxa"/>
            <w:vAlign w:val="bottom"/>
          </w:tcPr>
          <w:p>
            <w:pPr>
              <w:jc w:val="center"/>
              <w:ind w:right="79"/>
              <w:spacing w:after="0"/>
              <w:rPr>
                <w:sz w:val="20"/>
                <w:szCs w:val="20"/>
                <w:color w:val="auto"/>
              </w:rPr>
            </w:pPr>
            <w:r>
              <w:rPr>
                <w:rFonts w:ascii="Arial" w:cs="Arial" w:eastAsia="Arial" w:hAnsi="Arial"/>
                <w:sz w:val="16"/>
                <w:szCs w:val="16"/>
                <w:color w:val="auto"/>
                <w:w w:val="89"/>
              </w:rPr>
              <w:t>99.2</w:t>
            </w:r>
          </w:p>
        </w:tc>
        <w:tc>
          <w:tcPr>
            <w:tcW w:w="1620" w:type="dxa"/>
            <w:vAlign w:val="bottom"/>
          </w:tcPr>
          <w:p>
            <w:pPr>
              <w:jc w:val="center"/>
              <w:ind w:left="19"/>
              <w:spacing w:after="0"/>
              <w:rPr>
                <w:sz w:val="20"/>
                <w:szCs w:val="20"/>
                <w:color w:val="auto"/>
              </w:rPr>
            </w:pPr>
            <w:r>
              <w:rPr>
                <w:rFonts w:ascii="Arial" w:cs="Arial" w:eastAsia="Arial" w:hAnsi="Arial"/>
                <w:sz w:val="16"/>
                <w:szCs w:val="16"/>
                <w:color w:val="auto"/>
                <w:w w:val="89"/>
              </w:rPr>
              <w:t>Pinnacle West</w:t>
            </w:r>
          </w:p>
        </w:tc>
        <w:tc>
          <w:tcPr>
            <w:tcW w:w="8400" w:type="dxa"/>
            <w:vAlign w:val="bottom"/>
          </w:tcPr>
          <w:p>
            <w:pPr>
              <w:ind w:left="300"/>
              <w:spacing w:after="0"/>
              <w:rPr>
                <w:sz w:val="20"/>
                <w:szCs w:val="20"/>
                <w:color w:val="auto"/>
              </w:rPr>
            </w:pPr>
            <w:r>
              <w:rPr>
                <w:rFonts w:ascii="Arial" w:cs="Arial" w:eastAsia="Arial" w:hAnsi="Arial"/>
                <w:sz w:val="16"/>
                <w:szCs w:val="16"/>
                <w:color w:val="auto"/>
                <w:w w:val="99"/>
              </w:rPr>
              <w:t>Pinnacle West Capital Corporation Second Quarter 2017 Results slide presentation accompanying August 3, 2017</w:t>
            </w:r>
          </w:p>
        </w:tc>
      </w:tr>
      <w:tr>
        <w:trPr>
          <w:trHeight w:val="206"/>
        </w:trPr>
        <w:tc>
          <w:tcPr>
            <w:tcW w:w="1440" w:type="dxa"/>
            <w:vAlign w:val="bottom"/>
          </w:tcPr>
          <w:p>
            <w:pPr>
              <w:spacing w:after="0"/>
              <w:rPr>
                <w:sz w:val="17"/>
                <w:szCs w:val="17"/>
                <w:color w:val="auto"/>
              </w:rPr>
            </w:pPr>
          </w:p>
        </w:tc>
        <w:tc>
          <w:tcPr>
            <w:tcW w:w="1620" w:type="dxa"/>
            <w:vAlign w:val="bottom"/>
          </w:tcPr>
          <w:p>
            <w:pPr>
              <w:jc w:val="center"/>
              <w:ind w:left="39"/>
              <w:spacing w:after="0"/>
              <w:rPr>
                <w:sz w:val="20"/>
                <w:szCs w:val="20"/>
                <w:color w:val="auto"/>
              </w:rPr>
            </w:pPr>
            <w:r>
              <w:rPr>
                <w:rFonts w:ascii="Arial" w:cs="Arial" w:eastAsia="Arial" w:hAnsi="Arial"/>
                <w:sz w:val="16"/>
                <w:szCs w:val="16"/>
                <w:color w:val="auto"/>
                <w:w w:val="93"/>
              </w:rPr>
              <w:t>APS</w:t>
            </w:r>
          </w:p>
        </w:tc>
        <w:tc>
          <w:tcPr>
            <w:tcW w:w="8400" w:type="dxa"/>
            <w:vAlign w:val="bottom"/>
          </w:tcPr>
          <w:p>
            <w:pPr>
              <w:ind w:left="300"/>
              <w:spacing w:after="0"/>
              <w:rPr>
                <w:sz w:val="20"/>
                <w:szCs w:val="20"/>
                <w:color w:val="auto"/>
              </w:rPr>
            </w:pPr>
            <w:r>
              <w:rPr>
                <w:rFonts w:ascii="Arial" w:cs="Arial" w:eastAsia="Arial" w:hAnsi="Arial"/>
                <w:sz w:val="16"/>
                <w:szCs w:val="16"/>
                <w:color w:val="auto"/>
              </w:rPr>
              <w:t>conference call.</w:t>
            </w:r>
          </w:p>
        </w:tc>
      </w:tr>
    </w:tbl>
    <w:p>
      <w:pPr>
        <w:sectPr>
          <w:pgSz w:w="11900" w:h="16838" w:orient="portrait"/>
          <w:cols w:equalWidth="0" w:num="1">
            <w:col w:w="11460"/>
          </w:cols>
          <w:pgMar w:left="220" w:top="703" w:right="21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347345</wp:posOffset>
            </wp:positionV>
            <wp:extent cx="4271010" cy="788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4271010" cy="788670"/>
                    </a:xfrm>
                    <a:prstGeom prst="rect">
                      <a:avLst/>
                    </a:prstGeom>
                    <a:noFill/>
                  </pic:spPr>
                </pic:pic>
              </a:graphicData>
            </a:graphic>
          </wp:anchor>
        </w:drawing>
      </w:r>
    </w:p>
    <w:p>
      <w:pPr>
        <w:spacing w:after="0" w:line="258" w:lineRule="exact"/>
        <w:rPr>
          <w:sz w:val="20"/>
          <w:szCs w:val="20"/>
          <w:color w:val="auto"/>
        </w:rPr>
      </w:pPr>
    </w:p>
    <w:p>
      <w:pPr>
        <w:ind w:left="40"/>
        <w:spacing w:after="0"/>
        <w:rPr>
          <w:sz w:val="20"/>
          <w:szCs w:val="20"/>
          <w:color w:val="auto"/>
        </w:rPr>
      </w:pPr>
      <w:r>
        <w:rPr>
          <w:rFonts w:ascii="Arial" w:cs="Arial" w:eastAsia="Arial" w:hAnsi="Arial"/>
          <w:sz w:val="16"/>
          <w:szCs w:val="16"/>
          <w:b w:val="1"/>
          <w:bCs w:val="1"/>
          <w:color w:val="auto"/>
        </w:rPr>
        <w:t>FOR IMMEDIATE RELEASE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16"/>
          <w:szCs w:val="16"/>
          <w:color w:val="auto"/>
        </w:rPr>
        <w:t>August 3, 2017</w:t>
      </w:r>
    </w:p>
    <w:p>
      <w:pPr>
        <w:spacing w:after="0" w:line="58" w:lineRule="exact"/>
        <w:rPr>
          <w:sz w:val="20"/>
          <w:szCs w:val="20"/>
          <w:color w:val="auto"/>
        </w:rPr>
      </w:pPr>
    </w:p>
    <w:p>
      <w:pPr>
        <w:sectPr>
          <w:pgSz w:w="11900" w:h="16838" w:orient="portrait"/>
          <w:cols w:equalWidth="0" w:num="2">
            <w:col w:w="9600" w:space="720"/>
            <w:col w:w="1120"/>
          </w:cols>
          <w:pgMar w:left="220" w:top="1440" w:right="239" w:bottom="1440" w:gutter="0" w:footer="0" w:header="0"/>
        </w:sectPr>
      </w:pPr>
    </w:p>
    <w:p>
      <w:pPr>
        <w:ind w:left="40"/>
        <w:spacing w:after="0"/>
        <w:rPr>
          <w:sz w:val="20"/>
          <w:szCs w:val="20"/>
          <w:color w:val="auto"/>
        </w:rPr>
      </w:pPr>
      <w:r>
        <w:rPr>
          <w:rFonts w:ascii="Arial" w:cs="Arial" w:eastAsia="Arial" w:hAnsi="Arial"/>
          <w:sz w:val="16"/>
          <w:szCs w:val="16"/>
          <w:color w:val="auto"/>
        </w:rPr>
        <w:t>Media Contact: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Alan Bunnell, (602) 250-3376</w:t>
      </w:r>
    </w:p>
    <w:p>
      <w:pPr>
        <w:spacing w:after="0" w:line="58" w:lineRule="exact"/>
        <w:rPr>
          <w:sz w:val="20"/>
          <w:szCs w:val="20"/>
          <w:color w:val="auto"/>
        </w:rPr>
      </w:pPr>
    </w:p>
    <w:p>
      <w:pPr>
        <w:sectPr>
          <w:pgSz w:w="11900" w:h="16838" w:orient="portrait"/>
          <w:cols w:equalWidth="0" w:num="2">
            <w:col w:w="1840" w:space="720"/>
            <w:col w:w="8880"/>
          </w:cols>
          <w:pgMar w:left="220" w:top="1440" w:right="239" w:bottom="1440" w:gutter="0" w:footer="0" w:header="0"/>
          <w:type w:val="continuous"/>
        </w:sectPr>
      </w:pPr>
    </w:p>
    <w:p>
      <w:pPr>
        <w:ind w:left="40"/>
        <w:spacing w:after="0"/>
        <w:rPr>
          <w:sz w:val="20"/>
          <w:szCs w:val="20"/>
          <w:color w:val="auto"/>
        </w:rPr>
      </w:pPr>
      <w:r>
        <w:rPr>
          <w:rFonts w:ascii="Arial" w:cs="Arial" w:eastAsia="Arial" w:hAnsi="Arial"/>
          <w:sz w:val="16"/>
          <w:szCs w:val="16"/>
          <w:color w:val="auto"/>
        </w:rPr>
        <w:t>Analyst Contacts:</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auto"/>
        </w:rPr>
        <w:t>Stefanie Layton (602) 250-4541</w:t>
      </w:r>
    </w:p>
    <w:p>
      <w:pPr>
        <w:spacing w:after="0" w:line="28" w:lineRule="exact"/>
        <w:rPr>
          <w:sz w:val="20"/>
          <w:szCs w:val="20"/>
          <w:color w:val="auto"/>
        </w:rPr>
      </w:pPr>
    </w:p>
    <w:p>
      <w:pPr>
        <w:spacing w:after="0"/>
        <w:rPr>
          <w:sz w:val="20"/>
          <w:szCs w:val="20"/>
          <w:color w:val="auto"/>
        </w:rPr>
      </w:pPr>
      <w:r>
        <w:rPr>
          <w:rFonts w:ascii="Arial" w:cs="Arial" w:eastAsia="Arial" w:hAnsi="Arial"/>
          <w:sz w:val="14"/>
          <w:szCs w:val="14"/>
          <w:color w:val="auto"/>
        </w:rPr>
        <w:t>Chalese Haraldsen (602) 250-5643</w:t>
      </w:r>
    </w:p>
    <w:p>
      <w:pPr>
        <w:spacing w:after="0" w:line="54" w:lineRule="exact"/>
        <w:rPr>
          <w:sz w:val="20"/>
          <w:szCs w:val="20"/>
          <w:color w:val="auto"/>
        </w:rPr>
      </w:pPr>
    </w:p>
    <w:p>
      <w:pPr>
        <w:sectPr>
          <w:pgSz w:w="11900" w:h="16838" w:orient="portrait"/>
          <w:cols w:equalWidth="0" w:num="2">
            <w:col w:w="1840" w:space="720"/>
            <w:col w:w="8880"/>
          </w:cols>
          <w:pgMar w:left="220" w:top="1440" w:right="239" w:bottom="1440" w:gutter="0" w:footer="0" w:header="0"/>
          <w:type w:val="continuous"/>
        </w:sectPr>
      </w:pPr>
    </w:p>
    <w:p>
      <w:pPr>
        <w:ind w:left="40"/>
        <w:spacing w:after="0"/>
        <w:rPr>
          <w:sz w:val="20"/>
          <w:szCs w:val="20"/>
          <w:color w:val="auto"/>
        </w:rPr>
      </w:pPr>
      <w:r>
        <w:rPr>
          <w:rFonts w:ascii="Arial" w:cs="Arial" w:eastAsia="Arial" w:hAnsi="Arial"/>
          <w:sz w:val="15"/>
          <w:szCs w:val="15"/>
          <w:color w:val="auto"/>
        </w:rPr>
        <w:t>Website: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5"/>
          <w:szCs w:val="15"/>
          <w:color w:val="2C2C2C"/>
        </w:rPr>
        <w:t>pinnaclewest.com</w:t>
      </w:r>
    </w:p>
    <w:p>
      <w:pPr>
        <w:spacing w:after="0" w:line="200" w:lineRule="exact"/>
        <w:rPr>
          <w:sz w:val="20"/>
          <w:szCs w:val="20"/>
          <w:color w:val="auto"/>
        </w:rPr>
      </w:pPr>
    </w:p>
    <w:p>
      <w:pPr>
        <w:sectPr>
          <w:pgSz w:w="11900" w:h="16838" w:orient="portrait"/>
          <w:cols w:equalWidth="0" w:num="2">
            <w:col w:w="1840" w:space="720"/>
            <w:col w:w="8880"/>
          </w:cols>
          <w:pgMar w:left="220" w:top="1440" w:right="239" w:bottom="1440" w:gutter="0" w:footer="0" w:header="0"/>
          <w:type w:val="continuous"/>
        </w:sectPr>
      </w:pPr>
    </w:p>
    <w:p>
      <w:pPr>
        <w:spacing w:after="0" w:line="28"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PINNACLE WEST REPORTS 2017 SECOND-QUARTER RESULTS</w:t>
      </w:r>
    </w:p>
    <w:p>
      <w:pPr>
        <w:sectPr>
          <w:pgSz w:w="11900" w:h="16838" w:orient="portrait"/>
          <w:cols w:equalWidth="0" w:num="1">
            <w:col w:w="11440"/>
          </w:cols>
          <w:pgMar w:left="220" w:top="1440" w:right="239" w:bottom="1440" w:gutter="0" w:footer="0" w:header="0"/>
          <w:type w:val="continuous"/>
        </w:sectPr>
      </w:pPr>
    </w:p>
    <w:p>
      <w:pPr>
        <w:spacing w:after="0" w:line="207" w:lineRule="exact"/>
        <w:rPr>
          <w:sz w:val="20"/>
          <w:szCs w:val="20"/>
          <w:color w:val="auto"/>
        </w:rPr>
      </w:pPr>
    </w:p>
    <w:p>
      <w:pPr>
        <w:ind w:left="1200" w:hanging="269"/>
        <w:spacing w:after="0"/>
        <w:tabs>
          <w:tab w:leader="none" w:pos="1200" w:val="left"/>
        </w:tabs>
        <w:numPr>
          <w:ilvl w:val="0"/>
          <w:numId w:val="2"/>
        </w:numPr>
        <w:rPr>
          <w:rFonts w:ascii="Arial" w:cs="Arial" w:eastAsia="Arial" w:hAnsi="Arial"/>
          <w:sz w:val="15"/>
          <w:szCs w:val="15"/>
          <w:color w:val="auto"/>
        </w:rPr>
      </w:pPr>
      <w:r>
        <w:rPr>
          <w:rFonts w:ascii="Arial" w:cs="Arial" w:eastAsia="Arial" w:hAnsi="Arial"/>
          <w:sz w:val="18"/>
          <w:szCs w:val="18"/>
          <w:i w:val="1"/>
          <w:iCs w:val="1"/>
          <w:color w:val="auto"/>
        </w:rPr>
        <w:t>Higher electricity usage and hotter-than-normal weather positively impact quarterly results</w:t>
      </w:r>
    </w:p>
    <w:p>
      <w:pPr>
        <w:spacing w:after="0" w:line="210" w:lineRule="exact"/>
        <w:rPr>
          <w:rFonts w:ascii="Arial" w:cs="Arial" w:eastAsia="Arial" w:hAnsi="Arial"/>
          <w:sz w:val="15"/>
          <w:szCs w:val="15"/>
          <w:color w:val="auto"/>
        </w:rPr>
      </w:pPr>
    </w:p>
    <w:p>
      <w:pPr>
        <w:ind w:left="1200" w:hanging="269"/>
        <w:spacing w:after="0"/>
        <w:tabs>
          <w:tab w:leader="none" w:pos="1200" w:val="left"/>
        </w:tabs>
        <w:numPr>
          <w:ilvl w:val="0"/>
          <w:numId w:val="2"/>
        </w:numPr>
        <w:rPr>
          <w:rFonts w:ascii="Arial" w:cs="Arial" w:eastAsia="Arial" w:hAnsi="Arial"/>
          <w:sz w:val="15"/>
          <w:szCs w:val="15"/>
          <w:color w:val="auto"/>
        </w:rPr>
      </w:pPr>
      <w:r>
        <w:rPr>
          <w:rFonts w:ascii="Arial" w:cs="Arial" w:eastAsia="Arial" w:hAnsi="Arial"/>
          <w:sz w:val="18"/>
          <w:szCs w:val="18"/>
          <w:i w:val="1"/>
          <w:iCs w:val="1"/>
          <w:color w:val="auto"/>
        </w:rPr>
        <w:t>Operations and maintenance expenses lower versus a year ago due to fewer planned fossil plant outages</w:t>
      </w:r>
    </w:p>
    <w:p>
      <w:pPr>
        <w:spacing w:after="0" w:line="169" w:lineRule="exact"/>
        <w:rPr>
          <w:sz w:val="20"/>
          <w:szCs w:val="20"/>
          <w:color w:val="auto"/>
        </w:rPr>
      </w:pPr>
    </w:p>
    <w:p>
      <w:pPr>
        <w:ind w:right="260"/>
        <w:spacing w:after="0" w:line="305" w:lineRule="auto"/>
        <w:rPr>
          <w:sz w:val="20"/>
          <w:szCs w:val="20"/>
          <w:color w:val="auto"/>
        </w:rPr>
      </w:pPr>
      <w:r>
        <w:rPr>
          <w:rFonts w:ascii="Arial" w:cs="Arial" w:eastAsia="Arial" w:hAnsi="Arial"/>
          <w:sz w:val="15"/>
          <w:szCs w:val="15"/>
          <w:color w:val="auto"/>
        </w:rPr>
        <w:t>PHOENIX - Pinnacle West Capital Corp. (NYSE: PNW) today reported consolidated net income attributable to common shareholders of $167.4 million, or $1.49 per diluted share of common stock, for the quarter ended June 30, 2017. This result compares with earnings of $121.3 million, or $1.08 per share, in the same 2016 period.</w:t>
      </w:r>
    </w:p>
    <w:p>
      <w:pPr>
        <w:spacing w:after="0" w:line="111" w:lineRule="exact"/>
        <w:rPr>
          <w:sz w:val="20"/>
          <w:szCs w:val="20"/>
          <w:color w:val="auto"/>
        </w:rPr>
      </w:pPr>
    </w:p>
    <w:p>
      <w:pPr>
        <w:ind w:right="80"/>
        <w:spacing w:after="0" w:line="249" w:lineRule="auto"/>
        <w:rPr>
          <w:sz w:val="20"/>
          <w:szCs w:val="20"/>
          <w:color w:val="auto"/>
        </w:rPr>
      </w:pPr>
      <w:r>
        <w:rPr>
          <w:rFonts w:ascii="Arial" w:cs="Arial" w:eastAsia="Arial" w:hAnsi="Arial"/>
          <w:sz w:val="16"/>
          <w:szCs w:val="16"/>
          <w:color w:val="auto"/>
        </w:rPr>
        <w:t>“Higher electricity usage as a result of hotter weather and continuing solid operational performance helped improve our quarterly earnings compared to the same period a year ago,” said Pinnacle West Chairman, President and Chief Executive Officer Don Brandt, adding that the Phoenix metropolitan area experienced 26 days of 100 degrees or higher temperatures -</w:t>
      </w:r>
    </w:p>
    <w:p>
      <w:pPr>
        <w:spacing w:after="0" w:line="2" w:lineRule="exact"/>
        <w:rPr>
          <w:sz w:val="20"/>
          <w:szCs w:val="20"/>
          <w:color w:val="auto"/>
        </w:rPr>
      </w:pPr>
    </w:p>
    <w:p>
      <w:pPr>
        <w:spacing w:after="0"/>
        <w:rPr>
          <w:sz w:val="20"/>
          <w:szCs w:val="20"/>
          <w:color w:val="auto"/>
        </w:rPr>
      </w:pPr>
      <w:r>
        <w:rPr>
          <w:rFonts w:ascii="Arial" w:cs="Arial" w:eastAsia="Arial" w:hAnsi="Arial"/>
          <w:sz w:val="16"/>
          <w:szCs w:val="16"/>
          <w:color w:val="auto"/>
        </w:rPr>
        <w:t>and 11 days above 110 degrees - during the month of June alone.</w:t>
      </w:r>
    </w:p>
    <w:p>
      <w:pPr>
        <w:spacing w:after="0" w:line="165" w:lineRule="exact"/>
        <w:rPr>
          <w:sz w:val="20"/>
          <w:szCs w:val="20"/>
          <w:color w:val="auto"/>
        </w:rPr>
      </w:pPr>
    </w:p>
    <w:p>
      <w:pPr>
        <w:spacing w:after="0"/>
        <w:rPr>
          <w:sz w:val="20"/>
          <w:szCs w:val="20"/>
          <w:color w:val="auto"/>
        </w:rPr>
      </w:pPr>
      <w:r>
        <w:rPr>
          <w:rFonts w:ascii="Arial" w:cs="Arial" w:eastAsia="Arial" w:hAnsi="Arial"/>
          <w:sz w:val="15"/>
          <w:szCs w:val="15"/>
          <w:color w:val="auto"/>
        </w:rPr>
        <w:t>Arizona Public Service Co.’s customers also set an all-time record peak demand of 7,367 megawatts on June 20, eclipsing the previous record of 7,236 MW set in 2006.</w:t>
      </w:r>
    </w:p>
    <w:p>
      <w:pPr>
        <w:spacing w:after="0" w:line="190" w:lineRule="exact"/>
        <w:rPr>
          <w:sz w:val="20"/>
          <w:szCs w:val="20"/>
          <w:color w:val="auto"/>
        </w:rPr>
      </w:pPr>
    </w:p>
    <w:p>
      <w:pPr>
        <w:jc w:val="both"/>
        <w:ind w:right="80"/>
        <w:spacing w:after="0" w:line="257" w:lineRule="auto"/>
        <w:rPr>
          <w:sz w:val="20"/>
          <w:szCs w:val="20"/>
          <w:color w:val="auto"/>
        </w:rPr>
      </w:pPr>
      <w:r>
        <w:rPr>
          <w:rFonts w:ascii="Arial" w:cs="Arial" w:eastAsia="Arial" w:hAnsi="Arial"/>
          <w:sz w:val="16"/>
          <w:szCs w:val="16"/>
          <w:color w:val="auto"/>
        </w:rPr>
        <w:t>Earlier this year, the U.S. Census Bureau announced that Phoenix had surpassed Philadelphia as America’s fifth-largest city and that Maricopa County was the nation’s fastest-growing county. Arizona’s housing construction is also on pace for its best year in a decade. Nonetheless, the company still projects 2017 full-year sales growth to be between 0 and 1 percent.</w:t>
      </w:r>
    </w:p>
    <w:p>
      <w:pPr>
        <w:spacing w:after="0" w:line="145" w:lineRule="exact"/>
        <w:rPr>
          <w:sz w:val="20"/>
          <w:szCs w:val="20"/>
          <w:color w:val="auto"/>
        </w:rPr>
      </w:pPr>
    </w:p>
    <w:p>
      <w:pPr>
        <w:ind w:right="720"/>
        <w:spacing w:after="0" w:line="271" w:lineRule="auto"/>
        <w:rPr>
          <w:sz w:val="20"/>
          <w:szCs w:val="20"/>
          <w:color w:val="auto"/>
        </w:rPr>
      </w:pPr>
      <w:r>
        <w:rPr>
          <w:rFonts w:ascii="Arial" w:cs="Arial" w:eastAsia="Arial" w:hAnsi="Arial"/>
          <w:sz w:val="16"/>
          <w:szCs w:val="16"/>
          <w:color w:val="auto"/>
        </w:rPr>
        <w:t>“Building permits are up, vacancy rates are down, and companies and workers are relocating to Arizona,” Brandt said. “We are supporting that growth with continued investments in a reliable, cleaner and smarter energy infrastructure.”</w:t>
      </w:r>
    </w:p>
    <w:p>
      <w:pPr>
        <w:spacing w:after="0" w:line="134" w:lineRule="exact"/>
        <w:rPr>
          <w:sz w:val="20"/>
          <w:szCs w:val="20"/>
          <w:color w:val="auto"/>
        </w:rPr>
      </w:pPr>
    </w:p>
    <w:p>
      <w:pPr>
        <w:spacing w:after="0"/>
        <w:rPr>
          <w:sz w:val="20"/>
          <w:szCs w:val="20"/>
          <w:color w:val="auto"/>
        </w:rPr>
      </w:pPr>
      <w:r>
        <w:rPr>
          <w:rFonts w:ascii="Arial" w:cs="Arial" w:eastAsia="Arial" w:hAnsi="Arial"/>
          <w:sz w:val="16"/>
          <w:szCs w:val="16"/>
          <w:color w:val="auto"/>
        </w:rPr>
        <w:t>The 2017 second-quarter results comparison was positively influenced by the following major factors:</w:t>
      </w:r>
    </w:p>
    <w:p>
      <w:pPr>
        <w:spacing w:after="0" w:line="179" w:lineRule="exact"/>
        <w:rPr>
          <w:sz w:val="20"/>
          <w:szCs w:val="20"/>
          <w:color w:val="auto"/>
        </w:rPr>
      </w:pPr>
    </w:p>
    <w:p>
      <w:pPr>
        <w:ind w:left="540" w:hanging="268"/>
        <w:spacing w:after="0" w:line="257" w:lineRule="auto"/>
        <w:tabs>
          <w:tab w:leader="none" w:pos="540" w:val="left"/>
        </w:tabs>
        <w:numPr>
          <w:ilvl w:val="0"/>
          <w:numId w:val="3"/>
        </w:numPr>
        <w:rPr>
          <w:rFonts w:ascii="Arial" w:cs="Arial" w:eastAsia="Arial" w:hAnsi="Arial"/>
          <w:sz w:val="15"/>
          <w:szCs w:val="15"/>
          <w:color w:val="auto"/>
        </w:rPr>
      </w:pPr>
      <w:r>
        <w:rPr>
          <w:rFonts w:ascii="Arial" w:cs="Arial" w:eastAsia="Arial" w:hAnsi="Arial"/>
          <w:sz w:val="16"/>
          <w:szCs w:val="16"/>
          <w:i w:val="1"/>
          <w:iCs w:val="1"/>
          <w:color w:val="auto"/>
        </w:rPr>
        <w:t xml:space="preserve">Lower operations and maintenance expenses </w:t>
      </w:r>
      <w:r>
        <w:rPr>
          <w:rFonts w:ascii="Arial" w:cs="Arial" w:eastAsia="Arial" w:hAnsi="Arial"/>
          <w:sz w:val="16"/>
          <w:szCs w:val="16"/>
          <w:color w:val="auto"/>
        </w:rPr>
        <w:t>increased results by $0.14 per share compared with the prior-year period. The lower expenses were largely the result of less</w:t>
      </w:r>
      <w:r>
        <w:rPr>
          <w:rFonts w:ascii="Arial" w:cs="Arial" w:eastAsia="Arial" w:hAnsi="Arial"/>
          <w:sz w:val="16"/>
          <w:szCs w:val="16"/>
          <w:i w:val="1"/>
          <w:iCs w:val="1"/>
          <w:color w:val="auto"/>
        </w:rPr>
        <w:t xml:space="preserve"> </w:t>
      </w:r>
      <w:r>
        <w:rPr>
          <w:rFonts w:ascii="Arial" w:cs="Arial" w:eastAsia="Arial" w:hAnsi="Arial"/>
          <w:sz w:val="16"/>
          <w:szCs w:val="16"/>
          <w:color w:val="auto"/>
        </w:rPr>
        <w:t>planned fossil maintenance in the 2017 second quarter compared to a year ago. As previously indicated, the company anticipates further planned outages at the Four Corners Power Plant later this year to install added emission controls.</w:t>
      </w:r>
    </w:p>
    <w:p>
      <w:pPr>
        <w:sectPr>
          <w:pgSz w:w="11900" w:h="16838" w:orient="portrait"/>
          <w:cols w:equalWidth="0" w:num="1">
            <w:col w:w="11440"/>
          </w:cols>
          <w:pgMar w:left="220" w:top="1440" w:right="239" w:bottom="1440" w:gutter="0" w:footer="0" w:header="0"/>
          <w:type w:val="continuous"/>
        </w:sectPr>
      </w:pPr>
    </w:p>
    <w:bookmarkStart w:id="7" w:name="page8"/>
    <w:bookmarkEnd w:id="7"/>
    <w:p>
      <w:pPr>
        <w:ind w:left="540" w:right="80" w:hanging="268"/>
        <w:spacing w:after="0" w:line="257" w:lineRule="auto"/>
        <w:tabs>
          <w:tab w:leader="none" w:pos="540" w:val="left"/>
        </w:tabs>
        <w:numPr>
          <w:ilvl w:val="0"/>
          <w:numId w:val="4"/>
        </w:numPr>
        <w:rPr>
          <w:rFonts w:ascii="Arial" w:cs="Arial" w:eastAsia="Arial" w:hAnsi="Arial"/>
          <w:sz w:val="15"/>
          <w:szCs w:val="15"/>
          <w:color w:val="auto"/>
        </w:rPr>
      </w:pPr>
      <w:r>
        <w:rPr>
          <w:rFonts w:ascii="Arial" w:cs="Arial" w:eastAsia="Arial" w:hAnsi="Arial"/>
          <w:sz w:val="16"/>
          <w:szCs w:val="16"/>
          <w:i w:val="1"/>
          <w:iCs w:val="1"/>
          <w:color w:val="auto"/>
        </w:rPr>
        <w:t xml:space="preserve">Higher retail electricity usage </w:t>
      </w:r>
      <w:r>
        <w:rPr>
          <w:rFonts w:ascii="Arial" w:cs="Arial" w:eastAsia="Arial" w:hAnsi="Arial"/>
          <w:sz w:val="16"/>
          <w:szCs w:val="16"/>
          <w:color w:val="auto"/>
        </w:rPr>
        <w:t>- excluding the effects of weather variations, but including the effects of customer conservation, energy efficiency programs and</w:t>
      </w:r>
      <w:r>
        <w:rPr>
          <w:rFonts w:ascii="Arial" w:cs="Arial" w:eastAsia="Arial" w:hAnsi="Arial"/>
          <w:sz w:val="16"/>
          <w:szCs w:val="16"/>
          <w:i w:val="1"/>
          <w:iCs w:val="1"/>
          <w:color w:val="auto"/>
        </w:rPr>
        <w:t xml:space="preserve"> </w:t>
      </w:r>
      <w:r>
        <w:rPr>
          <w:rFonts w:ascii="Arial" w:cs="Arial" w:eastAsia="Arial" w:hAnsi="Arial"/>
          <w:sz w:val="16"/>
          <w:szCs w:val="16"/>
          <w:color w:val="auto"/>
        </w:rPr>
        <w:t>distributed renewable generation - improved results $0.10 per share. Weather normalized sales were 2.9 percent higher in the second quarter compared to 2016’s second quarter, while year-to-date sales were 0.1 percent higher than the first six months in 2016.</w:t>
      </w:r>
    </w:p>
    <w:p>
      <w:pPr>
        <w:spacing w:after="0" w:line="156" w:lineRule="exact"/>
        <w:rPr>
          <w:rFonts w:ascii="Arial" w:cs="Arial" w:eastAsia="Arial" w:hAnsi="Arial"/>
          <w:sz w:val="15"/>
          <w:szCs w:val="15"/>
          <w:color w:val="auto"/>
        </w:rPr>
      </w:pPr>
    </w:p>
    <w:p>
      <w:pPr>
        <w:ind w:left="540" w:right="20" w:hanging="268"/>
        <w:spacing w:after="0" w:line="271" w:lineRule="auto"/>
        <w:tabs>
          <w:tab w:leader="none" w:pos="540" w:val="left"/>
        </w:tabs>
        <w:numPr>
          <w:ilvl w:val="0"/>
          <w:numId w:val="4"/>
        </w:numPr>
        <w:rPr>
          <w:rFonts w:ascii="Arial" w:cs="Arial" w:eastAsia="Arial" w:hAnsi="Arial"/>
          <w:sz w:val="15"/>
          <w:szCs w:val="15"/>
          <w:color w:val="auto"/>
        </w:rPr>
      </w:pPr>
      <w:r>
        <w:rPr>
          <w:rFonts w:ascii="Arial" w:cs="Arial" w:eastAsia="Arial" w:hAnsi="Arial"/>
          <w:sz w:val="16"/>
          <w:szCs w:val="16"/>
          <w:i w:val="1"/>
          <w:iCs w:val="1"/>
          <w:color w:val="auto"/>
        </w:rPr>
        <w:t xml:space="preserve">The absence of a 2016 FERC disallowance recorded in last year’s second quarter and higher transmission revenues in the 2017 second quarter </w:t>
      </w:r>
      <w:r>
        <w:rPr>
          <w:rFonts w:ascii="Arial" w:cs="Arial" w:eastAsia="Arial" w:hAnsi="Arial"/>
          <w:sz w:val="16"/>
          <w:szCs w:val="16"/>
          <w:color w:val="auto"/>
        </w:rPr>
        <w:t>helped increase earnings</w:t>
      </w:r>
      <w:r>
        <w:rPr>
          <w:rFonts w:ascii="Arial" w:cs="Arial" w:eastAsia="Arial" w:hAnsi="Arial"/>
          <w:sz w:val="16"/>
          <w:szCs w:val="16"/>
          <w:i w:val="1"/>
          <w:iCs w:val="1"/>
          <w:color w:val="auto"/>
        </w:rPr>
        <w:t xml:space="preserve"> </w:t>
      </w:r>
      <w:r>
        <w:rPr>
          <w:rFonts w:ascii="Arial" w:cs="Arial" w:eastAsia="Arial" w:hAnsi="Arial"/>
          <w:sz w:val="16"/>
          <w:szCs w:val="16"/>
          <w:color w:val="auto"/>
        </w:rPr>
        <w:t>by $0.12 per share compared to the year-ago period.</w:t>
      </w:r>
    </w:p>
    <w:p>
      <w:pPr>
        <w:spacing w:after="0" w:line="145" w:lineRule="exact"/>
        <w:rPr>
          <w:rFonts w:ascii="Arial" w:cs="Arial" w:eastAsia="Arial" w:hAnsi="Arial"/>
          <w:sz w:val="15"/>
          <w:szCs w:val="15"/>
          <w:color w:val="auto"/>
        </w:rPr>
      </w:pPr>
    </w:p>
    <w:p>
      <w:pPr>
        <w:ind w:left="540" w:right="140" w:hanging="268"/>
        <w:spacing w:after="0" w:line="311" w:lineRule="auto"/>
        <w:tabs>
          <w:tab w:leader="none" w:pos="540" w:val="left"/>
        </w:tabs>
        <w:numPr>
          <w:ilvl w:val="0"/>
          <w:numId w:val="4"/>
        </w:numPr>
        <w:rPr>
          <w:rFonts w:ascii="Arial" w:cs="Arial" w:eastAsia="Arial" w:hAnsi="Arial"/>
          <w:sz w:val="13"/>
          <w:szCs w:val="13"/>
          <w:color w:val="auto"/>
        </w:rPr>
      </w:pPr>
      <w:r>
        <w:rPr>
          <w:rFonts w:ascii="Arial" w:cs="Arial" w:eastAsia="Arial" w:hAnsi="Arial"/>
          <w:sz w:val="14"/>
          <w:szCs w:val="14"/>
          <w:i w:val="1"/>
          <w:iCs w:val="1"/>
          <w:color w:val="auto"/>
        </w:rPr>
        <w:t xml:space="preserve">The effects of weather variations </w:t>
      </w:r>
      <w:r>
        <w:rPr>
          <w:rFonts w:ascii="Arial" w:cs="Arial" w:eastAsia="Arial" w:hAnsi="Arial"/>
          <w:sz w:val="14"/>
          <w:szCs w:val="14"/>
          <w:color w:val="auto"/>
        </w:rPr>
        <w:t>improved results by $0.02 per share compared to the year-ago period. The average high temperature in the second quarter was 97.0</w:t>
      </w:r>
      <w:r>
        <w:rPr>
          <w:rFonts w:ascii="Arial" w:cs="Arial" w:eastAsia="Arial" w:hAnsi="Arial"/>
          <w:sz w:val="14"/>
          <w:szCs w:val="14"/>
          <w:i w:val="1"/>
          <w:iCs w:val="1"/>
          <w:color w:val="auto"/>
        </w:rPr>
        <w:t xml:space="preserve"> </w:t>
      </w:r>
      <w:r>
        <w:rPr>
          <w:rFonts w:ascii="Arial" w:cs="Arial" w:eastAsia="Arial" w:hAnsi="Arial"/>
          <w:sz w:val="14"/>
          <w:szCs w:val="14"/>
          <w:color w:val="auto"/>
        </w:rPr>
        <w:t>degrees - 2.6 percent higher than last year’s quarter and 1.7 percent higher than normal based on a rolling 10-year average. The resulting impact was that residential cooling degree-days (a measure of the effects of weather) were 14 percent greater than in last year’s second quarter and 13 percent more than normal 10-year averages.</w:t>
      </w:r>
    </w:p>
    <w:p>
      <w:pPr>
        <w:spacing w:after="0" w:line="121" w:lineRule="exact"/>
        <w:rPr>
          <w:rFonts w:ascii="Arial" w:cs="Arial" w:eastAsia="Arial" w:hAnsi="Arial"/>
          <w:sz w:val="13"/>
          <w:szCs w:val="13"/>
          <w:color w:val="auto"/>
        </w:rPr>
      </w:pPr>
    </w:p>
    <w:p>
      <w:pPr>
        <w:ind w:left="540" w:hanging="268"/>
        <w:spacing w:after="0"/>
        <w:tabs>
          <w:tab w:leader="none" w:pos="540" w:val="left"/>
        </w:tabs>
        <w:numPr>
          <w:ilvl w:val="0"/>
          <w:numId w:val="4"/>
        </w:numPr>
        <w:rPr>
          <w:rFonts w:ascii="Arial" w:cs="Arial" w:eastAsia="Arial" w:hAnsi="Arial"/>
          <w:sz w:val="15"/>
          <w:szCs w:val="15"/>
          <w:color w:val="auto"/>
        </w:rPr>
      </w:pPr>
      <w:r>
        <w:rPr>
          <w:rFonts w:ascii="Arial" w:cs="Arial" w:eastAsia="Arial" w:hAnsi="Arial"/>
          <w:sz w:val="16"/>
          <w:szCs w:val="16"/>
          <w:i w:val="1"/>
          <w:iCs w:val="1"/>
          <w:color w:val="auto"/>
        </w:rPr>
        <w:t xml:space="preserve">The net effect of miscellaneous items </w:t>
      </w:r>
      <w:r>
        <w:rPr>
          <w:rFonts w:ascii="Arial" w:cs="Arial" w:eastAsia="Arial" w:hAnsi="Arial"/>
          <w:sz w:val="16"/>
          <w:szCs w:val="16"/>
          <w:color w:val="auto"/>
        </w:rPr>
        <w:t>increased earnings $0.03 per share.</w:t>
      </w:r>
    </w:p>
    <w:p>
      <w:pPr>
        <w:spacing w:after="0" w:line="175"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Financial Outlook</w:t>
      </w:r>
    </w:p>
    <w:p>
      <w:pPr>
        <w:spacing w:after="0" w:line="21" w:lineRule="exact"/>
        <w:rPr>
          <w:sz w:val="20"/>
          <w:szCs w:val="20"/>
          <w:color w:val="auto"/>
        </w:rPr>
      </w:pPr>
    </w:p>
    <w:p>
      <w:pPr>
        <w:spacing w:after="0" w:line="253" w:lineRule="auto"/>
        <w:rPr>
          <w:sz w:val="20"/>
          <w:szCs w:val="20"/>
          <w:color w:val="auto"/>
        </w:rPr>
      </w:pPr>
      <w:r>
        <w:rPr>
          <w:rFonts w:ascii="Arial" w:cs="Arial" w:eastAsia="Arial" w:hAnsi="Arial"/>
          <w:sz w:val="16"/>
          <w:szCs w:val="16"/>
          <w:color w:val="auto"/>
        </w:rPr>
        <w:t>The company plans to issue 2017 guidance after a final decision by the Arizona Corporation Commission in Arizona Public Service Co.’s pending rate review, which is expected later this summer.</w:t>
      </w:r>
    </w:p>
    <w:p>
      <w:pPr>
        <w:spacing w:after="0" w:line="144"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Conference Call and Webcast</w:t>
      </w:r>
    </w:p>
    <w:p>
      <w:pPr>
        <w:spacing w:after="0" w:line="21" w:lineRule="exact"/>
        <w:rPr>
          <w:sz w:val="20"/>
          <w:szCs w:val="20"/>
          <w:color w:val="auto"/>
        </w:rPr>
      </w:pPr>
    </w:p>
    <w:p>
      <w:pPr>
        <w:ind w:right="60"/>
        <w:spacing w:after="0" w:line="293" w:lineRule="auto"/>
        <w:rPr>
          <w:sz w:val="20"/>
          <w:szCs w:val="20"/>
          <w:color w:val="auto"/>
        </w:rPr>
      </w:pPr>
      <w:r>
        <w:rPr>
          <w:rFonts w:ascii="Arial" w:cs="Arial" w:eastAsia="Arial" w:hAnsi="Arial"/>
          <w:sz w:val="14"/>
          <w:szCs w:val="14"/>
          <w:color w:val="auto"/>
        </w:rPr>
        <w:t>Pinnacle West invites interested parties to listen to the live webcast of management’s conference call to discuss the Company’s 2017 second-quarter results, as well as recent developments, at noon ET (9 a.m. AZ time) today, Aug. 3. The webcast can be accessed at pinnaclewest.com/presentations and will be available for replay on the website for 30 days. To access the live conference call by telephone, dial (877) 407-8035 or (201) 689-8035 for international callers. A replay of the call also will be available until 11:59 p.m. (ET), Thursday, Aug. 10, 2017, by calling (877) 481-4010 in the U.S. and Canada or (919) 882-2331 internationally and entering conference ID number 15960.</w:t>
      </w:r>
    </w:p>
    <w:p>
      <w:pPr>
        <w:spacing w:after="0" w:line="119"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General Information</w:t>
      </w:r>
    </w:p>
    <w:p>
      <w:pPr>
        <w:spacing w:after="0" w:line="21" w:lineRule="exact"/>
        <w:rPr>
          <w:sz w:val="20"/>
          <w:szCs w:val="20"/>
          <w:color w:val="auto"/>
        </w:rPr>
      </w:pPr>
    </w:p>
    <w:p>
      <w:pPr>
        <w:jc w:val="both"/>
        <w:ind w:right="320"/>
        <w:spacing w:after="0" w:line="273" w:lineRule="auto"/>
        <w:rPr>
          <w:sz w:val="20"/>
          <w:szCs w:val="20"/>
          <w:color w:val="auto"/>
        </w:rPr>
      </w:pPr>
      <w:r>
        <w:rPr>
          <w:rFonts w:ascii="Arial" w:cs="Arial" w:eastAsia="Arial" w:hAnsi="Arial"/>
          <w:sz w:val="15"/>
          <w:szCs w:val="15"/>
          <w:color w:val="auto"/>
        </w:rPr>
        <w:t>Pinnacle West Capital Corp., an energy holding company based in Phoenix, has consolidated assets of nearly $17 billion, about 6,200 megawatts of generating capacity and 6,300 employees in Arizona and New Mexico. Through its principal subsidiary, Arizona Public Service, the Company provides retail electricity service to nearly 1.2 million Arizona homes and businesses. For more information about Pinnacle West, visit the Company’s website at pinnaclewest.com.</w:t>
      </w:r>
    </w:p>
    <w:p>
      <w:pPr>
        <w:spacing w:after="0" w:line="145" w:lineRule="exact"/>
        <w:rPr>
          <w:sz w:val="20"/>
          <w:szCs w:val="20"/>
          <w:color w:val="auto"/>
        </w:rPr>
      </w:pPr>
    </w:p>
    <w:p>
      <w:pPr>
        <w:ind w:right="420"/>
        <w:spacing w:after="0" w:line="271" w:lineRule="auto"/>
        <w:rPr>
          <w:sz w:val="20"/>
          <w:szCs w:val="20"/>
          <w:color w:val="auto"/>
        </w:rPr>
      </w:pPr>
      <w:r>
        <w:rPr>
          <w:rFonts w:ascii="Arial" w:cs="Arial" w:eastAsia="Arial" w:hAnsi="Arial"/>
          <w:sz w:val="16"/>
          <w:szCs w:val="16"/>
          <w:color w:val="auto"/>
        </w:rPr>
        <w:t>Dollar amounts in this news release are after income taxes. Earnings per share amounts are based on average diluted common shares outstanding. For more information on Pinnacle West’s operating statistics and earnings, please visit pinnaclewest.com/investors.</w:t>
      </w:r>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FORWARD-LOOKING STATEMENTS</w:t>
      </w:r>
    </w:p>
    <w:p>
      <w:pPr>
        <w:spacing w:after="0" w:line="183" w:lineRule="exact"/>
        <w:rPr>
          <w:sz w:val="20"/>
          <w:szCs w:val="20"/>
          <w:color w:val="auto"/>
        </w:rPr>
      </w:pPr>
    </w:p>
    <w:p>
      <w:pPr>
        <w:ind w:right="60"/>
        <w:spacing w:after="0" w:line="253" w:lineRule="auto"/>
        <w:rPr>
          <w:sz w:val="20"/>
          <w:szCs w:val="20"/>
          <w:color w:val="auto"/>
        </w:rPr>
      </w:pPr>
      <w:r>
        <w:rPr>
          <w:rFonts w:ascii="Arial" w:cs="Arial" w:eastAsia="Arial" w:hAnsi="Arial"/>
          <w:sz w:val="16"/>
          <w:szCs w:val="16"/>
          <w:color w:val="auto"/>
        </w:rPr>
        <w:t>This press release contains forward-looking statements based on our current expectations, including statements regarding our earnings guidance and financial outlook and goals. These forward-looking statements are often identified by words such as “estimate,” “predict,” “may,” “believe,” “plan,” “expect,” “require,” “intend,” “assume,” “project” and similar words. Because actual results may differ materially from expectations, we caution readers not to place undue reliance on these statements. A number of factors could cause future results to differ materially</w:t>
      </w:r>
    </w:p>
    <w:p>
      <w:pPr>
        <w:sectPr>
          <w:pgSz w:w="11900" w:h="16838" w:orient="portrait"/>
          <w:cols w:equalWidth="0" w:num="1">
            <w:col w:w="11440"/>
          </w:cols>
          <w:pgMar w:left="220" w:top="531" w:right="239" w:bottom="1440" w:gutter="0" w:footer="0" w:header="0"/>
        </w:sectPr>
      </w:pPr>
    </w:p>
    <w:bookmarkStart w:id="8" w:name="page9"/>
    <w:bookmarkEnd w:id="8"/>
    <w:p>
      <w:pPr>
        <w:spacing w:after="0"/>
        <w:rPr>
          <w:sz w:val="20"/>
          <w:szCs w:val="20"/>
          <w:color w:val="auto"/>
        </w:rPr>
      </w:pPr>
      <w:r>
        <w:rPr>
          <w:rFonts w:ascii="Arial" w:cs="Arial" w:eastAsia="Arial" w:hAnsi="Arial"/>
          <w:sz w:val="16"/>
          <w:szCs w:val="16"/>
          <w:color w:val="auto"/>
        </w:rPr>
        <w:t>from historical results, or from outcomes currently expected or sought by Pinnacle West or APS. These factors include, but are not limited to:</w:t>
      </w:r>
    </w:p>
    <w:p>
      <w:pPr>
        <w:spacing w:after="0" w:line="179" w:lineRule="exact"/>
        <w:rPr>
          <w:sz w:val="20"/>
          <w:szCs w:val="20"/>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our ability to manage capital expenditures and operations and maintenance costs while maintaining high reliability and customer service levels;</w:t>
      </w:r>
    </w:p>
    <w:p>
      <w:pPr>
        <w:spacing w:after="0" w:line="16" w:lineRule="exact"/>
        <w:rPr>
          <w:rFonts w:ascii="Arial" w:cs="Arial" w:eastAsia="Arial" w:hAnsi="Arial"/>
          <w:sz w:val="15"/>
          <w:szCs w:val="15"/>
          <w:color w:val="auto"/>
        </w:rPr>
      </w:pPr>
    </w:p>
    <w:p>
      <w:pPr>
        <w:ind w:left="540" w:right="120" w:hanging="268"/>
        <w:spacing w:after="0" w:line="243" w:lineRule="auto"/>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variations in demand for electricity, including those due to weather, seasonality, the general economy, customer and sales growth (or decline), and the effects of energy conservation measures and distributed generation;</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power plant and transmission system performance and outages;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competition in retail and wholesale power markets;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regulatory and judicial decisions, developments and proceedings;</w:t>
      </w:r>
    </w:p>
    <w:p>
      <w:pPr>
        <w:spacing w:after="0" w:line="2" w:lineRule="exact"/>
        <w:rPr>
          <w:rFonts w:ascii="Arial" w:cs="Arial" w:eastAsia="Arial" w:hAnsi="Arial"/>
          <w:sz w:val="15"/>
          <w:szCs w:val="15"/>
          <w:color w:val="auto"/>
        </w:rPr>
      </w:pPr>
    </w:p>
    <w:p>
      <w:pPr>
        <w:ind w:left="540" w:right="500" w:hanging="268"/>
        <w:spacing w:after="0" w:line="243" w:lineRule="auto"/>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new legislation, ballot initiatives and regulation, including those relating to environmental requirements, regulatory policy, nuclear plant operations and potential deregulation of retail electric markets;</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fuel and water supply availability;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our ability to achieve timely and adequate rate recovery of our costs, including returns on and of debt and equity capital investment;</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our ability to meet renewable energy and energy efficiency mandates and recover related costs;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risks inherent in the operation of nuclear facilities, including spent fuel disposal uncertainty;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current and future economic conditions in Arizona, including in real estate markets;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development of new technologies which may affect electric sales or delivery;</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cost of debt and equity capital and the ability to access capital markets when required;</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environmental, economic and other concerns surrounding coal-fired generation, including regulation of greenhouse gas emissions;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volatile fuel and purchased power costs;</w:t>
      </w:r>
    </w:p>
    <w:p>
      <w:pPr>
        <w:spacing w:after="0" w:line="2" w:lineRule="exact"/>
        <w:rPr>
          <w:rFonts w:ascii="Arial" w:cs="Arial" w:eastAsia="Arial" w:hAnsi="Arial"/>
          <w:sz w:val="15"/>
          <w:szCs w:val="15"/>
          <w:color w:val="auto"/>
        </w:rPr>
      </w:pPr>
    </w:p>
    <w:p>
      <w:pPr>
        <w:ind w:left="540" w:right="420" w:hanging="268"/>
        <w:spacing w:after="0" w:line="243" w:lineRule="auto"/>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investment performance of the assets of our nuclear decommissioning trust, pension, and other post-retirement benefit plans and the resulting impact on future funding requirements;</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liquidity of wholesale power markets and the use of derivative contracts in our business;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potential shortfalls in insurance coverage;</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new accounting requirements or new interpretations of existing requirements;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generation, transmission and distribution facility and system conditions and operating costs;</w:t>
      </w:r>
    </w:p>
    <w:p>
      <w:pPr>
        <w:spacing w:after="0" w:line="2"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ability to meet the anticipated future need for additional generation and associated transmission facilities in our region;</w:t>
      </w:r>
    </w:p>
    <w:p>
      <w:pPr>
        <w:spacing w:after="0" w:line="2" w:lineRule="exact"/>
        <w:rPr>
          <w:rFonts w:ascii="Arial" w:cs="Arial" w:eastAsia="Arial" w:hAnsi="Arial"/>
          <w:sz w:val="15"/>
          <w:szCs w:val="15"/>
          <w:color w:val="auto"/>
        </w:rPr>
      </w:pPr>
    </w:p>
    <w:p>
      <w:pPr>
        <w:ind w:left="540" w:right="260" w:hanging="268"/>
        <w:spacing w:after="0" w:line="243" w:lineRule="auto"/>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the willingness or ability of our counterparties, power plant participants and power plant land owners to meet contractual or other obligations or extend the rights for continued power plant operations; and</w:t>
      </w:r>
    </w:p>
    <w:p>
      <w:pPr>
        <w:spacing w:after="0" w:line="1" w:lineRule="exact"/>
        <w:rPr>
          <w:rFonts w:ascii="Arial" w:cs="Arial" w:eastAsia="Arial" w:hAnsi="Arial"/>
          <w:sz w:val="15"/>
          <w:szCs w:val="15"/>
          <w:color w:val="auto"/>
        </w:rPr>
      </w:pPr>
    </w:p>
    <w:p>
      <w:pPr>
        <w:ind w:left="540" w:hanging="268"/>
        <w:spacing w:after="0"/>
        <w:tabs>
          <w:tab w:leader="none" w:pos="540" w:val="left"/>
        </w:tabs>
        <w:numPr>
          <w:ilvl w:val="0"/>
          <w:numId w:val="5"/>
        </w:numPr>
        <w:rPr>
          <w:rFonts w:ascii="Arial" w:cs="Arial" w:eastAsia="Arial" w:hAnsi="Arial"/>
          <w:sz w:val="15"/>
          <w:szCs w:val="15"/>
          <w:color w:val="auto"/>
        </w:rPr>
      </w:pPr>
      <w:r>
        <w:rPr>
          <w:rFonts w:ascii="Arial" w:cs="Arial" w:eastAsia="Arial" w:hAnsi="Arial"/>
          <w:sz w:val="16"/>
          <w:szCs w:val="16"/>
          <w:color w:val="auto"/>
        </w:rPr>
        <w:t>restrictions on dividends or other provisions in our credit agreements and Arizona Corporation Commission orders.</w:t>
      </w:r>
    </w:p>
    <w:p>
      <w:pPr>
        <w:spacing w:after="0" w:line="165" w:lineRule="exact"/>
        <w:rPr>
          <w:sz w:val="20"/>
          <w:szCs w:val="20"/>
          <w:color w:val="auto"/>
        </w:rPr>
      </w:pPr>
    </w:p>
    <w:p>
      <w:pPr>
        <w:spacing w:after="0" w:line="253" w:lineRule="auto"/>
        <w:rPr>
          <w:sz w:val="20"/>
          <w:szCs w:val="20"/>
          <w:color w:val="auto"/>
        </w:rPr>
      </w:pPr>
      <w:r>
        <w:rPr>
          <w:rFonts w:ascii="Arial" w:cs="Arial" w:eastAsia="Arial" w:hAnsi="Arial"/>
          <w:sz w:val="16"/>
          <w:szCs w:val="16"/>
          <w:color w:val="auto"/>
        </w:rPr>
        <w:t>These and other factors are discussed in Risk Factors described in Part 1, Item 1A of the Pinnacle West/APS Annual Report on Form 10-K for the fiscal year ended December 31, 2016, and in Part II, Item 1A in of the Pinnacle West/APS Quarterly Report on Form 10-Q for the quarter ended June 30, 2017, which readers should review carefully before placing any reliance on our financial statements or disclosures. Neither Pinnacle West nor APS assumes any obligation to update these statements, even if our internal estimates change, except as required by law.</w:t>
      </w:r>
    </w:p>
    <w:p>
      <w:pPr>
        <w:spacing w:after="0" w:line="323" w:lineRule="exact"/>
        <w:rPr>
          <w:sz w:val="20"/>
          <w:szCs w:val="20"/>
          <w:color w:val="auto"/>
        </w:rPr>
      </w:pPr>
    </w:p>
    <w:p>
      <w:pPr>
        <w:jc w:val="center"/>
        <w:ind w:right="-79"/>
        <w:spacing w:after="0"/>
        <w:rPr>
          <w:sz w:val="20"/>
          <w:szCs w:val="20"/>
          <w:color w:val="auto"/>
        </w:rPr>
      </w:pPr>
      <w:r>
        <w:rPr>
          <w:rFonts w:ascii="Arial" w:cs="Arial" w:eastAsia="Arial" w:hAnsi="Arial"/>
          <w:sz w:val="16"/>
          <w:szCs w:val="16"/>
          <w:color w:val="auto"/>
        </w:rPr>
        <w:t># # #</w:t>
      </w:r>
    </w:p>
    <w:p>
      <w:pPr>
        <w:sectPr>
          <w:pgSz w:w="11900" w:h="16838" w:orient="portrait"/>
          <w:cols w:equalWidth="0" w:num="1">
            <w:col w:w="11400"/>
          </w:cols>
          <w:pgMar w:left="220" w:top="531" w:right="279" w:bottom="1440" w:gutter="0" w:footer="0" w:header="0"/>
        </w:sectPr>
      </w:pPr>
    </w:p>
    <w:bookmarkStart w:id="9" w:name="page10"/>
    <w:bookmarkEnd w:id="9"/>
    <w:p>
      <w:pPr>
        <w:jc w:val="center"/>
        <w:spacing w:after="0"/>
        <w:rPr>
          <w:sz w:val="20"/>
          <w:szCs w:val="20"/>
          <w:color w:val="auto"/>
        </w:rPr>
      </w:pPr>
      <w:r>
        <w:rPr>
          <w:rFonts w:ascii="Arial" w:cs="Arial" w:eastAsia="Arial" w:hAnsi="Arial"/>
          <w:sz w:val="15"/>
          <w:szCs w:val="15"/>
          <w:b w:val="1"/>
          <w:bCs w:val="1"/>
          <w:color w:val="auto"/>
        </w:rPr>
        <w:t>PINNACLE WEST CAPITAL CORPORATION</w:t>
      </w:r>
    </w:p>
    <w:p>
      <w:pPr>
        <w:spacing w:after="0" w:line="18"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CONSOLIDATED STATEMENTS OF INCOME</w:t>
      </w:r>
    </w:p>
    <w:p>
      <w:pPr>
        <w:spacing w:after="0" w:line="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(unaudited)</w:t>
      </w:r>
    </w:p>
    <w:p>
      <w:pPr>
        <w:spacing w:after="0" w:line="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(dollars and shares in thousands, except per share amounts)</w:t>
      </w: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187"/>
        </w:trPr>
        <w:tc>
          <w:tcPr>
            <w:tcW w:w="5060" w:type="dxa"/>
            <w:vAlign w:val="bottom"/>
          </w:tcPr>
          <w:p>
            <w:pPr>
              <w:spacing w:after="0"/>
              <w:rPr>
                <w:sz w:val="16"/>
                <w:szCs w:val="16"/>
                <w:color w:val="auto"/>
              </w:rPr>
            </w:pPr>
          </w:p>
        </w:tc>
        <w:tc>
          <w:tcPr>
            <w:tcW w:w="3440" w:type="dxa"/>
            <w:vAlign w:val="bottom"/>
            <w:gridSpan w:val="5"/>
          </w:tcPr>
          <w:p>
            <w:pPr>
              <w:jc w:val="center"/>
              <w:ind w:right="180"/>
              <w:spacing w:after="0"/>
              <w:rPr>
                <w:sz w:val="20"/>
                <w:szCs w:val="20"/>
                <w:color w:val="auto"/>
              </w:rPr>
            </w:pPr>
            <w:r>
              <w:rPr>
                <w:rFonts w:ascii="Arial" w:cs="Arial" w:eastAsia="Arial" w:hAnsi="Arial"/>
                <w:sz w:val="15"/>
                <w:szCs w:val="15"/>
                <w:color w:val="auto"/>
                <w:w w:val="93"/>
              </w:rPr>
              <w:t>THREE MONTHS ENDED</w:t>
            </w:r>
          </w:p>
        </w:tc>
        <w:tc>
          <w:tcPr>
            <w:tcW w:w="2960" w:type="dxa"/>
            <w:vAlign w:val="bottom"/>
            <w:gridSpan w:val="4"/>
          </w:tcPr>
          <w:p>
            <w:pPr>
              <w:jc w:val="center"/>
              <w:spacing w:after="0"/>
              <w:rPr>
                <w:sz w:val="20"/>
                <w:szCs w:val="20"/>
                <w:color w:val="auto"/>
              </w:rPr>
            </w:pPr>
            <w:r>
              <w:rPr>
                <w:rFonts w:ascii="Arial" w:cs="Arial" w:eastAsia="Arial" w:hAnsi="Arial"/>
                <w:sz w:val="15"/>
                <w:szCs w:val="15"/>
                <w:color w:val="auto"/>
                <w:w w:val="94"/>
              </w:rPr>
              <w:t>SIX MONTHS ENDED</w:t>
            </w:r>
          </w:p>
        </w:tc>
      </w:tr>
      <w:tr>
        <w:trPr>
          <w:trHeight w:val="220"/>
        </w:trPr>
        <w:tc>
          <w:tcPr>
            <w:tcW w:w="5060" w:type="dxa"/>
            <w:vAlign w:val="bottom"/>
          </w:tcPr>
          <w:p>
            <w:pPr>
              <w:spacing w:after="0"/>
              <w:rPr>
                <w:sz w:val="19"/>
                <w:szCs w:val="19"/>
                <w:color w:val="auto"/>
              </w:rPr>
            </w:pPr>
          </w:p>
        </w:tc>
        <w:tc>
          <w:tcPr>
            <w:tcW w:w="2160" w:type="dxa"/>
            <w:vAlign w:val="bottom"/>
            <w:gridSpan w:val="3"/>
          </w:tcPr>
          <w:p>
            <w:pPr>
              <w:jc w:val="center"/>
              <w:ind w:left="1027"/>
              <w:spacing w:after="0"/>
              <w:rPr>
                <w:sz w:val="20"/>
                <w:szCs w:val="20"/>
                <w:color w:val="auto"/>
              </w:rPr>
            </w:pPr>
            <w:r>
              <w:rPr>
                <w:rFonts w:ascii="Arial" w:cs="Arial" w:eastAsia="Arial" w:hAnsi="Arial"/>
                <w:sz w:val="15"/>
                <w:szCs w:val="15"/>
                <w:color w:val="auto"/>
                <w:w w:val="90"/>
              </w:rPr>
              <w:t>JUNE 30,</w:t>
            </w:r>
          </w:p>
        </w:tc>
        <w:tc>
          <w:tcPr>
            <w:tcW w:w="10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960" w:type="dxa"/>
            <w:vAlign w:val="bottom"/>
            <w:gridSpan w:val="3"/>
          </w:tcPr>
          <w:p>
            <w:pPr>
              <w:jc w:val="center"/>
              <w:ind w:left="947"/>
              <w:spacing w:after="0"/>
              <w:rPr>
                <w:sz w:val="20"/>
                <w:szCs w:val="20"/>
                <w:color w:val="auto"/>
              </w:rPr>
            </w:pPr>
            <w:r>
              <w:rPr>
                <w:rFonts w:ascii="Arial" w:cs="Arial" w:eastAsia="Arial" w:hAnsi="Arial"/>
                <w:sz w:val="15"/>
                <w:szCs w:val="15"/>
                <w:color w:val="auto"/>
                <w:w w:val="90"/>
              </w:rPr>
              <w:t>JUNE 30,</w:t>
            </w:r>
          </w:p>
        </w:tc>
        <w:tc>
          <w:tcPr>
            <w:tcW w:w="1000" w:type="dxa"/>
            <w:vAlign w:val="bottom"/>
          </w:tcPr>
          <w:p>
            <w:pPr>
              <w:spacing w:after="0"/>
              <w:rPr>
                <w:sz w:val="19"/>
                <w:szCs w:val="19"/>
                <w:color w:val="auto"/>
              </w:rPr>
            </w:pPr>
          </w:p>
        </w:tc>
      </w:tr>
      <w:tr>
        <w:trPr>
          <w:trHeight w:val="22"/>
        </w:trPr>
        <w:tc>
          <w:tcPr>
            <w:tcW w:w="506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89"/>
        </w:trPr>
        <w:tc>
          <w:tcPr>
            <w:tcW w:w="5060" w:type="dxa"/>
            <w:vAlign w:val="bottom"/>
          </w:tcPr>
          <w:p>
            <w:pPr>
              <w:spacing w:after="0"/>
              <w:rPr>
                <w:sz w:val="16"/>
                <w:szCs w:val="16"/>
                <w:color w:val="auto"/>
              </w:rPr>
            </w:pPr>
          </w:p>
        </w:tc>
        <w:tc>
          <w:tcPr>
            <w:tcW w:w="1380" w:type="dxa"/>
            <w:vAlign w:val="bottom"/>
          </w:tcPr>
          <w:p>
            <w:pPr>
              <w:jc w:val="right"/>
              <w:ind w:right="447"/>
              <w:spacing w:after="0"/>
              <w:rPr>
                <w:sz w:val="20"/>
                <w:szCs w:val="20"/>
                <w:color w:val="auto"/>
              </w:rPr>
            </w:pPr>
            <w:r>
              <w:rPr>
                <w:rFonts w:ascii="Arial" w:cs="Arial" w:eastAsia="Arial" w:hAnsi="Arial"/>
                <w:sz w:val="15"/>
                <w:szCs w:val="15"/>
                <w:color w:val="auto"/>
              </w:rPr>
              <w:t>2017</w:t>
            </w:r>
          </w:p>
        </w:tc>
        <w:tc>
          <w:tcPr>
            <w:tcW w:w="4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060" w:type="dxa"/>
            <w:vAlign w:val="bottom"/>
          </w:tcPr>
          <w:p>
            <w:pPr>
              <w:jc w:val="right"/>
              <w:ind w:right="447"/>
              <w:spacing w:after="0"/>
              <w:rPr>
                <w:sz w:val="20"/>
                <w:szCs w:val="20"/>
                <w:color w:val="auto"/>
              </w:rPr>
            </w:pPr>
            <w:r>
              <w:rPr>
                <w:rFonts w:ascii="Arial" w:cs="Arial" w:eastAsia="Arial" w:hAnsi="Arial"/>
                <w:sz w:val="15"/>
                <w:szCs w:val="15"/>
                <w:color w:val="auto"/>
              </w:rPr>
              <w:t>2016</w:t>
            </w:r>
          </w:p>
        </w:tc>
        <w:tc>
          <w:tcPr>
            <w:tcW w:w="220" w:type="dxa"/>
            <w:vAlign w:val="bottom"/>
          </w:tcPr>
          <w:p>
            <w:pPr>
              <w:spacing w:after="0"/>
              <w:rPr>
                <w:sz w:val="16"/>
                <w:szCs w:val="16"/>
                <w:color w:val="auto"/>
              </w:rPr>
            </w:pPr>
          </w:p>
        </w:tc>
        <w:tc>
          <w:tcPr>
            <w:tcW w:w="1360" w:type="dxa"/>
            <w:vAlign w:val="bottom"/>
          </w:tcPr>
          <w:p>
            <w:pPr>
              <w:jc w:val="right"/>
              <w:ind w:right="447"/>
              <w:spacing w:after="0"/>
              <w:rPr>
                <w:sz w:val="20"/>
                <w:szCs w:val="20"/>
                <w:color w:val="auto"/>
              </w:rPr>
            </w:pPr>
            <w:r>
              <w:rPr>
                <w:rFonts w:ascii="Arial" w:cs="Arial" w:eastAsia="Arial" w:hAnsi="Arial"/>
                <w:sz w:val="15"/>
                <w:szCs w:val="15"/>
                <w:color w:val="auto"/>
              </w:rPr>
              <w:t>2017</w:t>
            </w:r>
          </w:p>
        </w:tc>
        <w:tc>
          <w:tcPr>
            <w:tcW w:w="2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000" w:type="dxa"/>
            <w:vAlign w:val="bottom"/>
          </w:tcPr>
          <w:p>
            <w:pPr>
              <w:jc w:val="right"/>
              <w:ind w:right="447"/>
              <w:spacing w:after="0"/>
              <w:rPr>
                <w:sz w:val="20"/>
                <w:szCs w:val="20"/>
                <w:color w:val="auto"/>
              </w:rPr>
            </w:pPr>
            <w:r>
              <w:rPr>
                <w:rFonts w:ascii="Arial" w:cs="Arial" w:eastAsia="Arial" w:hAnsi="Arial"/>
                <w:sz w:val="15"/>
                <w:szCs w:val="15"/>
                <w:color w:val="auto"/>
              </w:rPr>
              <w:t>2016</w:t>
            </w:r>
          </w:p>
        </w:tc>
      </w:tr>
      <w:tr>
        <w:trPr>
          <w:trHeight w:val="22"/>
        </w:trPr>
        <w:tc>
          <w:tcPr>
            <w:tcW w:w="506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55"/>
        </w:trPr>
        <w:tc>
          <w:tcPr>
            <w:tcW w:w="5060" w:type="dxa"/>
            <w:vAlign w:val="bottom"/>
            <w:shd w:val="clear" w:color="auto" w:fill="CCEEFF"/>
          </w:tcPr>
          <w:p>
            <w:pPr>
              <w:spacing w:after="0"/>
              <w:rPr>
                <w:sz w:val="22"/>
                <w:szCs w:val="22"/>
                <w:color w:val="auto"/>
              </w:rPr>
            </w:pPr>
          </w:p>
        </w:tc>
        <w:tc>
          <w:tcPr>
            <w:tcW w:w="13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3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r>
      <w:tr>
        <w:trPr>
          <w:trHeight w:val="198"/>
        </w:trPr>
        <w:tc>
          <w:tcPr>
            <w:tcW w:w="5060" w:type="dxa"/>
            <w:vAlign w:val="bottom"/>
          </w:tcPr>
          <w:p>
            <w:pPr>
              <w:ind w:left="40"/>
              <w:spacing w:after="0"/>
              <w:rPr>
                <w:sz w:val="20"/>
                <w:szCs w:val="20"/>
                <w:color w:val="auto"/>
              </w:rPr>
            </w:pPr>
            <w:r>
              <w:rPr>
                <w:rFonts w:ascii="Arial" w:cs="Arial" w:eastAsia="Arial" w:hAnsi="Arial"/>
                <w:sz w:val="15"/>
                <w:szCs w:val="15"/>
                <w:b w:val="1"/>
                <w:bCs w:val="1"/>
                <w:color w:val="auto"/>
              </w:rPr>
              <w:t>Operating Revenues</w:t>
            </w:r>
          </w:p>
        </w:tc>
        <w:tc>
          <w:tcPr>
            <w:tcW w:w="1380" w:type="dxa"/>
            <w:vAlign w:val="bottom"/>
          </w:tcPr>
          <w:p>
            <w:pPr>
              <w:jc w:val="right"/>
              <w:spacing w:after="0"/>
              <w:rPr>
                <w:sz w:val="20"/>
                <w:szCs w:val="20"/>
                <w:color w:val="auto"/>
              </w:rPr>
            </w:pPr>
            <w:r>
              <w:rPr>
                <w:rFonts w:ascii="Arial" w:cs="Arial" w:eastAsia="Arial" w:hAnsi="Arial"/>
                <w:sz w:val="15"/>
                <w:szCs w:val="15"/>
                <w:color w:val="auto"/>
              </w:rPr>
              <w:t>$ 944,587</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$ 915,394</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$ 1,622,315</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$ 1,592,561</w:t>
            </w: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64"/>
        </w:trPr>
        <w:tc>
          <w:tcPr>
            <w:tcW w:w="5060" w:type="dxa"/>
            <w:vAlign w:val="bottom"/>
            <w:shd w:val="clear" w:color="auto" w:fill="CCEEFF"/>
          </w:tcPr>
          <w:p>
            <w:pPr>
              <w:spacing w:after="0"/>
              <w:rPr>
                <w:sz w:val="22"/>
                <w:szCs w:val="22"/>
                <w:color w:val="auto"/>
              </w:rPr>
            </w:pPr>
          </w:p>
        </w:tc>
        <w:tc>
          <w:tcPr>
            <w:tcW w:w="13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3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r>
      <w:tr>
        <w:trPr>
          <w:trHeight w:val="198"/>
        </w:trPr>
        <w:tc>
          <w:tcPr>
            <w:tcW w:w="5060" w:type="dxa"/>
            <w:vAlign w:val="bottom"/>
          </w:tcPr>
          <w:p>
            <w:pPr>
              <w:ind w:left="40"/>
              <w:spacing w:after="0"/>
              <w:rPr>
                <w:sz w:val="20"/>
                <w:szCs w:val="20"/>
                <w:color w:val="auto"/>
              </w:rPr>
            </w:pPr>
            <w:r>
              <w:rPr>
                <w:rFonts w:ascii="Arial" w:cs="Arial" w:eastAsia="Arial" w:hAnsi="Arial"/>
                <w:sz w:val="15"/>
                <w:szCs w:val="15"/>
                <w:b w:val="1"/>
                <w:bCs w:val="1"/>
                <w:color w:val="auto"/>
              </w:rPr>
              <w:t>Operating Expenses</w:t>
            </w:r>
          </w:p>
        </w:tc>
        <w:tc>
          <w:tcPr>
            <w:tcW w:w="13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Fuel and purchased power</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254,611</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274,848</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467,006</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496,133</w:t>
            </w:r>
          </w:p>
        </w:tc>
      </w:tr>
      <w:tr>
        <w:trPr>
          <w:trHeight w:val="198"/>
        </w:trPr>
        <w:tc>
          <w:tcPr>
            <w:tcW w:w="5060" w:type="dxa"/>
            <w:vAlign w:val="bottom"/>
          </w:tcPr>
          <w:p>
            <w:pPr>
              <w:ind w:left="620"/>
              <w:spacing w:after="0"/>
              <w:rPr>
                <w:sz w:val="20"/>
                <w:szCs w:val="20"/>
                <w:color w:val="auto"/>
              </w:rPr>
            </w:pPr>
            <w:r>
              <w:rPr>
                <w:rFonts w:ascii="Arial" w:cs="Arial" w:eastAsia="Arial" w:hAnsi="Arial"/>
                <w:sz w:val="15"/>
                <w:szCs w:val="15"/>
                <w:color w:val="auto"/>
              </w:rPr>
              <w:t>Operations and maintenance</w:t>
            </w:r>
          </w:p>
        </w:tc>
        <w:tc>
          <w:tcPr>
            <w:tcW w:w="1380" w:type="dxa"/>
            <w:vAlign w:val="bottom"/>
          </w:tcPr>
          <w:p>
            <w:pPr>
              <w:jc w:val="right"/>
              <w:spacing w:after="0"/>
              <w:rPr>
                <w:sz w:val="20"/>
                <w:szCs w:val="20"/>
                <w:color w:val="auto"/>
              </w:rPr>
            </w:pPr>
            <w:r>
              <w:rPr>
                <w:rFonts w:ascii="Arial" w:cs="Arial" w:eastAsia="Arial" w:hAnsi="Arial"/>
                <w:sz w:val="15"/>
                <w:szCs w:val="15"/>
                <w:color w:val="auto"/>
              </w:rPr>
              <w:t>214,013</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242,279</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433,989</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485,474</w:t>
            </w: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Depreciation and amortization</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125,739</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123,073</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253,366</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242,549</w:t>
            </w:r>
          </w:p>
        </w:tc>
      </w:tr>
      <w:tr>
        <w:trPr>
          <w:trHeight w:val="198"/>
        </w:trPr>
        <w:tc>
          <w:tcPr>
            <w:tcW w:w="5060" w:type="dxa"/>
            <w:vAlign w:val="bottom"/>
          </w:tcPr>
          <w:p>
            <w:pPr>
              <w:ind w:left="620"/>
              <w:spacing w:after="0"/>
              <w:rPr>
                <w:sz w:val="20"/>
                <w:szCs w:val="20"/>
                <w:color w:val="auto"/>
              </w:rPr>
            </w:pPr>
            <w:r>
              <w:rPr>
                <w:rFonts w:ascii="Arial" w:cs="Arial" w:eastAsia="Arial" w:hAnsi="Arial"/>
                <w:sz w:val="15"/>
                <w:szCs w:val="15"/>
                <w:color w:val="auto"/>
              </w:rPr>
              <w:t>Taxes other than income taxes</w:t>
            </w:r>
          </w:p>
        </w:tc>
        <w:tc>
          <w:tcPr>
            <w:tcW w:w="1380" w:type="dxa"/>
            <w:vAlign w:val="bottom"/>
          </w:tcPr>
          <w:p>
            <w:pPr>
              <w:jc w:val="right"/>
              <w:spacing w:after="0"/>
              <w:rPr>
                <w:sz w:val="20"/>
                <w:szCs w:val="20"/>
                <w:color w:val="auto"/>
              </w:rPr>
            </w:pPr>
            <w:r>
              <w:rPr>
                <w:rFonts w:ascii="Arial" w:cs="Arial" w:eastAsia="Arial" w:hAnsi="Arial"/>
                <w:sz w:val="15"/>
                <w:szCs w:val="15"/>
                <w:color w:val="auto"/>
              </w:rPr>
              <w:t>44,289</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42,117</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88,125</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84,618</w:t>
            </w: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2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Other expenses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1,706</w:t>
            </w:r>
          </w:p>
        </w:tc>
        <w:tc>
          <w:tcPr>
            <w:tcW w:w="460" w:type="dxa"/>
            <w:vAlign w:val="bottom"/>
            <w:tcBorders>
              <w:bottom w:val="single" w:sz="8" w:color="CCEEFF"/>
            </w:tcBorders>
            <w:shd w:val="clear" w:color="auto" w:fill="CCEEFF"/>
          </w:tcPr>
          <w:p>
            <w:pPr>
              <w:spacing w:after="0"/>
              <w:rPr>
                <w:sz w:val="19"/>
                <w:szCs w:val="19"/>
                <w:color w:val="auto"/>
              </w:rPr>
            </w:pPr>
          </w:p>
        </w:tc>
        <w:tc>
          <w:tcPr>
            <w:tcW w:w="32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1,329</w:t>
            </w:r>
          </w:p>
        </w:tc>
        <w:tc>
          <w:tcPr>
            <w:tcW w:w="220" w:type="dxa"/>
            <w:vAlign w:val="bottom"/>
            <w:tcBorders>
              <w:bottom w:val="single" w:sz="8" w:color="CCEEFF"/>
            </w:tcBorders>
            <w:shd w:val="clear" w:color="auto" w:fill="CCEEFF"/>
          </w:tcPr>
          <w:p>
            <w:pPr>
              <w:spacing w:after="0"/>
              <w:rPr>
                <w:sz w:val="19"/>
                <w:szCs w:val="19"/>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2,094</w:t>
            </w:r>
          </w:p>
        </w:tc>
        <w:tc>
          <w:tcPr>
            <w:tcW w:w="22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1,877</w:t>
            </w:r>
          </w:p>
        </w:tc>
      </w:tr>
      <w:tr>
        <w:trPr>
          <w:trHeight w:val="189"/>
        </w:trPr>
        <w:tc>
          <w:tcPr>
            <w:tcW w:w="5060" w:type="dxa"/>
            <w:vAlign w:val="bottom"/>
          </w:tcPr>
          <w:p>
            <w:pPr>
              <w:ind w:left="760"/>
              <w:spacing w:after="0"/>
              <w:rPr>
                <w:sz w:val="20"/>
                <w:szCs w:val="20"/>
                <w:color w:val="auto"/>
              </w:rPr>
            </w:pPr>
            <w:r>
              <w:rPr>
                <w:rFonts w:ascii="Arial" w:cs="Arial" w:eastAsia="Arial" w:hAnsi="Arial"/>
                <w:sz w:val="15"/>
                <w:szCs w:val="15"/>
                <w:color w:val="auto"/>
              </w:rPr>
              <w:t>Total</w:t>
            </w:r>
          </w:p>
        </w:tc>
        <w:tc>
          <w:tcPr>
            <w:tcW w:w="13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640,358</w:t>
            </w:r>
          </w:p>
        </w:tc>
        <w:tc>
          <w:tcPr>
            <w:tcW w:w="460" w:type="dxa"/>
            <w:vAlign w:val="bottom"/>
          </w:tcPr>
          <w:p>
            <w:pPr>
              <w:spacing w:after="0"/>
              <w:rPr>
                <w:sz w:val="16"/>
                <w:szCs w:val="16"/>
                <w:color w:val="auto"/>
              </w:rPr>
            </w:pPr>
          </w:p>
        </w:tc>
        <w:tc>
          <w:tcPr>
            <w:tcW w:w="320" w:type="dxa"/>
            <w:vAlign w:val="bottom"/>
            <w:tcBorders>
              <w:top w:val="single" w:sz="8" w:color="auto"/>
            </w:tcBorders>
          </w:tcPr>
          <w:p>
            <w:pPr>
              <w:spacing w:after="0"/>
              <w:rPr>
                <w:sz w:val="16"/>
                <w:szCs w:val="16"/>
                <w:color w:val="auto"/>
              </w:rPr>
            </w:pPr>
          </w:p>
        </w:tc>
        <w:tc>
          <w:tcPr>
            <w:tcW w:w="10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683,646</w:t>
            </w:r>
          </w:p>
        </w:tc>
        <w:tc>
          <w:tcPr>
            <w:tcW w:w="220" w:type="dxa"/>
            <w:vAlign w:val="bottom"/>
          </w:tcPr>
          <w:p>
            <w:pPr>
              <w:spacing w:after="0"/>
              <w:rPr>
                <w:sz w:val="16"/>
                <w:szCs w:val="16"/>
                <w:color w:val="auto"/>
              </w:rPr>
            </w:pPr>
          </w:p>
        </w:tc>
        <w:tc>
          <w:tcPr>
            <w:tcW w:w="1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1,244,580</w:t>
            </w:r>
          </w:p>
        </w:tc>
        <w:tc>
          <w:tcPr>
            <w:tcW w:w="220" w:type="dxa"/>
            <w:vAlign w:val="bottom"/>
          </w:tcPr>
          <w:p>
            <w:pPr>
              <w:spacing w:after="0"/>
              <w:rPr>
                <w:sz w:val="16"/>
                <w:szCs w:val="16"/>
                <w:color w:val="auto"/>
              </w:rPr>
            </w:pPr>
          </w:p>
        </w:tc>
        <w:tc>
          <w:tcPr>
            <w:tcW w:w="38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1,310,651</w:t>
            </w:r>
          </w:p>
        </w:tc>
      </w:tr>
      <w:tr>
        <w:trPr>
          <w:trHeight w:val="22"/>
        </w:trPr>
        <w:tc>
          <w:tcPr>
            <w:tcW w:w="506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55"/>
        </w:trPr>
        <w:tc>
          <w:tcPr>
            <w:tcW w:w="5060" w:type="dxa"/>
            <w:vAlign w:val="bottom"/>
            <w:shd w:val="clear" w:color="auto" w:fill="CCEEFF"/>
          </w:tcPr>
          <w:p>
            <w:pPr>
              <w:spacing w:after="0"/>
              <w:rPr>
                <w:sz w:val="22"/>
                <w:szCs w:val="22"/>
                <w:color w:val="auto"/>
              </w:rPr>
            </w:pPr>
          </w:p>
        </w:tc>
        <w:tc>
          <w:tcPr>
            <w:tcW w:w="13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3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r>
      <w:tr>
        <w:trPr>
          <w:trHeight w:val="198"/>
        </w:trPr>
        <w:tc>
          <w:tcPr>
            <w:tcW w:w="5060" w:type="dxa"/>
            <w:vAlign w:val="bottom"/>
          </w:tcPr>
          <w:p>
            <w:pPr>
              <w:ind w:left="40"/>
              <w:spacing w:after="0"/>
              <w:rPr>
                <w:sz w:val="20"/>
                <w:szCs w:val="20"/>
                <w:color w:val="auto"/>
              </w:rPr>
            </w:pPr>
            <w:r>
              <w:rPr>
                <w:rFonts w:ascii="Arial" w:cs="Arial" w:eastAsia="Arial" w:hAnsi="Arial"/>
                <w:sz w:val="15"/>
                <w:szCs w:val="15"/>
                <w:b w:val="1"/>
                <w:bCs w:val="1"/>
                <w:color w:val="auto"/>
              </w:rPr>
              <w:t>Operating Income</w:t>
            </w:r>
          </w:p>
        </w:tc>
        <w:tc>
          <w:tcPr>
            <w:tcW w:w="1380" w:type="dxa"/>
            <w:vAlign w:val="bottom"/>
          </w:tcPr>
          <w:p>
            <w:pPr>
              <w:jc w:val="right"/>
              <w:spacing w:after="0"/>
              <w:rPr>
                <w:sz w:val="20"/>
                <w:szCs w:val="20"/>
                <w:color w:val="auto"/>
              </w:rPr>
            </w:pPr>
            <w:r>
              <w:rPr>
                <w:rFonts w:ascii="Arial" w:cs="Arial" w:eastAsia="Arial" w:hAnsi="Arial"/>
                <w:sz w:val="15"/>
                <w:szCs w:val="15"/>
                <w:color w:val="auto"/>
              </w:rPr>
              <w:t>304,229</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231,748</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377,735</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281,910</w:t>
            </w:r>
          </w:p>
        </w:tc>
      </w:tr>
      <w:tr>
        <w:trPr>
          <w:trHeight w:val="22"/>
        </w:trPr>
        <w:tc>
          <w:tcPr>
            <w:tcW w:w="506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55"/>
        </w:trPr>
        <w:tc>
          <w:tcPr>
            <w:tcW w:w="5060" w:type="dxa"/>
            <w:vAlign w:val="bottom"/>
            <w:shd w:val="clear" w:color="auto" w:fill="CCEEFF"/>
          </w:tcPr>
          <w:p>
            <w:pPr>
              <w:spacing w:after="0"/>
              <w:rPr>
                <w:sz w:val="22"/>
                <w:szCs w:val="22"/>
                <w:color w:val="auto"/>
              </w:rPr>
            </w:pPr>
          </w:p>
        </w:tc>
        <w:tc>
          <w:tcPr>
            <w:tcW w:w="13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3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r>
      <w:tr>
        <w:trPr>
          <w:trHeight w:val="198"/>
        </w:trPr>
        <w:tc>
          <w:tcPr>
            <w:tcW w:w="5060" w:type="dxa"/>
            <w:vAlign w:val="bottom"/>
          </w:tcPr>
          <w:p>
            <w:pPr>
              <w:ind w:left="40"/>
              <w:spacing w:after="0"/>
              <w:rPr>
                <w:sz w:val="20"/>
                <w:szCs w:val="20"/>
                <w:color w:val="auto"/>
              </w:rPr>
            </w:pPr>
            <w:r>
              <w:rPr>
                <w:rFonts w:ascii="Arial" w:cs="Arial" w:eastAsia="Arial" w:hAnsi="Arial"/>
                <w:sz w:val="15"/>
                <w:szCs w:val="15"/>
                <w:b w:val="1"/>
                <w:bCs w:val="1"/>
                <w:color w:val="auto"/>
              </w:rPr>
              <w:t>Other Income (Deductions)</w:t>
            </w:r>
          </w:p>
        </w:tc>
        <w:tc>
          <w:tcPr>
            <w:tcW w:w="13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Allowance for equity funds used during construction</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10,456</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10,369</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19,938</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20,885</w:t>
            </w:r>
          </w:p>
        </w:tc>
      </w:tr>
      <w:tr>
        <w:trPr>
          <w:trHeight w:val="198"/>
        </w:trPr>
        <w:tc>
          <w:tcPr>
            <w:tcW w:w="5060" w:type="dxa"/>
            <w:vAlign w:val="bottom"/>
          </w:tcPr>
          <w:p>
            <w:pPr>
              <w:ind w:left="620"/>
              <w:spacing w:after="0"/>
              <w:rPr>
                <w:sz w:val="20"/>
                <w:szCs w:val="20"/>
                <w:color w:val="auto"/>
              </w:rPr>
            </w:pPr>
            <w:r>
              <w:rPr>
                <w:rFonts w:ascii="Arial" w:cs="Arial" w:eastAsia="Arial" w:hAnsi="Arial"/>
                <w:sz w:val="15"/>
                <w:szCs w:val="15"/>
                <w:color w:val="auto"/>
              </w:rPr>
              <w:t>Other income</w:t>
            </w:r>
          </w:p>
        </w:tc>
        <w:tc>
          <w:tcPr>
            <w:tcW w:w="1380" w:type="dxa"/>
            <w:vAlign w:val="bottom"/>
          </w:tcPr>
          <w:p>
            <w:pPr>
              <w:jc w:val="right"/>
              <w:spacing w:after="0"/>
              <w:rPr>
                <w:sz w:val="20"/>
                <w:szCs w:val="20"/>
                <w:color w:val="auto"/>
              </w:rPr>
            </w:pPr>
            <w:r>
              <w:rPr>
                <w:rFonts w:ascii="Arial" w:cs="Arial" w:eastAsia="Arial" w:hAnsi="Arial"/>
                <w:sz w:val="15"/>
                <w:szCs w:val="15"/>
                <w:color w:val="auto"/>
              </w:rPr>
              <w:t>484</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197</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964</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314</w:t>
            </w: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2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Other expense</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(3,822)</w:t>
            </w:r>
          </w:p>
        </w:tc>
        <w:tc>
          <w:tcPr>
            <w:tcW w:w="460" w:type="dxa"/>
            <w:vAlign w:val="bottom"/>
            <w:tcBorders>
              <w:bottom w:val="single" w:sz="8" w:color="CCEEFF"/>
            </w:tcBorders>
            <w:shd w:val="clear" w:color="auto" w:fill="CCEEFF"/>
          </w:tcPr>
          <w:p>
            <w:pPr>
              <w:spacing w:after="0"/>
              <w:rPr>
                <w:sz w:val="19"/>
                <w:szCs w:val="19"/>
                <w:color w:val="auto"/>
              </w:rPr>
            </w:pPr>
          </w:p>
        </w:tc>
        <w:tc>
          <w:tcPr>
            <w:tcW w:w="32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(2,842)</w:t>
            </w:r>
          </w:p>
        </w:tc>
        <w:tc>
          <w:tcPr>
            <w:tcW w:w="220" w:type="dxa"/>
            <w:vAlign w:val="bottom"/>
            <w:tcBorders>
              <w:bottom w:val="single" w:sz="8" w:color="CCEEFF"/>
            </w:tcBorders>
            <w:shd w:val="clear" w:color="auto" w:fill="CCEEFF"/>
          </w:tcPr>
          <w:p>
            <w:pPr>
              <w:spacing w:after="0"/>
              <w:rPr>
                <w:sz w:val="19"/>
                <w:szCs w:val="19"/>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(7,502)</w:t>
            </w:r>
          </w:p>
        </w:tc>
        <w:tc>
          <w:tcPr>
            <w:tcW w:w="22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(6,880)</w:t>
            </w:r>
          </w:p>
        </w:tc>
      </w:tr>
      <w:tr>
        <w:trPr>
          <w:trHeight w:val="189"/>
        </w:trPr>
        <w:tc>
          <w:tcPr>
            <w:tcW w:w="5060" w:type="dxa"/>
            <w:vAlign w:val="bottom"/>
          </w:tcPr>
          <w:p>
            <w:pPr>
              <w:ind w:left="720"/>
              <w:spacing w:after="0"/>
              <w:rPr>
                <w:sz w:val="20"/>
                <w:szCs w:val="20"/>
                <w:color w:val="auto"/>
              </w:rPr>
            </w:pPr>
            <w:r>
              <w:rPr>
                <w:rFonts w:ascii="Arial" w:cs="Arial" w:eastAsia="Arial" w:hAnsi="Arial"/>
                <w:sz w:val="15"/>
                <w:szCs w:val="15"/>
                <w:color w:val="auto"/>
              </w:rPr>
              <w:t>Total</w:t>
            </w:r>
          </w:p>
        </w:tc>
        <w:tc>
          <w:tcPr>
            <w:tcW w:w="13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7,118</w:t>
            </w:r>
          </w:p>
        </w:tc>
        <w:tc>
          <w:tcPr>
            <w:tcW w:w="460" w:type="dxa"/>
            <w:vAlign w:val="bottom"/>
          </w:tcPr>
          <w:p>
            <w:pPr>
              <w:spacing w:after="0"/>
              <w:rPr>
                <w:sz w:val="16"/>
                <w:szCs w:val="16"/>
                <w:color w:val="auto"/>
              </w:rPr>
            </w:pPr>
          </w:p>
        </w:tc>
        <w:tc>
          <w:tcPr>
            <w:tcW w:w="320" w:type="dxa"/>
            <w:vAlign w:val="bottom"/>
            <w:tcBorders>
              <w:top w:val="single" w:sz="8" w:color="auto"/>
            </w:tcBorders>
          </w:tcPr>
          <w:p>
            <w:pPr>
              <w:spacing w:after="0"/>
              <w:rPr>
                <w:sz w:val="16"/>
                <w:szCs w:val="16"/>
                <w:color w:val="auto"/>
              </w:rPr>
            </w:pPr>
          </w:p>
        </w:tc>
        <w:tc>
          <w:tcPr>
            <w:tcW w:w="10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7,724</w:t>
            </w:r>
          </w:p>
        </w:tc>
        <w:tc>
          <w:tcPr>
            <w:tcW w:w="220" w:type="dxa"/>
            <w:vAlign w:val="bottom"/>
          </w:tcPr>
          <w:p>
            <w:pPr>
              <w:spacing w:after="0"/>
              <w:rPr>
                <w:sz w:val="16"/>
                <w:szCs w:val="16"/>
                <w:color w:val="auto"/>
              </w:rPr>
            </w:pPr>
          </w:p>
        </w:tc>
        <w:tc>
          <w:tcPr>
            <w:tcW w:w="1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13,400</w:t>
            </w:r>
          </w:p>
        </w:tc>
        <w:tc>
          <w:tcPr>
            <w:tcW w:w="220" w:type="dxa"/>
            <w:vAlign w:val="bottom"/>
          </w:tcPr>
          <w:p>
            <w:pPr>
              <w:spacing w:after="0"/>
              <w:rPr>
                <w:sz w:val="16"/>
                <w:szCs w:val="16"/>
                <w:color w:val="auto"/>
              </w:rPr>
            </w:pPr>
          </w:p>
        </w:tc>
        <w:tc>
          <w:tcPr>
            <w:tcW w:w="380" w:type="dxa"/>
            <w:vAlign w:val="bottom"/>
            <w:tcBorders>
              <w:top w:val="single" w:sz="8" w:color="auto"/>
            </w:tcBorders>
          </w:tcPr>
          <w:p>
            <w:pPr>
              <w:spacing w:after="0"/>
              <w:rPr>
                <w:sz w:val="16"/>
                <w:szCs w:val="16"/>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14,319</w:t>
            </w:r>
          </w:p>
        </w:tc>
      </w:tr>
      <w:tr>
        <w:trPr>
          <w:trHeight w:val="22"/>
        </w:trPr>
        <w:tc>
          <w:tcPr>
            <w:tcW w:w="506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55"/>
        </w:trPr>
        <w:tc>
          <w:tcPr>
            <w:tcW w:w="5060" w:type="dxa"/>
            <w:vAlign w:val="bottom"/>
            <w:shd w:val="clear" w:color="auto" w:fill="CCEEFF"/>
          </w:tcPr>
          <w:p>
            <w:pPr>
              <w:spacing w:after="0"/>
              <w:rPr>
                <w:sz w:val="22"/>
                <w:szCs w:val="22"/>
                <w:color w:val="auto"/>
              </w:rPr>
            </w:pPr>
          </w:p>
        </w:tc>
        <w:tc>
          <w:tcPr>
            <w:tcW w:w="1380" w:type="dxa"/>
            <w:vAlign w:val="bottom"/>
            <w:shd w:val="clear" w:color="auto" w:fill="CCEEFF"/>
          </w:tcPr>
          <w:p>
            <w:pPr>
              <w:spacing w:after="0"/>
              <w:rPr>
                <w:sz w:val="22"/>
                <w:szCs w:val="22"/>
                <w:color w:val="auto"/>
              </w:rPr>
            </w:pPr>
          </w:p>
        </w:tc>
        <w:tc>
          <w:tcPr>
            <w:tcW w:w="46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0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3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1000" w:type="dxa"/>
            <w:vAlign w:val="bottom"/>
            <w:shd w:val="clear" w:color="auto" w:fill="CCEEFF"/>
          </w:tcPr>
          <w:p>
            <w:pPr>
              <w:spacing w:after="0"/>
              <w:rPr>
                <w:sz w:val="22"/>
                <w:szCs w:val="22"/>
                <w:color w:val="auto"/>
              </w:rPr>
            </w:pPr>
          </w:p>
        </w:tc>
      </w:tr>
      <w:tr>
        <w:trPr>
          <w:trHeight w:val="198"/>
        </w:trPr>
        <w:tc>
          <w:tcPr>
            <w:tcW w:w="5060" w:type="dxa"/>
            <w:vAlign w:val="bottom"/>
          </w:tcPr>
          <w:p>
            <w:pPr>
              <w:ind w:left="40"/>
              <w:spacing w:after="0"/>
              <w:rPr>
                <w:sz w:val="20"/>
                <w:szCs w:val="20"/>
                <w:color w:val="auto"/>
              </w:rPr>
            </w:pPr>
            <w:r>
              <w:rPr>
                <w:rFonts w:ascii="Arial" w:cs="Arial" w:eastAsia="Arial" w:hAnsi="Arial"/>
                <w:sz w:val="15"/>
                <w:szCs w:val="15"/>
                <w:b w:val="1"/>
                <w:bCs w:val="1"/>
                <w:color w:val="auto"/>
              </w:rPr>
              <w:t>Interest Expense</w:t>
            </w:r>
          </w:p>
        </w:tc>
        <w:tc>
          <w:tcPr>
            <w:tcW w:w="138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spacing w:after="0"/>
              <w:rPr>
                <w:sz w:val="17"/>
                <w:szCs w:val="17"/>
                <w:color w:val="auto"/>
              </w:rPr>
            </w:pP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200"/>
        </w:trPr>
        <w:tc>
          <w:tcPr>
            <w:tcW w:w="5060" w:type="dxa"/>
            <w:vAlign w:val="bottom"/>
            <w:tcBorders>
              <w:bottom w:val="single" w:sz="8" w:color="CCEEFF"/>
            </w:tcBorders>
            <w:shd w:val="clear" w:color="auto" w:fill="CCEEFF"/>
          </w:tcPr>
          <w:p>
            <w:pPr>
              <w:ind w:left="620"/>
              <w:spacing w:after="0"/>
              <w:rPr>
                <w:sz w:val="20"/>
                <w:szCs w:val="20"/>
                <w:color w:val="auto"/>
              </w:rPr>
            </w:pPr>
            <w:r>
              <w:rPr>
                <w:rFonts w:ascii="Arial" w:cs="Arial" w:eastAsia="Arial" w:hAnsi="Arial"/>
                <w:sz w:val="15"/>
                <w:szCs w:val="15"/>
                <w:color w:val="auto"/>
              </w:rPr>
              <w:t>Interest charges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54,969</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52,849</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106,833</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103,593</w:t>
            </w:r>
          </w:p>
        </w:tc>
      </w:tr>
      <w:tr>
        <w:trPr>
          <w:trHeight w:val="198"/>
        </w:trPr>
        <w:tc>
          <w:tcPr>
            <w:tcW w:w="5060" w:type="dxa"/>
            <w:vAlign w:val="bottom"/>
          </w:tcPr>
          <w:p>
            <w:pPr>
              <w:ind w:left="620"/>
              <w:spacing w:after="0"/>
              <w:rPr>
                <w:sz w:val="20"/>
                <w:szCs w:val="20"/>
                <w:color w:val="auto"/>
              </w:rPr>
            </w:pPr>
            <w:r>
              <w:rPr>
                <w:rFonts w:ascii="Arial" w:cs="Arial" w:eastAsia="Arial" w:hAnsi="Arial"/>
                <w:sz w:val="15"/>
                <w:szCs w:val="15"/>
                <w:color w:val="auto"/>
              </w:rPr>
              <w:t>Allowance for borrowed funds used during construction</w:t>
            </w:r>
          </w:p>
        </w:tc>
        <w:tc>
          <w:tcPr>
            <w:tcW w:w="1380" w:type="dxa"/>
            <w:vAlign w:val="bottom"/>
          </w:tcPr>
          <w:p>
            <w:pPr>
              <w:jc w:val="right"/>
              <w:spacing w:after="0"/>
              <w:rPr>
                <w:sz w:val="20"/>
                <w:szCs w:val="20"/>
                <w:color w:val="auto"/>
              </w:rPr>
            </w:pPr>
            <w:r>
              <w:rPr>
                <w:rFonts w:ascii="Arial" w:cs="Arial" w:eastAsia="Arial" w:hAnsi="Arial"/>
                <w:sz w:val="15"/>
                <w:szCs w:val="15"/>
                <w:color w:val="auto"/>
              </w:rPr>
              <w:t>(4,906)</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(5,301)</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(9,378)</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(10,528)</w:t>
            </w:r>
          </w:p>
        </w:tc>
      </w:tr>
      <w:tr>
        <w:trPr>
          <w:trHeight w:val="22"/>
        </w:trPr>
        <w:tc>
          <w:tcPr>
            <w:tcW w:w="5060" w:type="dxa"/>
            <w:vAlign w:val="bottom"/>
            <w:tcBorders>
              <w:bottom w:val="single" w:sz="8" w:color="CCEEFF"/>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211"/>
        </w:trPr>
        <w:tc>
          <w:tcPr>
            <w:tcW w:w="5060" w:type="dxa"/>
            <w:vAlign w:val="bottom"/>
            <w:tcBorders>
              <w:bottom w:val="single" w:sz="8" w:color="CCEEFF"/>
            </w:tcBorders>
            <w:shd w:val="clear" w:color="auto" w:fill="CCEEFF"/>
          </w:tcPr>
          <w:p>
            <w:pPr>
              <w:ind w:left="720"/>
              <w:spacing w:after="0"/>
              <w:rPr>
                <w:sz w:val="20"/>
                <w:szCs w:val="20"/>
                <w:color w:val="auto"/>
              </w:rPr>
            </w:pPr>
            <w:r>
              <w:rPr>
                <w:rFonts w:ascii="Arial" w:cs="Arial" w:eastAsia="Arial" w:hAnsi="Arial"/>
                <w:sz w:val="15"/>
                <w:szCs w:val="15"/>
                <w:color w:val="auto"/>
              </w:rPr>
              <w:t>Total</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50,063</w:t>
            </w:r>
          </w:p>
        </w:tc>
        <w:tc>
          <w:tcPr>
            <w:tcW w:w="460" w:type="dxa"/>
            <w:vAlign w:val="bottom"/>
            <w:tcBorders>
              <w:bottom w:val="single" w:sz="8" w:color="CCEEFF"/>
            </w:tcBorders>
            <w:shd w:val="clear" w:color="auto" w:fill="CCEEFF"/>
          </w:tcPr>
          <w:p>
            <w:pPr>
              <w:spacing w:after="0"/>
              <w:rPr>
                <w:sz w:val="18"/>
                <w:szCs w:val="18"/>
                <w:color w:val="auto"/>
              </w:rPr>
            </w:pPr>
          </w:p>
        </w:tc>
        <w:tc>
          <w:tcPr>
            <w:tcW w:w="320" w:type="dxa"/>
            <w:vAlign w:val="bottom"/>
            <w:tcBorders>
              <w:bottom w:val="single" w:sz="8" w:color="CCEEFF"/>
            </w:tcBorders>
            <w:shd w:val="clear" w:color="auto" w:fill="CCEEFF"/>
          </w:tcPr>
          <w:p>
            <w:pPr>
              <w:spacing w:after="0"/>
              <w:rPr>
                <w:sz w:val="18"/>
                <w:szCs w:val="18"/>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47,548</w:t>
            </w:r>
          </w:p>
        </w:tc>
        <w:tc>
          <w:tcPr>
            <w:tcW w:w="220" w:type="dxa"/>
            <w:vAlign w:val="bottom"/>
            <w:tcBorders>
              <w:bottom w:val="single" w:sz="8" w:color="CCEEFF"/>
            </w:tcBorders>
            <w:shd w:val="clear" w:color="auto" w:fill="CCEEFF"/>
          </w:tcPr>
          <w:p>
            <w:pPr>
              <w:spacing w:after="0"/>
              <w:rPr>
                <w:sz w:val="18"/>
                <w:szCs w:val="18"/>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97,455</w:t>
            </w:r>
          </w:p>
        </w:tc>
        <w:tc>
          <w:tcPr>
            <w:tcW w:w="220" w:type="dxa"/>
            <w:vAlign w:val="bottom"/>
            <w:tcBorders>
              <w:bottom w:val="single" w:sz="8" w:color="CCEEFF"/>
            </w:tcBorders>
            <w:shd w:val="clear" w:color="auto" w:fill="CCEEFF"/>
          </w:tcPr>
          <w:p>
            <w:pPr>
              <w:spacing w:after="0"/>
              <w:rPr>
                <w:sz w:val="18"/>
                <w:szCs w:val="18"/>
                <w:color w:val="auto"/>
              </w:rPr>
            </w:pPr>
          </w:p>
        </w:tc>
        <w:tc>
          <w:tcPr>
            <w:tcW w:w="380" w:type="dxa"/>
            <w:vAlign w:val="bottom"/>
            <w:tcBorders>
              <w:bottom w:val="single" w:sz="8" w:color="CCEEFF"/>
            </w:tcBorders>
            <w:shd w:val="clear" w:color="auto" w:fill="CCEEFF"/>
          </w:tcPr>
          <w:p>
            <w:pPr>
              <w:spacing w:after="0"/>
              <w:rPr>
                <w:sz w:val="18"/>
                <w:szCs w:val="18"/>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93,065</w:t>
            </w:r>
          </w:p>
        </w:tc>
      </w:tr>
      <w:tr>
        <w:trPr>
          <w:trHeight w:val="255"/>
        </w:trPr>
        <w:tc>
          <w:tcPr>
            <w:tcW w:w="5060" w:type="dxa"/>
            <w:vAlign w:val="bottom"/>
          </w:tcPr>
          <w:p>
            <w:pPr>
              <w:spacing w:after="0"/>
              <w:rPr>
                <w:sz w:val="22"/>
                <w:szCs w:val="22"/>
                <w:color w:val="auto"/>
              </w:rPr>
            </w:pPr>
          </w:p>
        </w:tc>
        <w:tc>
          <w:tcPr>
            <w:tcW w:w="1380" w:type="dxa"/>
            <w:vAlign w:val="bottom"/>
            <w:tcBorders>
              <w:top w:val="single" w:sz="8" w:color="auto"/>
            </w:tcBorders>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Borders>
              <w:top w:val="single" w:sz="8" w:color="auto"/>
            </w:tcBorders>
          </w:tcPr>
          <w:p>
            <w:pPr>
              <w:spacing w:after="0"/>
              <w:rPr>
                <w:sz w:val="22"/>
                <w:szCs w:val="22"/>
                <w:color w:val="auto"/>
              </w:rPr>
            </w:pPr>
          </w:p>
        </w:tc>
        <w:tc>
          <w:tcPr>
            <w:tcW w:w="1060" w:type="dxa"/>
            <w:vAlign w:val="bottom"/>
            <w:tcBorders>
              <w:top w:val="single" w:sz="8" w:color="auto"/>
            </w:tcBorders>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Borders>
              <w:top w:val="single" w:sz="8" w:color="auto"/>
            </w:tcBorders>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Borders>
              <w:top w:val="single" w:sz="8" w:color="auto"/>
            </w:tcBorders>
          </w:tcPr>
          <w:p>
            <w:pPr>
              <w:spacing w:after="0"/>
              <w:rPr>
                <w:sz w:val="22"/>
                <w:szCs w:val="22"/>
                <w:color w:val="auto"/>
              </w:rPr>
            </w:pPr>
          </w:p>
        </w:tc>
        <w:tc>
          <w:tcPr>
            <w:tcW w:w="1000" w:type="dxa"/>
            <w:vAlign w:val="bottom"/>
            <w:tcBorders>
              <w:top w:val="single" w:sz="8" w:color="auto"/>
            </w:tcBorders>
          </w:tcPr>
          <w:p>
            <w:pPr>
              <w:spacing w:after="0"/>
              <w:rPr>
                <w:sz w:val="22"/>
                <w:szCs w:val="22"/>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Income Before Income Taxes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261,284</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191,924</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293,680</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203,164</w:t>
            </w:r>
          </w:p>
        </w:tc>
      </w:tr>
      <w:tr>
        <w:trPr>
          <w:trHeight w:val="264"/>
        </w:trPr>
        <w:tc>
          <w:tcPr>
            <w:tcW w:w="5060" w:type="dxa"/>
            <w:vAlign w:val="bottom"/>
          </w:tcPr>
          <w:p>
            <w:pPr>
              <w:spacing w:after="0"/>
              <w:rPr>
                <w:sz w:val="22"/>
                <w:szCs w:val="22"/>
                <w:color w:val="auto"/>
              </w:rPr>
            </w:pPr>
          </w:p>
        </w:tc>
        <w:tc>
          <w:tcPr>
            <w:tcW w:w="13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000" w:type="dxa"/>
            <w:vAlign w:val="bottom"/>
          </w:tcPr>
          <w:p>
            <w:pPr>
              <w:spacing w:after="0"/>
              <w:rPr>
                <w:sz w:val="22"/>
                <w:szCs w:val="22"/>
                <w:color w:val="auto"/>
              </w:rPr>
            </w:pPr>
          </w:p>
        </w:tc>
      </w:tr>
      <w:tr>
        <w:trPr>
          <w:trHeight w:val="22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Income Taxes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88,967</w:t>
            </w:r>
          </w:p>
        </w:tc>
        <w:tc>
          <w:tcPr>
            <w:tcW w:w="460" w:type="dxa"/>
            <w:vAlign w:val="bottom"/>
            <w:tcBorders>
              <w:bottom w:val="single" w:sz="8" w:color="CCEEFF"/>
            </w:tcBorders>
            <w:shd w:val="clear" w:color="auto" w:fill="CCEEFF"/>
          </w:tcPr>
          <w:p>
            <w:pPr>
              <w:spacing w:after="0"/>
              <w:rPr>
                <w:sz w:val="19"/>
                <w:szCs w:val="19"/>
                <w:color w:val="auto"/>
              </w:rPr>
            </w:pPr>
          </w:p>
        </w:tc>
        <w:tc>
          <w:tcPr>
            <w:tcW w:w="320" w:type="dxa"/>
            <w:vAlign w:val="bottom"/>
            <w:tcBorders>
              <w:bottom w:val="single" w:sz="8" w:color="CCEEFF"/>
            </w:tcBorders>
            <w:shd w:val="clear" w:color="auto" w:fill="CCEEFF"/>
          </w:tcPr>
          <w:p>
            <w:pPr>
              <w:spacing w:after="0"/>
              <w:rPr>
                <w:sz w:val="19"/>
                <w:szCs w:val="19"/>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65,742</w:t>
            </w:r>
          </w:p>
        </w:tc>
        <w:tc>
          <w:tcPr>
            <w:tcW w:w="220" w:type="dxa"/>
            <w:vAlign w:val="bottom"/>
            <w:tcBorders>
              <w:bottom w:val="single" w:sz="8" w:color="CCEEFF"/>
            </w:tcBorders>
            <w:shd w:val="clear" w:color="auto" w:fill="CCEEFF"/>
          </w:tcPr>
          <w:p>
            <w:pPr>
              <w:spacing w:after="0"/>
              <w:rPr>
                <w:sz w:val="19"/>
                <w:szCs w:val="19"/>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93,178</w:t>
            </w:r>
          </w:p>
        </w:tc>
        <w:tc>
          <w:tcPr>
            <w:tcW w:w="220" w:type="dxa"/>
            <w:vAlign w:val="bottom"/>
            <w:tcBorders>
              <w:bottom w:val="single" w:sz="8" w:color="CCEEFF"/>
            </w:tcBorders>
            <w:shd w:val="clear" w:color="auto" w:fill="CCEEFF"/>
          </w:tcPr>
          <w:p>
            <w:pPr>
              <w:spacing w:after="0"/>
              <w:rPr>
                <w:sz w:val="19"/>
                <w:szCs w:val="19"/>
                <w:color w:val="auto"/>
              </w:rPr>
            </w:pPr>
          </w:p>
        </w:tc>
        <w:tc>
          <w:tcPr>
            <w:tcW w:w="380" w:type="dxa"/>
            <w:vAlign w:val="bottom"/>
            <w:tcBorders>
              <w:bottom w:val="single" w:sz="8" w:color="CCEEFF"/>
            </w:tcBorders>
            <w:shd w:val="clear" w:color="auto" w:fill="CCEEFF"/>
          </w:tcPr>
          <w:p>
            <w:pPr>
              <w:spacing w:after="0"/>
              <w:rPr>
                <w:sz w:val="19"/>
                <w:szCs w:val="19"/>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67,656</w:t>
            </w:r>
          </w:p>
        </w:tc>
      </w:tr>
      <w:tr>
        <w:trPr>
          <w:trHeight w:val="255"/>
        </w:trPr>
        <w:tc>
          <w:tcPr>
            <w:tcW w:w="5060" w:type="dxa"/>
            <w:vAlign w:val="bottom"/>
          </w:tcPr>
          <w:p>
            <w:pPr>
              <w:spacing w:after="0"/>
              <w:rPr>
                <w:sz w:val="22"/>
                <w:szCs w:val="22"/>
                <w:color w:val="auto"/>
              </w:rPr>
            </w:pPr>
          </w:p>
        </w:tc>
        <w:tc>
          <w:tcPr>
            <w:tcW w:w="1380" w:type="dxa"/>
            <w:vAlign w:val="bottom"/>
            <w:tcBorders>
              <w:top w:val="single" w:sz="8" w:color="auto"/>
            </w:tcBorders>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Borders>
              <w:top w:val="single" w:sz="8" w:color="auto"/>
            </w:tcBorders>
          </w:tcPr>
          <w:p>
            <w:pPr>
              <w:spacing w:after="0"/>
              <w:rPr>
                <w:sz w:val="22"/>
                <w:szCs w:val="22"/>
                <w:color w:val="auto"/>
              </w:rPr>
            </w:pPr>
          </w:p>
        </w:tc>
        <w:tc>
          <w:tcPr>
            <w:tcW w:w="1060" w:type="dxa"/>
            <w:vAlign w:val="bottom"/>
            <w:tcBorders>
              <w:top w:val="single" w:sz="8" w:color="auto"/>
            </w:tcBorders>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Borders>
              <w:top w:val="single" w:sz="8" w:color="auto"/>
            </w:tcBorders>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Borders>
              <w:top w:val="single" w:sz="8" w:color="auto"/>
            </w:tcBorders>
          </w:tcPr>
          <w:p>
            <w:pPr>
              <w:spacing w:after="0"/>
              <w:rPr>
                <w:sz w:val="22"/>
                <w:szCs w:val="22"/>
                <w:color w:val="auto"/>
              </w:rPr>
            </w:pPr>
          </w:p>
        </w:tc>
        <w:tc>
          <w:tcPr>
            <w:tcW w:w="1000" w:type="dxa"/>
            <w:vAlign w:val="bottom"/>
            <w:tcBorders>
              <w:top w:val="single" w:sz="8" w:color="auto"/>
            </w:tcBorders>
          </w:tcPr>
          <w:p>
            <w:pPr>
              <w:spacing w:after="0"/>
              <w:rPr>
                <w:sz w:val="22"/>
                <w:szCs w:val="22"/>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Net Income</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172,317</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126,182</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200,502</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135,508</w:t>
            </w:r>
          </w:p>
        </w:tc>
      </w:tr>
      <w:tr>
        <w:trPr>
          <w:trHeight w:val="264"/>
        </w:trPr>
        <w:tc>
          <w:tcPr>
            <w:tcW w:w="5060" w:type="dxa"/>
            <w:vAlign w:val="bottom"/>
          </w:tcPr>
          <w:p>
            <w:pPr>
              <w:spacing w:after="0"/>
              <w:rPr>
                <w:sz w:val="22"/>
                <w:szCs w:val="22"/>
                <w:color w:val="auto"/>
              </w:rPr>
            </w:pPr>
          </w:p>
        </w:tc>
        <w:tc>
          <w:tcPr>
            <w:tcW w:w="13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000" w:type="dxa"/>
            <w:vAlign w:val="bottom"/>
          </w:tcPr>
          <w:p>
            <w:pPr>
              <w:spacing w:after="0"/>
              <w:rPr>
                <w:sz w:val="22"/>
                <w:szCs w:val="22"/>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color w:val="auto"/>
              </w:rPr>
              <w:t>Less: Net income attributable to noncontrolling interests</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4,874</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4,874</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9,747</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9,747</w:t>
            </w:r>
          </w:p>
        </w:tc>
      </w:tr>
      <w:tr>
        <w:trPr>
          <w:trHeight w:val="264"/>
        </w:trPr>
        <w:tc>
          <w:tcPr>
            <w:tcW w:w="5060" w:type="dxa"/>
            <w:vAlign w:val="bottom"/>
            <w:tcBorders>
              <w:bottom w:val="single" w:sz="8" w:color="CCEEFF"/>
            </w:tcBorders>
          </w:tcPr>
          <w:p>
            <w:pPr>
              <w:spacing w:after="0"/>
              <w:rPr>
                <w:sz w:val="22"/>
                <w:szCs w:val="22"/>
                <w:color w:val="auto"/>
              </w:rPr>
            </w:pPr>
          </w:p>
        </w:tc>
        <w:tc>
          <w:tcPr>
            <w:tcW w:w="1380" w:type="dxa"/>
            <w:vAlign w:val="bottom"/>
            <w:tcBorders>
              <w:bottom w:val="single" w:sz="8" w:color="auto"/>
            </w:tcBorders>
          </w:tcPr>
          <w:p>
            <w:pPr>
              <w:spacing w:after="0"/>
              <w:rPr>
                <w:sz w:val="22"/>
                <w:szCs w:val="22"/>
                <w:color w:val="auto"/>
              </w:rPr>
            </w:pPr>
          </w:p>
        </w:tc>
        <w:tc>
          <w:tcPr>
            <w:tcW w:w="460" w:type="dxa"/>
            <w:vAlign w:val="bottom"/>
            <w:tcBorders>
              <w:bottom w:val="single" w:sz="8" w:color="CCEEFF"/>
            </w:tcBorders>
          </w:tcPr>
          <w:p>
            <w:pPr>
              <w:spacing w:after="0"/>
              <w:rPr>
                <w:sz w:val="22"/>
                <w:szCs w:val="22"/>
                <w:color w:val="auto"/>
              </w:rPr>
            </w:pPr>
          </w:p>
        </w:tc>
        <w:tc>
          <w:tcPr>
            <w:tcW w:w="320" w:type="dxa"/>
            <w:vAlign w:val="bottom"/>
            <w:tcBorders>
              <w:bottom w:val="single" w:sz="8" w:color="auto"/>
            </w:tcBorders>
          </w:tcPr>
          <w:p>
            <w:pPr>
              <w:spacing w:after="0"/>
              <w:rPr>
                <w:sz w:val="22"/>
                <w:szCs w:val="22"/>
                <w:color w:val="auto"/>
              </w:rPr>
            </w:pPr>
          </w:p>
        </w:tc>
        <w:tc>
          <w:tcPr>
            <w:tcW w:w="1060" w:type="dxa"/>
            <w:vAlign w:val="bottom"/>
            <w:tcBorders>
              <w:bottom w:val="single" w:sz="8" w:color="auto"/>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1360" w:type="dxa"/>
            <w:vAlign w:val="bottom"/>
            <w:tcBorders>
              <w:bottom w:val="single" w:sz="8" w:color="auto"/>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380" w:type="dxa"/>
            <w:vAlign w:val="bottom"/>
            <w:tcBorders>
              <w:bottom w:val="single" w:sz="8" w:color="auto"/>
            </w:tcBorders>
          </w:tcPr>
          <w:p>
            <w:pPr>
              <w:spacing w:after="0"/>
              <w:rPr>
                <w:sz w:val="22"/>
                <w:szCs w:val="22"/>
                <w:color w:val="auto"/>
              </w:rPr>
            </w:pPr>
          </w:p>
        </w:tc>
        <w:tc>
          <w:tcPr>
            <w:tcW w:w="1000" w:type="dxa"/>
            <w:vAlign w:val="bottom"/>
            <w:tcBorders>
              <w:bottom w:val="single" w:sz="8" w:color="auto"/>
            </w:tcBorders>
          </w:tcPr>
          <w:p>
            <w:pPr>
              <w:spacing w:after="0"/>
              <w:rPr>
                <w:sz w:val="22"/>
                <w:szCs w:val="22"/>
                <w:color w:val="auto"/>
              </w:rPr>
            </w:pPr>
          </w:p>
        </w:tc>
      </w:tr>
      <w:tr>
        <w:trPr>
          <w:trHeight w:val="205"/>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Net Income Attributable To Common Shareholders</w:t>
            </w:r>
          </w:p>
        </w:tc>
        <w:tc>
          <w:tcPr>
            <w:tcW w:w="1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$ 167,443</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auto"/>
            </w:tcBorders>
            <w:shd w:val="clear" w:color="auto" w:fill="CCEEFF"/>
          </w:tcPr>
          <w:p>
            <w:pPr>
              <w:spacing w:after="0"/>
              <w:rPr>
                <w:sz w:val="17"/>
                <w:szCs w:val="17"/>
                <w:color w:val="auto"/>
              </w:rPr>
            </w:pP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$ 121,308</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$ 190,755</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auto"/>
            </w:tcBorders>
            <w:shd w:val="clear" w:color="auto" w:fill="CCEEFF"/>
          </w:tcPr>
          <w:p>
            <w:pPr>
              <w:spacing w:after="0"/>
              <w:rPr>
                <w:sz w:val="17"/>
                <w:szCs w:val="17"/>
                <w:color w:val="auto"/>
              </w:rPr>
            </w:pPr>
          </w:p>
        </w:tc>
        <w:tc>
          <w:tcPr>
            <w:tcW w:w="10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$ 125,761</w:t>
            </w:r>
          </w:p>
        </w:tc>
      </w:tr>
      <w:tr>
        <w:trPr>
          <w:trHeight w:val="20"/>
        </w:trPr>
        <w:tc>
          <w:tcPr>
            <w:tcW w:w="5060" w:type="dxa"/>
            <w:vAlign w:val="bottom"/>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r>
      <w:tr>
        <w:trPr>
          <w:trHeight w:val="154"/>
        </w:trPr>
        <w:tc>
          <w:tcPr>
            <w:tcW w:w="506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3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000" w:type="dxa"/>
            <w:vAlign w:val="bottom"/>
          </w:tcPr>
          <w:p>
            <w:pPr>
              <w:spacing w:after="0"/>
              <w:rPr>
                <w:sz w:val="13"/>
                <w:szCs w:val="13"/>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Weighted-Average Common Shares Outstanding - Basic</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111,797</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111,368</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111,763</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111,336</w:t>
            </w:r>
          </w:p>
        </w:tc>
      </w:tr>
      <w:tr>
        <w:trPr>
          <w:trHeight w:val="264"/>
        </w:trPr>
        <w:tc>
          <w:tcPr>
            <w:tcW w:w="5060" w:type="dxa"/>
            <w:vAlign w:val="bottom"/>
          </w:tcPr>
          <w:p>
            <w:pPr>
              <w:spacing w:after="0"/>
              <w:rPr>
                <w:sz w:val="22"/>
                <w:szCs w:val="22"/>
                <w:color w:val="auto"/>
              </w:rPr>
            </w:pPr>
          </w:p>
        </w:tc>
        <w:tc>
          <w:tcPr>
            <w:tcW w:w="13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000" w:type="dxa"/>
            <w:vAlign w:val="bottom"/>
          </w:tcPr>
          <w:p>
            <w:pPr>
              <w:spacing w:after="0"/>
              <w:rPr>
                <w:sz w:val="22"/>
                <w:szCs w:val="22"/>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Weighted-Average Common Shares Outstanding - Diluted</w:t>
            </w:r>
          </w:p>
        </w:tc>
        <w:tc>
          <w:tcPr>
            <w:tcW w:w="13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112,345</w:t>
            </w: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112,004</w:t>
            </w: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112,270</w:t>
            </w: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111,930</w:t>
            </w:r>
          </w:p>
        </w:tc>
      </w:tr>
      <w:tr>
        <w:trPr>
          <w:trHeight w:val="264"/>
        </w:trPr>
        <w:tc>
          <w:tcPr>
            <w:tcW w:w="5060" w:type="dxa"/>
            <w:vAlign w:val="bottom"/>
          </w:tcPr>
          <w:p>
            <w:pPr>
              <w:spacing w:after="0"/>
              <w:rPr>
                <w:sz w:val="22"/>
                <w:szCs w:val="22"/>
                <w:color w:val="auto"/>
              </w:rPr>
            </w:pPr>
          </w:p>
        </w:tc>
        <w:tc>
          <w:tcPr>
            <w:tcW w:w="13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10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000" w:type="dxa"/>
            <w:vAlign w:val="bottom"/>
          </w:tcPr>
          <w:p>
            <w:pPr>
              <w:spacing w:after="0"/>
              <w:rPr>
                <w:sz w:val="22"/>
                <w:szCs w:val="22"/>
                <w:color w:val="auto"/>
              </w:rPr>
            </w:pPr>
          </w:p>
        </w:tc>
      </w:tr>
      <w:tr>
        <w:trPr>
          <w:trHeight w:val="200"/>
        </w:trPr>
        <w:tc>
          <w:tcPr>
            <w:tcW w:w="5060" w:type="dxa"/>
            <w:vAlign w:val="bottom"/>
            <w:tcBorders>
              <w:bottom w:val="single" w:sz="8" w:color="CCEEFF"/>
            </w:tcBorders>
            <w:shd w:val="clear" w:color="auto" w:fill="CCEEFF"/>
          </w:tcPr>
          <w:p>
            <w:pPr>
              <w:ind w:left="40"/>
              <w:spacing w:after="0"/>
              <w:rPr>
                <w:sz w:val="20"/>
                <w:szCs w:val="20"/>
                <w:color w:val="auto"/>
              </w:rPr>
            </w:pPr>
            <w:r>
              <w:rPr>
                <w:rFonts w:ascii="Arial" w:cs="Arial" w:eastAsia="Arial" w:hAnsi="Arial"/>
                <w:sz w:val="15"/>
                <w:szCs w:val="15"/>
                <w:b w:val="1"/>
                <w:bCs w:val="1"/>
                <w:color w:val="auto"/>
              </w:rPr>
              <w:t>Earnings Per Weighted-Average Common Share Outstanding</w:t>
            </w:r>
          </w:p>
        </w:tc>
        <w:tc>
          <w:tcPr>
            <w:tcW w:w="1380" w:type="dxa"/>
            <w:vAlign w:val="bottom"/>
            <w:tcBorders>
              <w:bottom w:val="single" w:sz="8" w:color="CCEEFF"/>
            </w:tcBorders>
            <w:shd w:val="clear" w:color="auto" w:fill="CCEEFF"/>
          </w:tcPr>
          <w:p>
            <w:pPr>
              <w:spacing w:after="0"/>
              <w:rPr>
                <w:sz w:val="17"/>
                <w:szCs w:val="17"/>
                <w:color w:val="auto"/>
              </w:rPr>
            </w:pPr>
          </w:p>
        </w:tc>
        <w:tc>
          <w:tcPr>
            <w:tcW w:w="460" w:type="dxa"/>
            <w:vAlign w:val="bottom"/>
            <w:tcBorders>
              <w:bottom w:val="single" w:sz="8" w:color="CCEEFF"/>
            </w:tcBorders>
            <w:shd w:val="clear" w:color="auto" w:fill="CCEEFF"/>
          </w:tcPr>
          <w:p>
            <w:pPr>
              <w:spacing w:after="0"/>
              <w:rPr>
                <w:sz w:val="17"/>
                <w:szCs w:val="17"/>
                <w:color w:val="auto"/>
              </w:rPr>
            </w:pPr>
          </w:p>
        </w:tc>
        <w:tc>
          <w:tcPr>
            <w:tcW w:w="320" w:type="dxa"/>
            <w:vAlign w:val="bottom"/>
            <w:tcBorders>
              <w:bottom w:val="single" w:sz="8" w:color="CCEEFF"/>
            </w:tcBorders>
            <w:shd w:val="clear" w:color="auto" w:fill="CCEEFF"/>
          </w:tcPr>
          <w:p>
            <w:pPr>
              <w:spacing w:after="0"/>
              <w:rPr>
                <w:sz w:val="17"/>
                <w:szCs w:val="17"/>
                <w:color w:val="auto"/>
              </w:rPr>
            </w:pPr>
          </w:p>
        </w:tc>
        <w:tc>
          <w:tcPr>
            <w:tcW w:w="106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136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CCEEFF"/>
            </w:tcBorders>
            <w:shd w:val="clear" w:color="auto" w:fill="CCEEFF"/>
          </w:tcPr>
          <w:p>
            <w:pPr>
              <w:spacing w:after="0"/>
              <w:rPr>
                <w:sz w:val="17"/>
                <w:szCs w:val="17"/>
                <w:color w:val="auto"/>
              </w:rPr>
            </w:pPr>
          </w:p>
        </w:tc>
        <w:tc>
          <w:tcPr>
            <w:tcW w:w="380" w:type="dxa"/>
            <w:vAlign w:val="bottom"/>
            <w:tcBorders>
              <w:bottom w:val="single" w:sz="8" w:color="CCEEFF"/>
            </w:tcBorders>
            <w:shd w:val="clear" w:color="auto" w:fill="CCEEFF"/>
          </w:tcPr>
          <w:p>
            <w:pPr>
              <w:spacing w:after="0"/>
              <w:rPr>
                <w:sz w:val="17"/>
                <w:szCs w:val="17"/>
                <w:color w:val="auto"/>
              </w:rPr>
            </w:pPr>
          </w:p>
        </w:tc>
        <w:tc>
          <w:tcPr>
            <w:tcW w:w="1000" w:type="dxa"/>
            <w:vAlign w:val="bottom"/>
            <w:tcBorders>
              <w:bottom w:val="single" w:sz="8" w:color="CCEEFF"/>
            </w:tcBorders>
            <w:shd w:val="clear" w:color="auto" w:fill="CCEEFF"/>
          </w:tcPr>
          <w:p>
            <w:pPr>
              <w:spacing w:after="0"/>
              <w:rPr>
                <w:sz w:val="17"/>
                <w:szCs w:val="17"/>
                <w:color w:val="auto"/>
              </w:rPr>
            </w:pPr>
          </w:p>
        </w:tc>
      </w:tr>
      <w:tr>
        <w:trPr>
          <w:trHeight w:val="198"/>
        </w:trPr>
        <w:tc>
          <w:tcPr>
            <w:tcW w:w="5060" w:type="dxa"/>
            <w:vAlign w:val="bottom"/>
          </w:tcPr>
          <w:p>
            <w:pPr>
              <w:ind w:left="620"/>
              <w:spacing w:after="0"/>
              <w:rPr>
                <w:sz w:val="20"/>
                <w:szCs w:val="20"/>
                <w:color w:val="auto"/>
              </w:rPr>
            </w:pPr>
            <w:r>
              <w:rPr>
                <w:rFonts w:ascii="Arial" w:cs="Arial" w:eastAsia="Arial" w:hAnsi="Arial"/>
                <w:sz w:val="15"/>
                <w:szCs w:val="15"/>
                <w:color w:val="auto"/>
              </w:rPr>
              <w:t>Net income attributable to common shareholders - basic</w:t>
            </w:r>
          </w:p>
        </w:tc>
        <w:tc>
          <w:tcPr>
            <w:tcW w:w="1380" w:type="dxa"/>
            <w:vAlign w:val="bottom"/>
          </w:tcPr>
          <w:p>
            <w:pPr>
              <w:jc w:val="right"/>
              <w:spacing w:after="0"/>
              <w:rPr>
                <w:sz w:val="20"/>
                <w:szCs w:val="20"/>
                <w:color w:val="auto"/>
              </w:rPr>
            </w:pPr>
            <w:r>
              <w:rPr>
                <w:rFonts w:ascii="Arial" w:cs="Arial" w:eastAsia="Arial" w:hAnsi="Arial"/>
                <w:sz w:val="15"/>
                <w:szCs w:val="15"/>
                <w:color w:val="auto"/>
              </w:rPr>
              <w:t>$ 1.50</w:t>
            </w:r>
          </w:p>
        </w:tc>
        <w:tc>
          <w:tcPr>
            <w:tcW w:w="46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5"/>
                <w:szCs w:val="15"/>
                <w:color w:val="auto"/>
              </w:rPr>
              <w:t>$ 1.09</w:t>
            </w:r>
          </w:p>
        </w:tc>
        <w:tc>
          <w:tcPr>
            <w:tcW w:w="220" w:type="dxa"/>
            <w:vAlign w:val="bottom"/>
          </w:tcPr>
          <w:p>
            <w:pPr>
              <w:spacing w:after="0"/>
              <w:rPr>
                <w:sz w:val="17"/>
                <w:szCs w:val="17"/>
                <w:color w:val="auto"/>
              </w:rPr>
            </w:pPr>
          </w:p>
        </w:tc>
        <w:tc>
          <w:tcPr>
            <w:tcW w:w="1360" w:type="dxa"/>
            <w:vAlign w:val="bottom"/>
          </w:tcPr>
          <w:p>
            <w:pPr>
              <w:jc w:val="right"/>
              <w:spacing w:after="0"/>
              <w:rPr>
                <w:sz w:val="20"/>
                <w:szCs w:val="20"/>
                <w:color w:val="auto"/>
              </w:rPr>
            </w:pPr>
            <w:r>
              <w:rPr>
                <w:rFonts w:ascii="Arial" w:cs="Arial" w:eastAsia="Arial" w:hAnsi="Arial"/>
                <w:sz w:val="15"/>
                <w:szCs w:val="15"/>
                <w:color w:val="auto"/>
              </w:rPr>
              <w:t>$ 1.71</w:t>
            </w:r>
          </w:p>
        </w:tc>
        <w:tc>
          <w:tcPr>
            <w:tcW w:w="2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000" w:type="dxa"/>
            <w:vAlign w:val="bottom"/>
          </w:tcPr>
          <w:p>
            <w:pPr>
              <w:jc w:val="right"/>
              <w:spacing w:after="0"/>
              <w:rPr>
                <w:sz w:val="20"/>
                <w:szCs w:val="20"/>
                <w:color w:val="auto"/>
              </w:rPr>
            </w:pPr>
            <w:r>
              <w:rPr>
                <w:rFonts w:ascii="Arial" w:cs="Arial" w:eastAsia="Arial" w:hAnsi="Arial"/>
                <w:sz w:val="15"/>
                <w:szCs w:val="15"/>
                <w:color w:val="auto"/>
              </w:rPr>
              <w:t>$ 1.13</w:t>
            </w:r>
          </w:p>
        </w:tc>
      </w:tr>
      <w:tr>
        <w:trPr>
          <w:trHeight w:val="22"/>
        </w:trPr>
        <w:tc>
          <w:tcPr>
            <w:tcW w:w="506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r>
      <w:tr>
        <w:trPr>
          <w:trHeight w:val="198"/>
        </w:trPr>
        <w:tc>
          <w:tcPr>
            <w:tcW w:w="5060" w:type="dxa"/>
            <w:vAlign w:val="bottom"/>
            <w:shd w:val="clear" w:color="auto" w:fill="CCEEFF"/>
          </w:tcPr>
          <w:p>
            <w:pPr>
              <w:ind w:left="620"/>
              <w:spacing w:after="0"/>
              <w:rPr>
                <w:sz w:val="20"/>
                <w:szCs w:val="20"/>
                <w:color w:val="auto"/>
              </w:rPr>
            </w:pPr>
            <w:r>
              <w:rPr>
                <w:rFonts w:ascii="Arial" w:cs="Arial" w:eastAsia="Arial" w:hAnsi="Arial"/>
                <w:sz w:val="15"/>
                <w:szCs w:val="15"/>
                <w:color w:val="auto"/>
              </w:rPr>
              <w:t>Net income attributable to common shareholders - diluted</w:t>
            </w:r>
          </w:p>
        </w:tc>
        <w:tc>
          <w:tcPr>
            <w:tcW w:w="138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$ 1.49</w:t>
            </w:r>
          </w:p>
        </w:tc>
        <w:tc>
          <w:tcPr>
            <w:tcW w:w="46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10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$ 1.08</w:t>
            </w:r>
          </w:p>
        </w:tc>
        <w:tc>
          <w:tcPr>
            <w:tcW w:w="220" w:type="dxa"/>
            <w:vAlign w:val="bottom"/>
            <w:shd w:val="clear" w:color="auto" w:fill="CCEEFF"/>
          </w:tcPr>
          <w:p>
            <w:pPr>
              <w:spacing w:after="0"/>
              <w:rPr>
                <w:sz w:val="17"/>
                <w:szCs w:val="17"/>
                <w:color w:val="auto"/>
              </w:rPr>
            </w:pPr>
          </w:p>
        </w:tc>
        <w:tc>
          <w:tcPr>
            <w:tcW w:w="1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$ 1.70</w:t>
            </w:r>
          </w:p>
        </w:tc>
        <w:tc>
          <w:tcPr>
            <w:tcW w:w="2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5"/>
                <w:szCs w:val="15"/>
                <w:color w:val="auto"/>
              </w:rPr>
              <w:t>$ 1.12</w:t>
            </w:r>
          </w:p>
        </w:tc>
      </w:tr>
      <w:tr>
        <w:trPr>
          <w:trHeight w:val="22"/>
        </w:trPr>
        <w:tc>
          <w:tcPr>
            <w:tcW w:w="5060" w:type="dxa"/>
            <w:vAlign w:val="bottom"/>
            <w:shd w:val="clear" w:color="auto" w:fill="CCEEFF"/>
          </w:tcPr>
          <w:p>
            <w:pPr>
              <w:spacing w:after="0" w:line="20" w:lineRule="exact"/>
              <w:rPr>
                <w:sz w:val="1"/>
                <w:szCs w:val="1"/>
                <w:color w:val="auto"/>
              </w:rPr>
            </w:pPr>
          </w:p>
        </w:tc>
        <w:tc>
          <w:tcPr>
            <w:tcW w:w="138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3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r>
    </w:tbl>
    <w:p>
      <w:pPr>
        <w:sectPr>
          <w:pgSz w:w="11900" w:h="16838" w:orient="portrait"/>
          <w:cols w:equalWidth="0" w:num="1">
            <w:col w:w="11460"/>
          </w:cols>
          <w:pgMar w:left="220" w:top="532" w:right="219" w:bottom="1440" w:gutter="0" w:footer="0" w:header="0"/>
        </w:sectPr>
      </w:pPr>
    </w:p>
    <w:bookmarkStart w:id="10" w:name="page11"/>
    <w:bookmarkEnd w:id="1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312420</wp:posOffset>
            </wp:positionV>
            <wp:extent cx="7214235" cy="57118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1" w:name="page12"/>
    <w:bookmarkEnd w:id="1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25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14235" cy="57257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2" w:name="page13"/>
    <w:bookmarkEnd w:id="1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8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14235" cy="57188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253365</wp:posOffset>
            </wp:positionH>
            <wp:positionV relativeFrom="page">
              <wp:posOffset>438150</wp:posOffset>
            </wp:positionV>
            <wp:extent cx="7214235" cy="57118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14235" cy="571182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
      <w:numFmt w:val="bullet"/>
      <w:start w:val="1"/>
    </w:lvl>
  </w:abstractNum>
  <w:abstractNum w:abstractNumId="2">
    <w:nsid w:val="625558EC"/>
    <w:multiLevelType w:val="hybridMultilevel"/>
    <w:lvl w:ilvl="0">
      <w:lvlJc w:val="left"/>
      <w:lvlText w:val="•"/>
      <w:numFmt w:val="bullet"/>
      <w:start w:val="1"/>
    </w:lvl>
  </w:abstractNum>
  <w:abstractNum w:abstractNumId="3">
    <w:nsid w:val="238E1F29"/>
    <w:multiLevelType w:val="hybridMultilevel"/>
    <w:lvl w:ilvl="0">
      <w:lvlJc w:val="left"/>
      <w:lvlText w:val="•"/>
      <w:numFmt w:val="bullet"/>
      <w:start w:val="1"/>
    </w:lvl>
  </w:abstractNum>
  <w:abstractNum w:abstractNumId="4">
    <w:nsid w:val="46E87CC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2020-01-17T23:20:48Z</dcterms:created>
  <dcterms:modified xsi:type="dcterms:W3CDTF">2020-01-17T23:20:48Z</dcterms:modified>
</cp:coreProperties>
</file>