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3120" w:val="left"/>
          <w:tab w:leader="none" w:pos="6260" w:val="left"/>
        </w:tabs>
        <w:rPr>
          <w:sz w:val="20"/>
          <w:szCs w:val="20"/>
          <w:color w:val="auto"/>
        </w:rPr>
      </w:pPr>
      <w:r>
        <w:rPr>
          <w:rFonts w:ascii="Arial" w:cs="Arial" w:eastAsia="Arial" w:hAnsi="Arial"/>
          <w:sz w:val="18"/>
          <w:szCs w:val="18"/>
          <w:color w:val="auto"/>
        </w:rPr>
        <w:t>CUSIP NO.723484101</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 OF 13</w:t>
      </w: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UNITED STATES</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Washington, D.C. 20549</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SCHEDULE 13G</w:t>
      </w:r>
    </w:p>
    <w:p>
      <w:pPr>
        <w:spacing w:after="0" w:line="22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Under the Securities Exchange Act of 1934</w:t>
      </w:r>
    </w:p>
    <w:p>
      <w:pPr>
        <w:spacing w:after="0" w:line="22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Pinnacle West Capital Corporation</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(Name of Issuer)</w:t>
      </w:r>
    </w:p>
    <w:p>
      <w:pPr>
        <w:spacing w:after="0" w:line="219" w:lineRule="exact"/>
        <w:rPr>
          <w:sz w:val="24"/>
          <w:szCs w:val="24"/>
          <w:color w:val="auto"/>
        </w:rPr>
      </w:pPr>
    </w:p>
    <w:p>
      <w:pPr>
        <w:ind w:left="4680"/>
        <w:spacing w:after="0"/>
        <w:rPr>
          <w:sz w:val="20"/>
          <w:szCs w:val="20"/>
          <w:color w:val="auto"/>
        </w:rPr>
      </w:pPr>
      <w:r>
        <w:rPr>
          <w:rFonts w:ascii="Arial" w:cs="Arial" w:eastAsia="Arial" w:hAnsi="Arial"/>
          <w:sz w:val="18"/>
          <w:szCs w:val="18"/>
          <w:color w:val="auto"/>
        </w:rPr>
        <w:t>Common Stock, no par value</w:t>
      </w:r>
    </w:p>
    <w:p>
      <w:pPr>
        <w:spacing w:after="0" w:line="15" w:lineRule="exact"/>
        <w:rPr>
          <w:sz w:val="24"/>
          <w:szCs w:val="24"/>
          <w:color w:val="auto"/>
        </w:rPr>
      </w:pPr>
    </w:p>
    <w:p>
      <w:pPr>
        <w:ind w:left="4720"/>
        <w:spacing w:after="0"/>
        <w:rPr>
          <w:sz w:val="20"/>
          <w:szCs w:val="20"/>
          <w:color w:val="auto"/>
        </w:rPr>
      </w:pPr>
      <w:r>
        <w:rPr>
          <w:rFonts w:ascii="Arial" w:cs="Arial" w:eastAsia="Arial" w:hAnsi="Arial"/>
          <w:sz w:val="18"/>
          <w:szCs w:val="18"/>
          <w:color w:val="auto"/>
        </w:rPr>
        <w:t>(Title of Class of Securities)</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723484101</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(CUSIP Number)</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December 31, 2005</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(Date of Event Which Requires Filing of this Statement)</w:t>
      </w:r>
    </w:p>
    <w:p>
      <w:pPr>
        <w:spacing w:after="0" w:line="219"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12" w:lineRule="exact"/>
        <w:rPr>
          <w:sz w:val="24"/>
          <w:szCs w:val="24"/>
          <w:color w:val="auto"/>
        </w:rPr>
      </w:pPr>
    </w:p>
    <w:p>
      <w:pPr>
        <w:spacing w:after="0"/>
        <w:rPr>
          <w:sz w:val="20"/>
          <w:szCs w:val="20"/>
          <w:color w:val="auto"/>
        </w:rPr>
      </w:pPr>
      <w:r>
        <w:rPr>
          <w:rFonts w:ascii="Arial" w:cs="Arial" w:eastAsia="Arial" w:hAnsi="Arial"/>
          <w:sz w:val="22"/>
          <w:szCs w:val="22"/>
          <w:color w:val="auto"/>
        </w:rPr>
        <w:t xml:space="preserve">x </w:t>
      </w:r>
      <w:r>
        <w:rPr>
          <w:rFonts w:ascii="Arial" w:cs="Arial" w:eastAsia="Arial" w:hAnsi="Arial"/>
          <w:sz w:val="17"/>
          <w:szCs w:val="17"/>
          <w:color w:val="auto"/>
        </w:rPr>
        <w:t>Rule 13d-1(b)</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auto"/>
        </w:rPr>
        <w:t>o Rule 13d-1(c)</w:t>
      </w:r>
    </w:p>
    <w:p>
      <w:pPr>
        <w:spacing w:after="0" w:line="1" w:lineRule="exact"/>
        <w:rPr>
          <w:sz w:val="24"/>
          <w:szCs w:val="24"/>
          <w:color w:val="auto"/>
        </w:rPr>
      </w:pPr>
    </w:p>
    <w:p>
      <w:pPr>
        <w:spacing w:after="0"/>
        <w:rPr>
          <w:sz w:val="20"/>
          <w:szCs w:val="20"/>
          <w:color w:val="auto"/>
        </w:rPr>
      </w:pPr>
      <w:r>
        <w:rPr>
          <w:rFonts w:ascii="Arial" w:cs="Arial" w:eastAsia="Arial" w:hAnsi="Arial"/>
          <w:sz w:val="18"/>
          <w:szCs w:val="18"/>
          <w:color w:val="auto"/>
        </w:rPr>
        <w:t>o Rule 13d-1(d)</w:t>
      </w:r>
    </w:p>
    <w:p>
      <w:pPr>
        <w:spacing w:after="0" w:line="219"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60"/>
        <w:spacing w:after="0" w:line="33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180"/>
          </w:cols>
          <w:pgMar w:left="240" w:top="239" w:right="47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22"/>
        </w:trPr>
        <w:tc>
          <w:tcPr>
            <w:tcW w:w="2380" w:type="dxa"/>
            <w:vAlign w:val="bottom"/>
          </w:tcPr>
          <w:p>
            <w:pPr>
              <w:spacing w:after="0"/>
              <w:rPr>
                <w:sz w:val="20"/>
                <w:szCs w:val="20"/>
                <w:color w:val="auto"/>
              </w:rPr>
            </w:pPr>
            <w:r>
              <w:rPr>
                <w:rFonts w:ascii="Arial" w:cs="Arial" w:eastAsia="Arial" w:hAnsi="Arial"/>
                <w:sz w:val="18"/>
                <w:szCs w:val="18"/>
                <w:color w:val="auto"/>
              </w:rPr>
              <w:t>CUSIP NO.723484101</w:t>
            </w:r>
          </w:p>
        </w:tc>
        <w:tc>
          <w:tcPr>
            <w:tcW w:w="1700" w:type="dxa"/>
            <w:vAlign w:val="bottom"/>
          </w:tcPr>
          <w:p>
            <w:pPr>
              <w:ind w:left="760"/>
              <w:spacing w:after="0"/>
              <w:rPr>
                <w:sz w:val="20"/>
                <w:szCs w:val="20"/>
                <w:color w:val="auto"/>
              </w:rPr>
            </w:pPr>
            <w:r>
              <w:rPr>
                <w:rFonts w:ascii="Arial" w:cs="Arial" w:eastAsia="Arial" w:hAnsi="Arial"/>
                <w:sz w:val="18"/>
                <w:szCs w:val="18"/>
                <w:color w:val="auto"/>
              </w:rPr>
              <w:t>13G</w:t>
            </w:r>
          </w:p>
        </w:tc>
        <w:tc>
          <w:tcPr>
            <w:tcW w:w="5280" w:type="dxa"/>
            <w:vAlign w:val="bottom"/>
          </w:tcPr>
          <w:p>
            <w:pPr>
              <w:ind w:left="2200"/>
              <w:spacing w:after="0"/>
              <w:rPr>
                <w:sz w:val="20"/>
                <w:szCs w:val="20"/>
                <w:color w:val="auto"/>
              </w:rPr>
            </w:pPr>
            <w:r>
              <w:rPr>
                <w:rFonts w:ascii="Arial" w:cs="Arial" w:eastAsia="Arial" w:hAnsi="Arial"/>
                <w:sz w:val="18"/>
                <w:szCs w:val="18"/>
                <w:color w:val="auto"/>
              </w:rPr>
              <w:t>PAGE 2 OF 13</w:t>
            </w:r>
          </w:p>
        </w:tc>
      </w:tr>
      <w:tr>
        <w:trPr>
          <w:trHeight w:val="696"/>
        </w:trPr>
        <w:tc>
          <w:tcPr>
            <w:tcW w:w="2380" w:type="dxa"/>
            <w:vAlign w:val="bottom"/>
          </w:tcPr>
          <w:p>
            <w:pPr>
              <w:spacing w:after="0"/>
              <w:rPr>
                <w:sz w:val="20"/>
                <w:szCs w:val="20"/>
                <w:color w:val="auto"/>
              </w:rPr>
            </w:pPr>
            <w:r>
              <w:rPr>
                <w:rFonts w:ascii="Arial" w:cs="Arial" w:eastAsia="Arial" w:hAnsi="Arial"/>
                <w:sz w:val="22"/>
                <w:szCs w:val="22"/>
                <w:color w:val="auto"/>
              </w:rPr>
              <w:t>1.</w:t>
            </w: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38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38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PERSONS (ENTITIES ONLY).</w:t>
            </w:r>
          </w:p>
        </w:tc>
      </w:tr>
      <w:tr>
        <w:trPr>
          <w:trHeight w:val="513"/>
        </w:trPr>
        <w:tc>
          <w:tcPr>
            <w:tcW w:w="23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Franklin Resources, Inc. (13-2670991)</w:t>
            </w:r>
          </w:p>
        </w:tc>
      </w:tr>
      <w:tr>
        <w:trPr>
          <w:trHeight w:val="711"/>
        </w:trPr>
        <w:tc>
          <w:tcPr>
            <w:tcW w:w="2380" w:type="dxa"/>
            <w:vAlign w:val="bottom"/>
          </w:tcPr>
          <w:p>
            <w:pPr>
              <w:spacing w:after="0"/>
              <w:rPr>
                <w:sz w:val="20"/>
                <w:szCs w:val="20"/>
                <w:color w:val="auto"/>
              </w:rPr>
            </w:pPr>
            <w:r>
              <w:rPr>
                <w:rFonts w:ascii="Arial" w:cs="Arial" w:eastAsia="Arial" w:hAnsi="Arial"/>
                <w:sz w:val="22"/>
                <w:szCs w:val="22"/>
                <w:color w:val="auto"/>
              </w:rPr>
              <w:t>2.</w:t>
            </w: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38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OF A GROUP</w:t>
            </w:r>
          </w:p>
        </w:tc>
      </w:tr>
      <w:tr>
        <w:trPr>
          <w:trHeight w:val="495"/>
        </w:trPr>
        <w:tc>
          <w:tcPr>
            <w:tcW w:w="23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(a)</w:t>
            </w:r>
          </w:p>
        </w:tc>
      </w:tr>
      <w:tr>
        <w:trPr>
          <w:trHeight w:val="275"/>
        </w:trPr>
        <w:tc>
          <w:tcPr>
            <w:tcW w:w="238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(b) X</w:t>
            </w:r>
          </w:p>
        </w:tc>
      </w:tr>
      <w:tr>
        <w:trPr>
          <w:trHeight w:val="500"/>
        </w:trPr>
        <w:tc>
          <w:tcPr>
            <w:tcW w:w="2380" w:type="dxa"/>
            <w:vAlign w:val="bottom"/>
          </w:tcPr>
          <w:p>
            <w:pPr>
              <w:spacing w:after="0"/>
              <w:rPr>
                <w:sz w:val="20"/>
                <w:szCs w:val="20"/>
                <w:color w:val="auto"/>
              </w:rPr>
            </w:pPr>
            <w:r>
              <w:rPr>
                <w:rFonts w:ascii="Arial" w:cs="Arial" w:eastAsia="Arial" w:hAnsi="Arial"/>
                <w:sz w:val="22"/>
                <w:szCs w:val="22"/>
                <w:color w:val="auto"/>
              </w:rPr>
              <w:t>3.</w:t>
            </w: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SEC USE ONLY</w:t>
            </w:r>
          </w:p>
        </w:tc>
      </w:tr>
      <w:tr>
        <w:trPr>
          <w:trHeight w:val="486"/>
        </w:trPr>
        <w:tc>
          <w:tcPr>
            <w:tcW w:w="2380" w:type="dxa"/>
            <w:vAlign w:val="bottom"/>
          </w:tcPr>
          <w:p>
            <w:pPr>
              <w:spacing w:after="0"/>
              <w:rPr>
                <w:sz w:val="20"/>
                <w:szCs w:val="20"/>
                <w:color w:val="auto"/>
              </w:rPr>
            </w:pPr>
            <w:r>
              <w:rPr>
                <w:rFonts w:ascii="Arial" w:cs="Arial" w:eastAsia="Arial" w:hAnsi="Arial"/>
                <w:sz w:val="22"/>
                <w:szCs w:val="22"/>
                <w:color w:val="auto"/>
              </w:rPr>
              <w:t>4.</w:t>
            </w: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3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Delaware</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00" w:lineRule="exact"/>
        <w:rPr>
          <w:sz w:val="20"/>
          <w:szCs w:val="20"/>
          <w:color w:val="auto"/>
        </w:rPr>
      </w:pP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5,928,150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711"/>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6.0%</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HC (See Item 4)</w:t>
            </w:r>
          </w:p>
        </w:tc>
      </w:tr>
    </w:tbl>
    <w:p>
      <w:pPr>
        <w:sectPr>
          <w:pgSz w:w="11900" w:h="16838" w:orient="portrait"/>
          <w:cols w:equalWidth="0" w:num="1">
            <w:col w:w="10219"/>
          </w:cols>
          <w:pgMar w:left="240" w:top="131" w:right="1440"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580" w:type="dxa"/>
            <w:vAlign w:val="bottom"/>
          </w:tcPr>
          <w:p>
            <w:pPr>
              <w:spacing w:after="0"/>
              <w:rPr>
                <w:sz w:val="20"/>
                <w:szCs w:val="20"/>
                <w:color w:val="auto"/>
              </w:rPr>
            </w:pPr>
            <w:r>
              <w:rPr>
                <w:rFonts w:ascii="Arial" w:cs="Arial" w:eastAsia="Arial" w:hAnsi="Arial"/>
                <w:sz w:val="22"/>
                <w:szCs w:val="22"/>
                <w:color w:val="auto"/>
              </w:rPr>
              <w:t>CUSIP NO.723484101</w:t>
            </w:r>
          </w:p>
        </w:tc>
        <w:tc>
          <w:tcPr>
            <w:tcW w:w="1540" w:type="dxa"/>
            <w:vAlign w:val="bottom"/>
          </w:tcPr>
          <w:p>
            <w:pPr>
              <w:ind w:left="560"/>
              <w:spacing w:after="0"/>
              <w:rPr>
                <w:sz w:val="20"/>
                <w:szCs w:val="20"/>
                <w:color w:val="auto"/>
              </w:rPr>
            </w:pPr>
            <w:r>
              <w:rPr>
                <w:rFonts w:ascii="Arial" w:cs="Arial" w:eastAsia="Arial" w:hAnsi="Arial"/>
                <w:sz w:val="22"/>
                <w:szCs w:val="22"/>
                <w:color w:val="auto"/>
              </w:rPr>
              <w:t>13G</w:t>
            </w:r>
          </w:p>
        </w:tc>
        <w:tc>
          <w:tcPr>
            <w:tcW w:w="5240" w:type="dxa"/>
            <w:vAlign w:val="bottom"/>
          </w:tcPr>
          <w:p>
            <w:pPr>
              <w:ind w:left="2160"/>
              <w:spacing w:after="0"/>
              <w:rPr>
                <w:sz w:val="20"/>
                <w:szCs w:val="20"/>
                <w:color w:val="auto"/>
              </w:rPr>
            </w:pPr>
            <w:r>
              <w:rPr>
                <w:rFonts w:ascii="Arial" w:cs="Arial" w:eastAsia="Arial" w:hAnsi="Arial"/>
                <w:sz w:val="22"/>
                <w:szCs w:val="22"/>
                <w:color w:val="auto"/>
              </w:rPr>
              <w:t>PAGE 3 OF 13</w:t>
            </w:r>
          </w:p>
        </w:tc>
      </w:tr>
      <w:tr>
        <w:trPr>
          <w:trHeight w:val="684"/>
        </w:trPr>
        <w:tc>
          <w:tcPr>
            <w:tcW w:w="2580" w:type="dxa"/>
            <w:vAlign w:val="bottom"/>
          </w:tcPr>
          <w:p>
            <w:pPr>
              <w:spacing w:after="0"/>
              <w:rPr>
                <w:sz w:val="20"/>
                <w:szCs w:val="20"/>
                <w:color w:val="auto"/>
              </w:rPr>
            </w:pPr>
            <w:r>
              <w:rPr>
                <w:rFonts w:ascii="Arial" w:cs="Arial" w:eastAsia="Arial" w:hAnsi="Arial"/>
                <w:sz w:val="22"/>
                <w:szCs w:val="22"/>
                <w:color w:val="auto"/>
              </w:rPr>
              <w:t>1.</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PERSONS (ENTITIES ONLY).</w:t>
            </w:r>
          </w:p>
        </w:tc>
      </w:tr>
      <w:tr>
        <w:trPr>
          <w:trHeight w:val="513"/>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Charles B. Johnson</w:t>
            </w:r>
          </w:p>
        </w:tc>
      </w:tr>
      <w:tr>
        <w:trPr>
          <w:trHeight w:val="711"/>
        </w:trPr>
        <w:tc>
          <w:tcPr>
            <w:tcW w:w="2580" w:type="dxa"/>
            <w:vAlign w:val="bottom"/>
          </w:tcPr>
          <w:p>
            <w:pPr>
              <w:spacing w:after="0"/>
              <w:rPr>
                <w:sz w:val="20"/>
                <w:szCs w:val="20"/>
                <w:color w:val="auto"/>
              </w:rPr>
            </w:pPr>
            <w:r>
              <w:rPr>
                <w:rFonts w:ascii="Arial" w:cs="Arial" w:eastAsia="Arial" w:hAnsi="Arial"/>
                <w:sz w:val="22"/>
                <w:szCs w:val="22"/>
                <w:color w:val="auto"/>
              </w:rPr>
              <w:t>2.</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OF A GROUP</w:t>
            </w:r>
          </w:p>
        </w:tc>
      </w:tr>
      <w:tr>
        <w:trPr>
          <w:trHeight w:val="482"/>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(a)</w:t>
            </w:r>
          </w:p>
        </w:tc>
      </w:tr>
      <w:tr>
        <w:trPr>
          <w:trHeight w:val="275"/>
        </w:trPr>
        <w:tc>
          <w:tcPr>
            <w:tcW w:w="2580" w:type="dxa"/>
            <w:vAlign w:val="bottom"/>
          </w:tcPr>
          <w:p>
            <w:pPr>
              <w:spacing w:after="0"/>
              <w:rPr>
                <w:sz w:val="23"/>
                <w:szCs w:val="23"/>
                <w:color w:val="auto"/>
              </w:rPr>
            </w:pPr>
          </w:p>
        </w:tc>
        <w:tc>
          <w:tcPr>
            <w:tcW w:w="1540" w:type="dxa"/>
            <w:vAlign w:val="bottom"/>
          </w:tcPr>
          <w:p>
            <w:pPr>
              <w:ind w:left="560"/>
              <w:spacing w:after="0"/>
              <w:rPr>
                <w:sz w:val="20"/>
                <w:szCs w:val="20"/>
                <w:color w:val="auto"/>
              </w:rPr>
            </w:pPr>
            <w:r>
              <w:rPr>
                <w:rFonts w:ascii="Arial" w:cs="Arial" w:eastAsia="Arial" w:hAnsi="Arial"/>
                <w:sz w:val="22"/>
                <w:szCs w:val="22"/>
                <w:color w:val="auto"/>
              </w:rPr>
              <w:t>(b)</w:t>
            </w:r>
          </w:p>
        </w:tc>
        <w:tc>
          <w:tcPr>
            <w:tcW w:w="5240" w:type="dxa"/>
            <w:vAlign w:val="bottom"/>
          </w:tcPr>
          <w:p>
            <w:pPr>
              <w:ind w:left="2160"/>
              <w:spacing w:after="0"/>
              <w:rPr>
                <w:sz w:val="20"/>
                <w:szCs w:val="20"/>
                <w:color w:val="auto"/>
              </w:rPr>
            </w:pPr>
            <w:r>
              <w:rPr>
                <w:rFonts w:ascii="Arial" w:cs="Arial" w:eastAsia="Arial" w:hAnsi="Arial"/>
                <w:sz w:val="22"/>
                <w:szCs w:val="22"/>
                <w:color w:val="auto"/>
              </w:rPr>
              <w:t>X</w:t>
            </w:r>
          </w:p>
        </w:tc>
      </w:tr>
      <w:tr>
        <w:trPr>
          <w:trHeight w:val="513"/>
        </w:trPr>
        <w:tc>
          <w:tcPr>
            <w:tcW w:w="2580" w:type="dxa"/>
            <w:vAlign w:val="bottom"/>
          </w:tcPr>
          <w:p>
            <w:pPr>
              <w:spacing w:after="0"/>
              <w:rPr>
                <w:sz w:val="20"/>
                <w:szCs w:val="20"/>
                <w:color w:val="auto"/>
              </w:rPr>
            </w:pPr>
            <w:r>
              <w:rPr>
                <w:rFonts w:ascii="Arial" w:cs="Arial" w:eastAsia="Arial" w:hAnsi="Arial"/>
                <w:sz w:val="22"/>
                <w:szCs w:val="22"/>
                <w:color w:val="auto"/>
              </w:rPr>
              <w:t>3.</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SEC USE ONLY</w:t>
            </w:r>
          </w:p>
        </w:tc>
      </w:tr>
      <w:tr>
        <w:trPr>
          <w:trHeight w:val="486"/>
        </w:trPr>
        <w:tc>
          <w:tcPr>
            <w:tcW w:w="2580" w:type="dxa"/>
            <w:vAlign w:val="bottom"/>
          </w:tcPr>
          <w:p>
            <w:pPr>
              <w:spacing w:after="0"/>
              <w:rPr>
                <w:sz w:val="20"/>
                <w:szCs w:val="20"/>
                <w:color w:val="auto"/>
              </w:rPr>
            </w:pPr>
            <w:r>
              <w:rPr>
                <w:rFonts w:ascii="Arial" w:cs="Arial" w:eastAsia="Arial" w:hAnsi="Arial"/>
                <w:sz w:val="22"/>
                <w:szCs w:val="22"/>
                <w:color w:val="auto"/>
              </w:rPr>
              <w:t>4.</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USA</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00" w:lineRule="exact"/>
        <w:rPr>
          <w:sz w:val="20"/>
          <w:szCs w:val="20"/>
          <w:color w:val="auto"/>
        </w:rPr>
      </w:pP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5,928,150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711"/>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6.0%</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HC (See Item 4)</w:t>
            </w:r>
          </w:p>
        </w:tc>
      </w:tr>
    </w:tbl>
    <w:p>
      <w:pPr>
        <w:sectPr>
          <w:pgSz w:w="11900" w:h="16838" w:orient="portrait"/>
          <w:cols w:equalWidth="0" w:num="1">
            <w:col w:w="10219"/>
          </w:cols>
          <w:pgMar w:left="240" w:top="118" w:right="1440"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580" w:type="dxa"/>
            <w:vAlign w:val="bottom"/>
          </w:tcPr>
          <w:p>
            <w:pPr>
              <w:spacing w:after="0"/>
              <w:rPr>
                <w:sz w:val="20"/>
                <w:szCs w:val="20"/>
                <w:color w:val="auto"/>
              </w:rPr>
            </w:pPr>
            <w:r>
              <w:rPr>
                <w:rFonts w:ascii="Arial" w:cs="Arial" w:eastAsia="Arial" w:hAnsi="Arial"/>
                <w:sz w:val="22"/>
                <w:szCs w:val="22"/>
                <w:color w:val="auto"/>
              </w:rPr>
              <w:t>CUSIP NO.723484101</w:t>
            </w:r>
          </w:p>
        </w:tc>
        <w:tc>
          <w:tcPr>
            <w:tcW w:w="1540" w:type="dxa"/>
            <w:vAlign w:val="bottom"/>
          </w:tcPr>
          <w:p>
            <w:pPr>
              <w:ind w:left="560"/>
              <w:spacing w:after="0"/>
              <w:rPr>
                <w:sz w:val="20"/>
                <w:szCs w:val="20"/>
                <w:color w:val="auto"/>
              </w:rPr>
            </w:pPr>
            <w:r>
              <w:rPr>
                <w:rFonts w:ascii="Arial" w:cs="Arial" w:eastAsia="Arial" w:hAnsi="Arial"/>
                <w:sz w:val="22"/>
                <w:szCs w:val="22"/>
                <w:color w:val="auto"/>
              </w:rPr>
              <w:t>13G</w:t>
            </w:r>
          </w:p>
        </w:tc>
        <w:tc>
          <w:tcPr>
            <w:tcW w:w="5240" w:type="dxa"/>
            <w:vAlign w:val="bottom"/>
          </w:tcPr>
          <w:p>
            <w:pPr>
              <w:ind w:left="2160"/>
              <w:spacing w:after="0"/>
              <w:rPr>
                <w:sz w:val="20"/>
                <w:szCs w:val="20"/>
                <w:color w:val="auto"/>
              </w:rPr>
            </w:pPr>
            <w:r>
              <w:rPr>
                <w:rFonts w:ascii="Arial" w:cs="Arial" w:eastAsia="Arial" w:hAnsi="Arial"/>
                <w:sz w:val="22"/>
                <w:szCs w:val="22"/>
                <w:color w:val="auto"/>
              </w:rPr>
              <w:t>PAGE 4 OF 13</w:t>
            </w:r>
          </w:p>
        </w:tc>
      </w:tr>
      <w:tr>
        <w:trPr>
          <w:trHeight w:val="684"/>
        </w:trPr>
        <w:tc>
          <w:tcPr>
            <w:tcW w:w="2580" w:type="dxa"/>
            <w:vAlign w:val="bottom"/>
          </w:tcPr>
          <w:p>
            <w:pPr>
              <w:spacing w:after="0"/>
              <w:rPr>
                <w:sz w:val="20"/>
                <w:szCs w:val="20"/>
                <w:color w:val="auto"/>
              </w:rPr>
            </w:pPr>
            <w:r>
              <w:rPr>
                <w:rFonts w:ascii="Arial" w:cs="Arial" w:eastAsia="Arial" w:hAnsi="Arial"/>
                <w:sz w:val="22"/>
                <w:szCs w:val="22"/>
                <w:color w:val="auto"/>
              </w:rPr>
              <w:t>1.</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PERSONS (ENTITIES ONLY).</w:t>
            </w:r>
          </w:p>
        </w:tc>
      </w:tr>
      <w:tr>
        <w:trPr>
          <w:trHeight w:val="513"/>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Rupert H. Johnson, Jr.</w:t>
            </w:r>
          </w:p>
        </w:tc>
      </w:tr>
      <w:tr>
        <w:trPr>
          <w:trHeight w:val="711"/>
        </w:trPr>
        <w:tc>
          <w:tcPr>
            <w:tcW w:w="2580" w:type="dxa"/>
            <w:vAlign w:val="bottom"/>
          </w:tcPr>
          <w:p>
            <w:pPr>
              <w:spacing w:after="0"/>
              <w:rPr>
                <w:sz w:val="20"/>
                <w:szCs w:val="20"/>
                <w:color w:val="auto"/>
              </w:rPr>
            </w:pPr>
            <w:r>
              <w:rPr>
                <w:rFonts w:ascii="Arial" w:cs="Arial" w:eastAsia="Arial" w:hAnsi="Arial"/>
                <w:sz w:val="22"/>
                <w:szCs w:val="22"/>
                <w:color w:val="auto"/>
              </w:rPr>
              <w:t>2.</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OF A GROUP</w:t>
            </w:r>
          </w:p>
        </w:tc>
      </w:tr>
      <w:tr>
        <w:trPr>
          <w:trHeight w:val="482"/>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(a)</w:t>
            </w:r>
          </w:p>
        </w:tc>
      </w:tr>
      <w:tr>
        <w:trPr>
          <w:trHeight w:val="275"/>
        </w:trPr>
        <w:tc>
          <w:tcPr>
            <w:tcW w:w="2580" w:type="dxa"/>
            <w:vAlign w:val="bottom"/>
          </w:tcPr>
          <w:p>
            <w:pPr>
              <w:spacing w:after="0"/>
              <w:rPr>
                <w:sz w:val="23"/>
                <w:szCs w:val="23"/>
                <w:color w:val="auto"/>
              </w:rPr>
            </w:pPr>
          </w:p>
        </w:tc>
        <w:tc>
          <w:tcPr>
            <w:tcW w:w="1540" w:type="dxa"/>
            <w:vAlign w:val="bottom"/>
          </w:tcPr>
          <w:p>
            <w:pPr>
              <w:ind w:left="560"/>
              <w:spacing w:after="0"/>
              <w:rPr>
                <w:sz w:val="20"/>
                <w:szCs w:val="20"/>
                <w:color w:val="auto"/>
              </w:rPr>
            </w:pPr>
            <w:r>
              <w:rPr>
                <w:rFonts w:ascii="Arial" w:cs="Arial" w:eastAsia="Arial" w:hAnsi="Arial"/>
                <w:sz w:val="22"/>
                <w:szCs w:val="22"/>
                <w:color w:val="auto"/>
              </w:rPr>
              <w:t>(b)</w:t>
            </w:r>
          </w:p>
        </w:tc>
        <w:tc>
          <w:tcPr>
            <w:tcW w:w="5240" w:type="dxa"/>
            <w:vAlign w:val="bottom"/>
          </w:tcPr>
          <w:p>
            <w:pPr>
              <w:ind w:left="2160"/>
              <w:spacing w:after="0"/>
              <w:rPr>
                <w:sz w:val="20"/>
                <w:szCs w:val="20"/>
                <w:color w:val="auto"/>
              </w:rPr>
            </w:pPr>
            <w:r>
              <w:rPr>
                <w:rFonts w:ascii="Arial" w:cs="Arial" w:eastAsia="Arial" w:hAnsi="Arial"/>
                <w:sz w:val="22"/>
                <w:szCs w:val="22"/>
                <w:color w:val="auto"/>
              </w:rPr>
              <w:t>X</w:t>
            </w:r>
          </w:p>
        </w:tc>
      </w:tr>
      <w:tr>
        <w:trPr>
          <w:trHeight w:val="513"/>
        </w:trPr>
        <w:tc>
          <w:tcPr>
            <w:tcW w:w="2580" w:type="dxa"/>
            <w:vAlign w:val="bottom"/>
          </w:tcPr>
          <w:p>
            <w:pPr>
              <w:spacing w:after="0"/>
              <w:rPr>
                <w:sz w:val="20"/>
                <w:szCs w:val="20"/>
                <w:color w:val="auto"/>
              </w:rPr>
            </w:pPr>
            <w:r>
              <w:rPr>
                <w:rFonts w:ascii="Arial" w:cs="Arial" w:eastAsia="Arial" w:hAnsi="Arial"/>
                <w:sz w:val="22"/>
                <w:szCs w:val="22"/>
                <w:color w:val="auto"/>
              </w:rPr>
              <w:t>3.</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SEC USE ONLY</w:t>
            </w:r>
          </w:p>
        </w:tc>
      </w:tr>
      <w:tr>
        <w:trPr>
          <w:trHeight w:val="486"/>
        </w:trPr>
        <w:tc>
          <w:tcPr>
            <w:tcW w:w="2580" w:type="dxa"/>
            <w:vAlign w:val="bottom"/>
          </w:tcPr>
          <w:p>
            <w:pPr>
              <w:spacing w:after="0"/>
              <w:rPr>
                <w:sz w:val="20"/>
                <w:szCs w:val="20"/>
                <w:color w:val="auto"/>
              </w:rPr>
            </w:pPr>
            <w:r>
              <w:rPr>
                <w:rFonts w:ascii="Arial" w:cs="Arial" w:eastAsia="Arial" w:hAnsi="Arial"/>
                <w:sz w:val="22"/>
                <w:szCs w:val="22"/>
                <w:color w:val="auto"/>
              </w:rPr>
              <w:t>4.</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USA</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5,928,150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711"/>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6.0%</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HC (See Item 4)</w:t>
            </w:r>
          </w:p>
        </w:tc>
      </w:tr>
    </w:tbl>
    <w:p>
      <w:pPr>
        <w:sectPr>
          <w:pgSz w:w="11900" w:h="16838" w:orient="portrait"/>
          <w:cols w:equalWidth="0" w:num="1">
            <w:col w:w="10219"/>
          </w:cols>
          <w:pgMar w:left="240" w:top="118" w:right="1440" w:bottom="144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580" w:type="dxa"/>
            <w:vAlign w:val="bottom"/>
          </w:tcPr>
          <w:p>
            <w:pPr>
              <w:spacing w:after="0"/>
              <w:rPr>
                <w:sz w:val="20"/>
                <w:szCs w:val="20"/>
                <w:color w:val="auto"/>
              </w:rPr>
            </w:pPr>
            <w:r>
              <w:rPr>
                <w:rFonts w:ascii="Arial" w:cs="Arial" w:eastAsia="Arial" w:hAnsi="Arial"/>
                <w:sz w:val="22"/>
                <w:szCs w:val="22"/>
                <w:color w:val="auto"/>
              </w:rPr>
              <w:t>CUSIP NO.723484101</w:t>
            </w:r>
          </w:p>
        </w:tc>
        <w:tc>
          <w:tcPr>
            <w:tcW w:w="1540" w:type="dxa"/>
            <w:vAlign w:val="bottom"/>
          </w:tcPr>
          <w:p>
            <w:pPr>
              <w:ind w:left="560"/>
              <w:spacing w:after="0"/>
              <w:rPr>
                <w:sz w:val="20"/>
                <w:szCs w:val="20"/>
                <w:color w:val="auto"/>
              </w:rPr>
            </w:pPr>
            <w:r>
              <w:rPr>
                <w:rFonts w:ascii="Arial" w:cs="Arial" w:eastAsia="Arial" w:hAnsi="Arial"/>
                <w:sz w:val="22"/>
                <w:szCs w:val="22"/>
                <w:color w:val="auto"/>
              </w:rPr>
              <w:t>13G</w:t>
            </w:r>
          </w:p>
        </w:tc>
        <w:tc>
          <w:tcPr>
            <w:tcW w:w="5240" w:type="dxa"/>
            <w:vAlign w:val="bottom"/>
          </w:tcPr>
          <w:p>
            <w:pPr>
              <w:ind w:left="2160"/>
              <w:spacing w:after="0"/>
              <w:rPr>
                <w:sz w:val="20"/>
                <w:szCs w:val="20"/>
                <w:color w:val="auto"/>
              </w:rPr>
            </w:pPr>
            <w:r>
              <w:rPr>
                <w:rFonts w:ascii="Arial" w:cs="Arial" w:eastAsia="Arial" w:hAnsi="Arial"/>
                <w:sz w:val="22"/>
                <w:szCs w:val="22"/>
                <w:color w:val="auto"/>
              </w:rPr>
              <w:t>PAGE 5 OF 13</w:t>
            </w:r>
          </w:p>
        </w:tc>
      </w:tr>
      <w:tr>
        <w:trPr>
          <w:trHeight w:val="684"/>
        </w:trPr>
        <w:tc>
          <w:tcPr>
            <w:tcW w:w="2580" w:type="dxa"/>
            <w:vAlign w:val="bottom"/>
          </w:tcPr>
          <w:p>
            <w:pPr>
              <w:spacing w:after="0"/>
              <w:rPr>
                <w:sz w:val="20"/>
                <w:szCs w:val="20"/>
                <w:color w:val="auto"/>
              </w:rPr>
            </w:pPr>
            <w:r>
              <w:rPr>
                <w:rFonts w:ascii="Arial" w:cs="Arial" w:eastAsia="Arial" w:hAnsi="Arial"/>
                <w:sz w:val="22"/>
                <w:szCs w:val="22"/>
                <w:color w:val="auto"/>
              </w:rPr>
              <w:t>1.</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PERSONS (ENTITIES ONLY).</w:t>
            </w:r>
          </w:p>
        </w:tc>
      </w:tr>
      <w:tr>
        <w:trPr>
          <w:trHeight w:val="513"/>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Franklin Advisers, Inc.</w:t>
            </w:r>
          </w:p>
        </w:tc>
      </w:tr>
      <w:tr>
        <w:trPr>
          <w:trHeight w:val="711"/>
        </w:trPr>
        <w:tc>
          <w:tcPr>
            <w:tcW w:w="2580" w:type="dxa"/>
            <w:vAlign w:val="bottom"/>
          </w:tcPr>
          <w:p>
            <w:pPr>
              <w:spacing w:after="0"/>
              <w:rPr>
                <w:sz w:val="20"/>
                <w:szCs w:val="20"/>
                <w:color w:val="auto"/>
              </w:rPr>
            </w:pPr>
            <w:r>
              <w:rPr>
                <w:rFonts w:ascii="Arial" w:cs="Arial" w:eastAsia="Arial" w:hAnsi="Arial"/>
                <w:sz w:val="22"/>
                <w:szCs w:val="22"/>
                <w:color w:val="auto"/>
              </w:rPr>
              <w:t>2.</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5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OF A GROUP</w:t>
            </w:r>
          </w:p>
        </w:tc>
      </w:tr>
      <w:tr>
        <w:trPr>
          <w:trHeight w:val="482"/>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(a)</w:t>
            </w:r>
          </w:p>
        </w:tc>
      </w:tr>
      <w:tr>
        <w:trPr>
          <w:trHeight w:val="275"/>
        </w:trPr>
        <w:tc>
          <w:tcPr>
            <w:tcW w:w="2580" w:type="dxa"/>
            <w:vAlign w:val="bottom"/>
          </w:tcPr>
          <w:p>
            <w:pPr>
              <w:spacing w:after="0"/>
              <w:rPr>
                <w:sz w:val="23"/>
                <w:szCs w:val="23"/>
                <w:color w:val="auto"/>
              </w:rPr>
            </w:pPr>
          </w:p>
        </w:tc>
        <w:tc>
          <w:tcPr>
            <w:tcW w:w="1540" w:type="dxa"/>
            <w:vAlign w:val="bottom"/>
          </w:tcPr>
          <w:p>
            <w:pPr>
              <w:ind w:left="560"/>
              <w:spacing w:after="0"/>
              <w:rPr>
                <w:sz w:val="20"/>
                <w:szCs w:val="20"/>
                <w:color w:val="auto"/>
              </w:rPr>
            </w:pPr>
            <w:r>
              <w:rPr>
                <w:rFonts w:ascii="Arial" w:cs="Arial" w:eastAsia="Arial" w:hAnsi="Arial"/>
                <w:sz w:val="22"/>
                <w:szCs w:val="22"/>
                <w:color w:val="auto"/>
              </w:rPr>
              <w:t>(b)</w:t>
            </w:r>
          </w:p>
        </w:tc>
        <w:tc>
          <w:tcPr>
            <w:tcW w:w="5240" w:type="dxa"/>
            <w:vAlign w:val="bottom"/>
          </w:tcPr>
          <w:p>
            <w:pPr>
              <w:ind w:left="2160"/>
              <w:spacing w:after="0"/>
              <w:rPr>
                <w:sz w:val="20"/>
                <w:szCs w:val="20"/>
                <w:color w:val="auto"/>
              </w:rPr>
            </w:pPr>
            <w:r>
              <w:rPr>
                <w:rFonts w:ascii="Arial" w:cs="Arial" w:eastAsia="Arial" w:hAnsi="Arial"/>
                <w:sz w:val="22"/>
                <w:szCs w:val="22"/>
                <w:color w:val="auto"/>
              </w:rPr>
              <w:t>X</w:t>
            </w:r>
          </w:p>
        </w:tc>
      </w:tr>
      <w:tr>
        <w:trPr>
          <w:trHeight w:val="513"/>
        </w:trPr>
        <w:tc>
          <w:tcPr>
            <w:tcW w:w="2580" w:type="dxa"/>
            <w:vAlign w:val="bottom"/>
          </w:tcPr>
          <w:p>
            <w:pPr>
              <w:spacing w:after="0"/>
              <w:rPr>
                <w:sz w:val="20"/>
                <w:szCs w:val="20"/>
                <w:color w:val="auto"/>
              </w:rPr>
            </w:pPr>
            <w:r>
              <w:rPr>
                <w:rFonts w:ascii="Arial" w:cs="Arial" w:eastAsia="Arial" w:hAnsi="Arial"/>
                <w:sz w:val="22"/>
                <w:szCs w:val="22"/>
                <w:color w:val="auto"/>
              </w:rPr>
              <w:t>3.</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SEC USE ONLY</w:t>
            </w:r>
          </w:p>
        </w:tc>
      </w:tr>
      <w:tr>
        <w:trPr>
          <w:trHeight w:val="486"/>
        </w:trPr>
        <w:tc>
          <w:tcPr>
            <w:tcW w:w="2580" w:type="dxa"/>
            <w:vAlign w:val="bottom"/>
          </w:tcPr>
          <w:p>
            <w:pPr>
              <w:spacing w:after="0"/>
              <w:rPr>
                <w:sz w:val="20"/>
                <w:szCs w:val="20"/>
                <w:color w:val="auto"/>
              </w:rPr>
            </w:pPr>
            <w:r>
              <w:rPr>
                <w:rFonts w:ascii="Arial" w:cs="Arial" w:eastAsia="Arial" w:hAnsi="Arial"/>
                <w:sz w:val="22"/>
                <w:szCs w:val="22"/>
                <w:color w:val="auto"/>
              </w:rPr>
              <w:t>4.</w:t>
            </w: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California</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00" w:lineRule="exact"/>
        <w:rPr>
          <w:sz w:val="20"/>
          <w:szCs w:val="20"/>
          <w:color w:val="auto"/>
        </w:rPr>
      </w:pP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5,926,000 (See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5,926,000 (See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5,926,000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711"/>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6.0%</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IA</w:t>
            </w:r>
          </w:p>
        </w:tc>
      </w:tr>
    </w:tbl>
    <w:p>
      <w:pPr>
        <w:sectPr>
          <w:pgSz w:w="11900" w:h="16838" w:orient="portrait"/>
          <w:cols w:equalWidth="0" w:num="1">
            <w:col w:w="10219"/>
          </w:cols>
          <w:pgMar w:left="240" w:top="118" w:right="1440" w:bottom="1440" w:gutter="0" w:footer="0" w:header="0"/>
        </w:sectPr>
      </w:pPr>
    </w:p>
    <w:bookmarkStart w:id="5" w:name="page6"/>
    <w:bookmarkEnd w:id="5"/>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6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Item 1.</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(a) Name of Issuer</w:t>
      </w:r>
    </w:p>
    <w:p>
      <w:pPr>
        <w:spacing w:after="0" w:line="229" w:lineRule="exact"/>
        <w:rPr>
          <w:sz w:val="20"/>
          <w:szCs w:val="20"/>
          <w:color w:val="auto"/>
        </w:rPr>
      </w:pPr>
    </w:p>
    <w:p>
      <w:pPr>
        <w:jc w:val="right"/>
        <w:ind w:right="2519"/>
        <w:spacing w:after="0"/>
        <w:rPr>
          <w:sz w:val="20"/>
          <w:szCs w:val="20"/>
          <w:color w:val="auto"/>
        </w:rPr>
      </w:pPr>
      <w:r>
        <w:rPr>
          <w:rFonts w:ascii="Arial" w:cs="Arial" w:eastAsia="Arial" w:hAnsi="Arial"/>
          <w:sz w:val="22"/>
          <w:szCs w:val="22"/>
          <w:color w:val="auto"/>
        </w:rPr>
        <w:t>Pinnacle West Capital Corporation</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(b) Address of Issuer's Principal Executive Offices</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400 North Fifth Street</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PO Box 53999</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Phoenix, AZ 85072-3999.</w:t>
      </w: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color w:val="auto"/>
        </w:rPr>
        <w:t>Item 2.</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 Name of Person Filing</w:t>
      </w:r>
    </w:p>
    <w:p>
      <w:pPr>
        <w:sectPr>
          <w:pgSz w:w="11900" w:h="16838" w:orient="portrait"/>
          <w:cols w:equalWidth="0" w:num="1">
            <w:col w:w="10219"/>
          </w:cols>
          <w:pgMar w:left="240" w:top="118" w:right="1440" w:bottom="1440" w:gutter="0" w:footer="0" w:header="0"/>
        </w:sectPr>
      </w:pPr>
    </w:p>
    <w:p>
      <w:pPr>
        <w:ind w:left="3140"/>
        <w:spacing w:after="0" w:line="234" w:lineRule="auto"/>
        <w:rPr>
          <w:sz w:val="20"/>
          <w:szCs w:val="20"/>
          <w:color w:val="auto"/>
        </w:rPr>
      </w:pPr>
      <w:r>
        <w:rPr>
          <w:rFonts w:ascii="Arial" w:cs="Arial" w:eastAsia="Arial" w:hAnsi="Arial"/>
          <w:sz w:val="22"/>
          <w:szCs w:val="22"/>
          <w:color w:val="auto"/>
        </w:rPr>
        <w:t>(i):</w:t>
      </w:r>
    </w:p>
    <w:p>
      <w:pPr>
        <w:spacing w:after="0" w:line="20" w:lineRule="exact"/>
        <w:rPr>
          <w:sz w:val="20"/>
          <w:szCs w:val="20"/>
          <w:color w:val="auto"/>
        </w:rPr>
      </w:pPr>
      <w:r>
        <w:rPr>
          <w:sz w:val="20"/>
          <w:szCs w:val="20"/>
          <w:color w:val="auto"/>
        </w:rPr>
        <w:br w:type="column"/>
      </w:r>
    </w:p>
    <w:p>
      <w:pPr>
        <w:ind w:right="1839" w:firstLine="1567"/>
        <w:spacing w:after="0" w:line="257" w:lineRule="auto"/>
        <w:rPr>
          <w:sz w:val="20"/>
          <w:szCs w:val="20"/>
          <w:color w:val="auto"/>
        </w:rPr>
      </w:pPr>
      <w:r>
        <w:rPr>
          <w:rFonts w:ascii="Arial" w:cs="Arial" w:eastAsia="Arial" w:hAnsi="Arial"/>
          <w:sz w:val="22"/>
          <w:szCs w:val="22"/>
          <w:color w:val="auto"/>
        </w:rPr>
        <w:t>Franklin Resources, Inc. (ii): Charles B. Johnson (iii): Rupert H. Johnson, Jr. (iv): Franklin Advisers, Inc.</w:t>
      </w:r>
    </w:p>
    <w:p>
      <w:pPr>
        <w:spacing w:after="0" w:line="200" w:lineRule="exact"/>
        <w:rPr>
          <w:sz w:val="20"/>
          <w:szCs w:val="20"/>
          <w:color w:val="auto"/>
        </w:rPr>
      </w:pPr>
    </w:p>
    <w:p>
      <w:pPr>
        <w:sectPr>
          <w:pgSz w:w="11900" w:h="16838" w:orient="portrait"/>
          <w:cols w:equalWidth="0" w:num="2">
            <w:col w:w="3980" w:space="720"/>
            <w:col w:w="5519"/>
          </w:cols>
          <w:pgMar w:left="240" w:top="118" w:right="1440" w:bottom="1440" w:gutter="0" w:footer="0" w:header="0"/>
          <w:type w:val="continuous"/>
        </w:sectPr>
      </w:pPr>
    </w:p>
    <w:p>
      <w:pPr>
        <w:spacing w:after="0" w:line="9" w:lineRule="exact"/>
        <w:rPr>
          <w:sz w:val="20"/>
          <w:szCs w:val="20"/>
          <w:color w:val="auto"/>
        </w:rPr>
      </w:pPr>
    </w:p>
    <w:p>
      <w:pPr>
        <w:spacing w:after="0"/>
        <w:rPr>
          <w:sz w:val="20"/>
          <w:szCs w:val="20"/>
          <w:color w:val="auto"/>
        </w:rPr>
      </w:pPr>
      <w:r>
        <w:rPr>
          <w:rFonts w:ascii="Arial" w:cs="Arial" w:eastAsia="Arial" w:hAnsi="Arial"/>
          <w:sz w:val="22"/>
          <w:szCs w:val="22"/>
          <w:color w:val="auto"/>
        </w:rPr>
        <w:t>(b) Address of Principal Business Office or, if None, Residence</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 (ii), and (iii),and (iv):</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One Franklin Parkway</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19"/>
          <w:szCs w:val="19"/>
          <w:color w:val="auto"/>
        </w:rPr>
        <w:t>San Mateo, CA 94403-1906</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(c) Citizenship</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 Delaware</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(ii) and (iii): USA</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(iv): California</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(d) Title of Class of Securities</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19"/>
          <w:szCs w:val="19"/>
          <w:color w:val="auto"/>
        </w:rPr>
        <w:t>Common Stock, no par value</w:t>
      </w:r>
    </w:p>
    <w:p>
      <w:pPr>
        <w:spacing w:after="0" w:line="295" w:lineRule="exact"/>
        <w:rPr>
          <w:sz w:val="20"/>
          <w:szCs w:val="20"/>
          <w:color w:val="auto"/>
        </w:rPr>
      </w:pPr>
    </w:p>
    <w:p>
      <w:pPr>
        <w:spacing w:after="0"/>
        <w:rPr>
          <w:sz w:val="20"/>
          <w:szCs w:val="20"/>
          <w:color w:val="auto"/>
        </w:rPr>
      </w:pPr>
      <w:r>
        <w:rPr>
          <w:rFonts w:ascii="Arial" w:cs="Arial" w:eastAsia="Arial" w:hAnsi="Arial"/>
          <w:sz w:val="22"/>
          <w:szCs w:val="22"/>
          <w:color w:val="auto"/>
        </w:rPr>
        <w:t>(e) CUSIP Number</w:t>
      </w:r>
    </w:p>
    <w:p>
      <w:pPr>
        <w:spacing w:after="0" w:line="260" w:lineRule="exact"/>
        <w:rPr>
          <w:sz w:val="20"/>
          <w:szCs w:val="20"/>
          <w:color w:val="auto"/>
        </w:rPr>
      </w:pPr>
    </w:p>
    <w:p>
      <w:pPr>
        <w:jc w:val="center"/>
        <w:ind w:right="-180"/>
        <w:spacing w:after="0"/>
        <w:rPr>
          <w:sz w:val="20"/>
          <w:szCs w:val="20"/>
          <w:color w:val="auto"/>
        </w:rPr>
      </w:pPr>
      <w:r>
        <w:rPr>
          <w:rFonts w:ascii="Arial" w:cs="Arial" w:eastAsia="Arial" w:hAnsi="Arial"/>
          <w:sz w:val="22"/>
          <w:szCs w:val="22"/>
          <w:color w:val="auto"/>
        </w:rPr>
        <w:t>723484101</w:t>
      </w:r>
    </w:p>
    <w:p>
      <w:pPr>
        <w:sectPr>
          <w:pgSz w:w="11900" w:h="16838" w:orient="portrait"/>
          <w:cols w:equalWidth="0" w:num="1">
            <w:col w:w="10219"/>
          </w:cols>
          <w:pgMar w:left="240" w:top="118" w:right="1440" w:bottom="1440" w:gutter="0" w:footer="0" w:header="0"/>
          <w:type w:val="continuous"/>
        </w:sectPr>
      </w:pPr>
    </w:p>
    <w:bookmarkStart w:id="6" w:name="page7"/>
    <w:bookmarkEnd w:id="6"/>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7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1"/>
          <w:szCs w:val="21"/>
          <w:color w:val="auto"/>
        </w:rPr>
        <w:t>Item 3. If this statement is filed pursuant to §§240.13d-1(b) or 240.13d-2(b) or (c), check whether the person filing is a:</w:t>
      </w:r>
    </w:p>
    <w:p>
      <w:pPr>
        <w:spacing w:after="0" w:line="245" w:lineRule="exact"/>
        <w:rPr>
          <w:sz w:val="20"/>
          <w:szCs w:val="20"/>
          <w:color w:val="auto"/>
        </w:rPr>
      </w:pPr>
    </w:p>
    <w:p>
      <w:pPr>
        <w:ind w:left="1300" w:hanging="320"/>
        <w:spacing w:after="0"/>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Broker or dealer registered under section 15 of the Act (15 U.S.C. 78o).</w:t>
      </w:r>
    </w:p>
    <w:p>
      <w:pPr>
        <w:spacing w:after="0" w:line="8" w:lineRule="exact"/>
        <w:rPr>
          <w:rFonts w:ascii="Arial" w:cs="Arial" w:eastAsia="Arial" w:hAnsi="Arial"/>
          <w:sz w:val="22"/>
          <w:szCs w:val="22"/>
          <w:color w:val="auto"/>
        </w:rPr>
      </w:pP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Bank as defined in section 3(a)(6) of the Act (15 U.S.C. 78c).</w:t>
      </w: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Insurance company as defined in section 3(a)(19) of the Act (15 U.S.C. 78c).</w:t>
      </w:r>
    </w:p>
    <w:p>
      <w:pPr>
        <w:ind w:left="1300" w:hanging="320"/>
        <w:spacing w:after="0"/>
        <w:tabs>
          <w:tab w:leader="none" w:pos="1300" w:val="left"/>
        </w:tabs>
        <w:numPr>
          <w:ilvl w:val="0"/>
          <w:numId w:val="1"/>
        </w:numPr>
        <w:rPr>
          <w:rFonts w:ascii="Arial" w:cs="Arial" w:eastAsia="Arial" w:hAnsi="Arial"/>
          <w:sz w:val="21"/>
          <w:szCs w:val="21"/>
          <w:color w:val="auto"/>
        </w:rPr>
      </w:pPr>
      <w:r>
        <w:rPr>
          <w:rFonts w:ascii="Arial" w:cs="Arial" w:eastAsia="Arial" w:hAnsi="Arial"/>
          <w:sz w:val="21"/>
          <w:szCs w:val="21"/>
          <w:color w:val="auto"/>
        </w:rPr>
        <w:t>o Investment company registered under section 8 of the Investment Company Act of 1940 (15 U.S.C 80a-8).</w:t>
      </w:r>
    </w:p>
    <w:p>
      <w:pPr>
        <w:spacing w:after="0" w:line="1" w:lineRule="exact"/>
        <w:rPr>
          <w:rFonts w:ascii="Arial" w:cs="Arial" w:eastAsia="Arial" w:hAnsi="Arial"/>
          <w:sz w:val="21"/>
          <w:szCs w:val="21"/>
          <w:color w:val="auto"/>
        </w:rPr>
      </w:pP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x An investment adviser in accordance with §240.13d-1(b)(1)(ii)(E);</w:t>
      </w: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An employee benefit plan or endowment fund in accordance with §240.13d-1(b)(1)(ii)(F);</w:t>
      </w: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§240.13d-1(b)(1)(ii)(G);</w:t>
      </w:r>
    </w:p>
    <w:p>
      <w:pPr>
        <w:ind w:left="1300" w:hanging="320"/>
        <w:spacing w:after="0"/>
        <w:tabs>
          <w:tab w:leader="none" w:pos="1300" w:val="left"/>
        </w:tabs>
        <w:numPr>
          <w:ilvl w:val="0"/>
          <w:numId w:val="1"/>
        </w:numPr>
        <w:rPr>
          <w:rFonts w:ascii="Arial" w:cs="Arial" w:eastAsia="Arial" w:hAnsi="Arial"/>
          <w:sz w:val="21"/>
          <w:szCs w:val="21"/>
          <w:color w:val="auto"/>
        </w:rPr>
      </w:pPr>
      <w:r>
        <w:rPr>
          <w:rFonts w:ascii="Arial" w:cs="Arial" w:eastAsia="Arial" w:hAnsi="Arial"/>
          <w:sz w:val="21"/>
          <w:szCs w:val="21"/>
          <w:color w:val="auto"/>
        </w:rPr>
        <w:t>o A savings associations as defined in Section 3(b) of the Federal Deposit Insurance Act (12 U.S.C. 1813);</w:t>
      </w:r>
    </w:p>
    <w:p>
      <w:pPr>
        <w:spacing w:after="0" w:line="1" w:lineRule="exact"/>
        <w:rPr>
          <w:rFonts w:ascii="Arial" w:cs="Arial" w:eastAsia="Arial" w:hAnsi="Arial"/>
          <w:sz w:val="21"/>
          <w:szCs w:val="21"/>
          <w:color w:val="auto"/>
        </w:rPr>
      </w:pPr>
    </w:p>
    <w:p>
      <w:pPr>
        <w:ind w:left="1300" w:right="76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A church plan that is excluded from the definition of an investment company under section 3(c)(14) of the Investment Company Act of 1940 (15 U.S.C. 80a-3);</w:t>
      </w:r>
    </w:p>
    <w:p>
      <w:pPr>
        <w:spacing w:after="0" w:line="1" w:lineRule="exact"/>
        <w:rPr>
          <w:rFonts w:ascii="Arial" w:cs="Arial" w:eastAsia="Arial" w:hAnsi="Arial"/>
          <w:sz w:val="22"/>
          <w:szCs w:val="22"/>
          <w:color w:val="auto"/>
        </w:rPr>
      </w:pPr>
    </w:p>
    <w:p>
      <w:pPr>
        <w:ind w:left="1300" w:hanging="320"/>
        <w:spacing w:after="0"/>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Group, in accordance with §240.13d-1 (b)(1)(ii)(J).</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Item 4. Ownership</w:t>
      </w:r>
    </w:p>
    <w:p>
      <w:pPr>
        <w:spacing w:after="0" w:line="233"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reported herein (the “Securities”) are beneficially owned by one or more open or closed-end investment companies or other managed accounts that are investment advisory clients of investment advisers that are direct and indirect subsidiaries (each, an “Adviser Subsidiary” and, collectively, the “Adviser Subsidiaries”) of Franklin Resources, Inc. (“FRI”), including the Adviser Subsidiaries listed in Item 7. Advisory contracts grant to the Adviser Subsidiaries all investment and/or voting power over the securities owned by such advisory clients, unless otherwise noted in this Item 4. Therefore, for purposes of Rule 13d-3 under the Act, the Adviser Subsidiaries may be deemed to be the beneficial owners of the Securities.</w:t>
      </w:r>
    </w:p>
    <w:p>
      <w:pPr>
        <w:spacing w:after="0" w:line="178" w:lineRule="exact"/>
        <w:rPr>
          <w:sz w:val="20"/>
          <w:szCs w:val="20"/>
          <w:color w:val="auto"/>
        </w:rPr>
      </w:pPr>
    </w:p>
    <w:p>
      <w:pPr>
        <w:ind w:right="40"/>
        <w:spacing w:after="0" w:line="274" w:lineRule="auto"/>
        <w:rPr>
          <w:sz w:val="20"/>
          <w:szCs w:val="20"/>
          <w:color w:val="auto"/>
        </w:rPr>
      </w:pPr>
      <w:r>
        <w:rPr>
          <w:rFonts w:ascii="Arial" w:cs="Arial" w:eastAsia="Arial" w:hAnsi="Arial"/>
          <w:sz w:val="19"/>
          <w:szCs w:val="19"/>
          <w:color w:val="auto"/>
        </w:rPr>
        <w:t>Beneficial ownership by investment advisory subsidiaries and other affiliates of FRI is being reported in conformity with the guidelines articulated by the SEC staff in Release No. 34-39538 (January 12, 1998) relating to organizations, such as FRI, where related entities exercise voting and investment powers over the securities being reported independently from each other. The voting and investment powers held by Franklin Mutual Advisers, LLC (“FMA”), an indirect wholly-owned Adviser Subsidiary, are exercised independently from FRI and from all other Adviser Subsidiaries (FRI, its affiliates and the Adviser Subsidiaries other than FMA are collectively, “FRI affiliates”). Furthermore, internal policies and procedures of FMA and FRI establish informational barriers that prevent the flow between FMA and the FRI affiliates of information that relates to the voting and investment powers over the securities owned by their respective advisory clients. Consequently, FMA and the FRI affiliates report the securities over which they hold investment and voting power separately from each other for purposes of Section 13 of the Act.</w:t>
      </w:r>
    </w:p>
    <w:p>
      <w:pPr>
        <w:spacing w:after="0" w:line="186" w:lineRule="exact"/>
        <w:rPr>
          <w:sz w:val="20"/>
          <w:szCs w:val="20"/>
          <w:color w:val="auto"/>
        </w:rPr>
      </w:pPr>
    </w:p>
    <w:p>
      <w:pPr>
        <w:ind w:right="140"/>
        <w:spacing w:after="0" w:line="276" w:lineRule="auto"/>
        <w:rPr>
          <w:sz w:val="20"/>
          <w:szCs w:val="20"/>
          <w:color w:val="auto"/>
        </w:rPr>
      </w:pPr>
      <w:r>
        <w:rPr>
          <w:rFonts w:ascii="Arial" w:cs="Arial" w:eastAsia="Arial" w:hAnsi="Arial"/>
          <w:sz w:val="19"/>
          <w:szCs w:val="19"/>
          <w:color w:val="auto"/>
        </w:rPr>
        <w:t>Charles B. Johnson and Rupert H. Johnson, Jr. (the “Principal Shareholders”) each own in excess of 10% of the outstanding common stock of FRI and are the principal stockholders of FRI. FRI and the Principal Shareholders may be deemed to be, for purposes of Rule 13d-3 under the Act, the beneficial owners of securities held by persons and entities advised by FRI subsidiaries.</w:t>
      </w:r>
    </w:p>
    <w:p>
      <w:pPr>
        <w:ind w:right="140"/>
        <w:spacing w:after="0" w:line="247" w:lineRule="auto"/>
        <w:rPr>
          <w:sz w:val="20"/>
          <w:szCs w:val="20"/>
          <w:color w:val="auto"/>
        </w:rPr>
      </w:pPr>
      <w:r>
        <w:rPr>
          <w:rFonts w:ascii="Arial" w:cs="Arial" w:eastAsia="Arial" w:hAnsi="Arial"/>
          <w:sz w:val="17"/>
          <w:szCs w:val="17"/>
          <w:color w:val="auto"/>
        </w:rPr>
        <w:t xml:space="preserve">The number of shares that may be deemed to be beneficially owned and the percentage of the class of which such shares are a part are reported in Items 9 and 11 of the cover pages for FRI and each of the Principal Shareholders. </w:t>
      </w:r>
      <w:r>
        <w:rPr>
          <w:rFonts w:ascii="Arial" w:cs="Arial" w:eastAsia="Arial" w:hAnsi="Arial"/>
          <w:sz w:val="20"/>
          <w:szCs w:val="20"/>
          <w:color w:val="auto"/>
        </w:rPr>
        <w:t>FRI, the Principal Shareholders and each of the</w:t>
      </w:r>
    </w:p>
    <w:p>
      <w:pPr>
        <w:spacing w:after="0" w:line="1" w:lineRule="exact"/>
        <w:rPr>
          <w:sz w:val="20"/>
          <w:szCs w:val="20"/>
          <w:color w:val="auto"/>
        </w:rPr>
      </w:pPr>
    </w:p>
    <w:p>
      <w:pPr>
        <w:ind w:right="140"/>
        <w:spacing w:after="0" w:line="308" w:lineRule="auto"/>
        <w:rPr>
          <w:sz w:val="20"/>
          <w:szCs w:val="20"/>
          <w:color w:val="auto"/>
        </w:rPr>
      </w:pPr>
      <w:r>
        <w:rPr>
          <w:rFonts w:ascii="Arial" w:cs="Arial" w:eastAsia="Arial" w:hAnsi="Arial"/>
          <w:sz w:val="19"/>
          <w:szCs w:val="19"/>
          <w:color w:val="auto"/>
        </w:rPr>
        <w:t>Adviser Subsidiaries disclaim any pecuniary interest in any of the Securities. In addition, the filing of this Schedule 13G on behalf of the Principal Shareholders, FRI and FRI affiliates, as applicable, should not be construed as an admission that any of them</w:t>
      </w:r>
    </w:p>
    <w:p>
      <w:pPr>
        <w:sectPr>
          <w:pgSz w:w="11900" w:h="16838" w:orient="portrait"/>
          <w:cols w:equalWidth="0" w:num="1">
            <w:col w:w="11420"/>
          </w:cols>
          <w:pgMar w:left="240" w:top="118" w:right="239" w:bottom="1440" w:gutter="0" w:footer="0" w:header="0"/>
        </w:sectPr>
      </w:pPr>
    </w:p>
    <w:bookmarkStart w:id="7" w:name="page8"/>
    <w:bookmarkEnd w:id="7"/>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8 OF 13</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color w:val="auto"/>
        </w:rPr>
        <w:t>is, and each disclaims that it is, the beneficial owner, as defined in Rule 13d-3, of any of the Securities.</w:t>
      </w:r>
    </w:p>
    <w:p>
      <w:pPr>
        <w:spacing w:after="0" w:line="233" w:lineRule="exact"/>
        <w:rPr>
          <w:sz w:val="20"/>
          <w:szCs w:val="20"/>
          <w:color w:val="auto"/>
        </w:rPr>
      </w:pPr>
    </w:p>
    <w:p>
      <w:pPr>
        <w:ind w:right="340"/>
        <w:spacing w:after="0" w:line="258" w:lineRule="auto"/>
        <w:rPr>
          <w:sz w:val="20"/>
          <w:szCs w:val="20"/>
          <w:color w:val="auto"/>
        </w:rPr>
      </w:pPr>
      <w:r>
        <w:rPr>
          <w:rFonts w:ascii="Arial" w:cs="Arial" w:eastAsia="Arial" w:hAnsi="Arial"/>
          <w:sz w:val="21"/>
          <w:szCs w:val="21"/>
          <w:color w:val="auto"/>
        </w:rPr>
        <w:t>FRI, the Principal Shareholders, and each of the Adviser Subsidiaries believe that they are not a “group” within the meaning of Rule 13d-5 under the Act and that they are not otherwise required to attribute to each other the beneficial ownership of the Securities held by any of them or by any persons or entities advised by FRI subsidiaries.</w:t>
      </w:r>
    </w:p>
    <w:p>
      <w:pPr>
        <w:spacing w:after="0" w:line="207" w:lineRule="exact"/>
        <w:rPr>
          <w:sz w:val="20"/>
          <w:szCs w:val="20"/>
          <w:color w:val="auto"/>
        </w:rPr>
      </w:pPr>
    </w:p>
    <w:p>
      <w:pPr>
        <w:ind w:left="4700" w:right="3860" w:firstLine="8"/>
        <w:spacing w:after="0" w:line="486" w:lineRule="auto"/>
        <w:tabs>
          <w:tab w:leader="none" w:pos="4994" w:val="left"/>
        </w:tabs>
        <w:numPr>
          <w:ilvl w:val="0"/>
          <w:numId w:val="2"/>
        </w:numPr>
        <w:rPr>
          <w:rFonts w:ascii="Arial" w:cs="Arial" w:eastAsia="Arial" w:hAnsi="Arial"/>
          <w:sz w:val="22"/>
          <w:szCs w:val="22"/>
          <w:color w:val="auto"/>
        </w:rPr>
      </w:pPr>
      <w:r>
        <w:rPr>
          <w:rFonts w:ascii="Arial" w:cs="Arial" w:eastAsia="Arial" w:hAnsi="Arial"/>
          <w:sz w:val="22"/>
          <w:szCs w:val="22"/>
          <w:color w:val="auto"/>
        </w:rPr>
        <w:t>Amount beneficially owned: 5,928,150</w:t>
      </w:r>
    </w:p>
    <w:p>
      <w:pPr>
        <w:spacing w:after="0" w:line="1" w:lineRule="exact"/>
        <w:rPr>
          <w:rFonts w:ascii="Arial" w:cs="Arial" w:eastAsia="Arial" w:hAnsi="Arial"/>
          <w:sz w:val="22"/>
          <w:szCs w:val="22"/>
          <w:color w:val="auto"/>
        </w:rPr>
      </w:pPr>
    </w:p>
    <w:p>
      <w:pPr>
        <w:ind w:left="5020" w:hanging="312"/>
        <w:spacing w:after="0"/>
        <w:tabs>
          <w:tab w:leader="none" w:pos="5020" w:val="left"/>
        </w:tabs>
        <w:numPr>
          <w:ilvl w:val="0"/>
          <w:numId w:val="2"/>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260"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6.0%</w:t>
      </w:r>
    </w:p>
    <w:p>
      <w:pPr>
        <w:spacing w:after="0" w:line="260" w:lineRule="exact"/>
        <w:rPr>
          <w:sz w:val="20"/>
          <w:szCs w:val="20"/>
          <w:color w:val="auto"/>
        </w:rPr>
      </w:pPr>
    </w:p>
    <w:p>
      <w:pPr>
        <w:ind w:left="5000" w:hanging="292"/>
        <w:spacing w:after="0"/>
        <w:tabs>
          <w:tab w:leader="none" w:pos="5000" w:val="left"/>
        </w:tabs>
        <w:numPr>
          <w:ilvl w:val="0"/>
          <w:numId w:val="3"/>
        </w:numPr>
        <w:rPr>
          <w:rFonts w:ascii="Arial" w:cs="Arial" w:eastAsia="Arial" w:hAnsi="Arial"/>
          <w:sz w:val="22"/>
          <w:szCs w:val="22"/>
          <w:color w:val="auto"/>
        </w:rPr>
      </w:pPr>
      <w:r>
        <w:rPr>
          <w:rFonts w:ascii="Arial" w:cs="Arial" w:eastAsia="Arial" w:hAnsi="Arial"/>
          <w:sz w:val="22"/>
          <w:szCs w:val="22"/>
          <w:color w:val="auto"/>
        </w:rPr>
        <w:t>Number of shares as to which the person has:</w:t>
      </w:r>
    </w:p>
    <w:p>
      <w:pPr>
        <w:spacing w:after="0" w:line="260" w:lineRule="exact"/>
        <w:rPr>
          <w:rFonts w:ascii="Arial" w:cs="Arial" w:eastAsia="Arial" w:hAnsi="Arial"/>
          <w:sz w:val="22"/>
          <w:szCs w:val="22"/>
          <w:color w:val="auto"/>
        </w:rPr>
      </w:pPr>
    </w:p>
    <w:p>
      <w:pPr>
        <w:ind w:left="4960" w:hanging="252"/>
        <w:spacing w:after="0"/>
        <w:tabs>
          <w:tab w:leader="none" w:pos="4960" w:val="left"/>
        </w:tabs>
        <w:numPr>
          <w:ilvl w:val="0"/>
          <w:numId w:val="4"/>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247" w:lineRule="exact"/>
        <w:rPr>
          <w:sz w:val="20"/>
          <w:szCs w:val="20"/>
          <w:color w:val="auto"/>
        </w:rPr>
      </w:pPr>
    </w:p>
    <w:tbl>
      <w:tblPr>
        <w:tblLayout w:type="fixed"/>
        <w:tblInd w:w="3140" w:type="dxa"/>
        <w:tblCellMar>
          <w:top w:w="0" w:type="dxa"/>
          <w:left w:w="0" w:type="dxa"/>
          <w:bottom w:w="0" w:type="dxa"/>
          <w:right w:w="0" w:type="dxa"/>
        </w:tblCellMar>
      </w:tblP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Franklin Resources, Inc.:</w:t>
            </w:r>
          </w:p>
        </w:tc>
        <w:tc>
          <w:tcPr>
            <w:tcW w:w="1020" w:type="dxa"/>
            <w:vAlign w:val="bottom"/>
          </w:tcPr>
          <w:p>
            <w:pPr>
              <w:ind w:left="160"/>
              <w:spacing w:after="0"/>
              <w:rPr>
                <w:sz w:val="20"/>
                <w:szCs w:val="20"/>
                <w:color w:val="auto"/>
              </w:rPr>
            </w:pPr>
            <w:r>
              <w:rPr>
                <w:rFonts w:ascii="Arial" w:cs="Arial" w:eastAsia="Arial" w:hAnsi="Arial"/>
                <w:sz w:val="22"/>
                <w:szCs w:val="22"/>
                <w:color w:val="auto"/>
              </w:rPr>
              <w:t>0</w:t>
            </w:r>
          </w:p>
        </w:tc>
      </w:t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Charles B. Johnson:</w:t>
            </w:r>
          </w:p>
        </w:tc>
        <w:tc>
          <w:tcPr>
            <w:tcW w:w="1020" w:type="dxa"/>
            <w:vAlign w:val="bottom"/>
          </w:tcPr>
          <w:p>
            <w:pPr>
              <w:ind w:left="160"/>
              <w:spacing w:after="0"/>
              <w:rPr>
                <w:sz w:val="20"/>
                <w:szCs w:val="20"/>
                <w:color w:val="auto"/>
              </w:rPr>
            </w:pPr>
            <w:r>
              <w:rPr>
                <w:rFonts w:ascii="Arial" w:cs="Arial" w:eastAsia="Arial" w:hAnsi="Arial"/>
                <w:sz w:val="22"/>
                <w:szCs w:val="22"/>
                <w:color w:val="auto"/>
              </w:rPr>
              <w:t>0</w:t>
            </w:r>
          </w:p>
        </w:tc>
      </w:t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Rupert H. Johnson, Jr.:</w:t>
            </w:r>
          </w:p>
        </w:tc>
        <w:tc>
          <w:tcPr>
            <w:tcW w:w="1020" w:type="dxa"/>
            <w:vAlign w:val="bottom"/>
          </w:tcPr>
          <w:p>
            <w:pPr>
              <w:ind w:left="160"/>
              <w:spacing w:after="0"/>
              <w:rPr>
                <w:sz w:val="20"/>
                <w:szCs w:val="20"/>
                <w:color w:val="auto"/>
              </w:rPr>
            </w:pPr>
            <w:r>
              <w:rPr>
                <w:rFonts w:ascii="Arial" w:cs="Arial" w:eastAsia="Arial" w:hAnsi="Arial"/>
                <w:sz w:val="22"/>
                <w:szCs w:val="22"/>
                <w:color w:val="auto"/>
              </w:rPr>
              <w:t>0</w:t>
            </w:r>
          </w:p>
        </w:tc>
      </w:t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Franklin Advisers, Inc.:</w:t>
            </w:r>
          </w:p>
        </w:tc>
        <w:tc>
          <w:tcPr>
            <w:tcW w:w="1020" w:type="dxa"/>
            <w:vAlign w:val="bottom"/>
          </w:tcPr>
          <w:p>
            <w:pPr>
              <w:ind w:left="160"/>
              <w:spacing w:after="0"/>
              <w:rPr>
                <w:sz w:val="20"/>
                <w:szCs w:val="20"/>
                <w:color w:val="auto"/>
              </w:rPr>
            </w:pPr>
            <w:r>
              <w:rPr>
                <w:rFonts w:ascii="Arial" w:cs="Arial" w:eastAsia="Arial" w:hAnsi="Arial"/>
                <w:sz w:val="22"/>
                <w:szCs w:val="22"/>
                <w:color w:val="auto"/>
                <w:w w:val="85"/>
              </w:rPr>
              <w:t>5,926,000</w:t>
            </w: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Fiduciary Trust Company</w:t>
            </w:r>
          </w:p>
        </w:tc>
        <w:tc>
          <w:tcPr>
            <w:tcW w:w="1020" w:type="dxa"/>
            <w:vAlign w:val="bottom"/>
          </w:tcPr>
          <w:p>
            <w:pPr>
              <w:ind w:left="160"/>
              <w:spacing w:after="0" w:line="243" w:lineRule="exact"/>
              <w:rPr>
                <w:sz w:val="20"/>
                <w:szCs w:val="20"/>
                <w:color w:val="auto"/>
              </w:rPr>
            </w:pPr>
            <w:r>
              <w:rPr>
                <w:rFonts w:ascii="Arial" w:cs="Arial" w:eastAsia="Arial" w:hAnsi="Arial"/>
                <w:sz w:val="22"/>
                <w:szCs w:val="22"/>
                <w:color w:val="auto"/>
              </w:rPr>
              <w:t>2,100</w:t>
            </w: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International:</w:t>
            </w:r>
          </w:p>
        </w:tc>
        <w:tc>
          <w:tcPr>
            <w:tcW w:w="1020" w:type="dxa"/>
            <w:vAlign w:val="bottom"/>
          </w:tcPr>
          <w:p>
            <w:pPr>
              <w:spacing w:after="0"/>
              <w:rPr>
                <w:sz w:val="21"/>
                <w:szCs w:val="21"/>
                <w:color w:val="auto"/>
              </w:rPr>
            </w:pP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w w:val="94"/>
              </w:rPr>
              <w:t>Franklin Templeton Investments</w:t>
            </w:r>
          </w:p>
        </w:tc>
        <w:tc>
          <w:tcPr>
            <w:tcW w:w="1020" w:type="dxa"/>
            <w:vAlign w:val="bottom"/>
          </w:tcPr>
          <w:p>
            <w:pPr>
              <w:ind w:left="160"/>
              <w:spacing w:after="0" w:line="243" w:lineRule="exact"/>
              <w:rPr>
                <w:sz w:val="20"/>
                <w:szCs w:val="20"/>
                <w:color w:val="auto"/>
              </w:rPr>
            </w:pPr>
            <w:r>
              <w:rPr>
                <w:rFonts w:ascii="Arial" w:cs="Arial" w:eastAsia="Arial" w:hAnsi="Arial"/>
                <w:sz w:val="22"/>
                <w:szCs w:val="22"/>
                <w:color w:val="auto"/>
              </w:rPr>
              <w:t>25</w:t>
            </w: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Corp.:</w:t>
            </w:r>
          </w:p>
        </w:tc>
        <w:tc>
          <w:tcPr>
            <w:tcW w:w="1020" w:type="dxa"/>
            <w:vAlign w:val="bottom"/>
          </w:tcPr>
          <w:p>
            <w:pPr>
              <w:spacing w:after="0"/>
              <w:rPr>
                <w:sz w:val="21"/>
                <w:szCs w:val="21"/>
                <w:color w:val="auto"/>
              </w:rPr>
            </w:pPr>
          </w:p>
        </w:tc>
      </w:tr>
      <w:tr>
        <w:trPr>
          <w:trHeight w:val="250"/>
        </w:trPr>
        <w:tc>
          <w:tcPr>
            <w:tcW w:w="2980" w:type="dxa"/>
            <w:vAlign w:val="bottom"/>
          </w:tcPr>
          <w:p>
            <w:pPr>
              <w:spacing w:after="0" w:line="250" w:lineRule="exact"/>
              <w:rPr>
                <w:sz w:val="20"/>
                <w:szCs w:val="20"/>
                <w:color w:val="auto"/>
              </w:rPr>
            </w:pPr>
            <w:r>
              <w:rPr>
                <w:rFonts w:ascii="Arial" w:cs="Arial" w:eastAsia="Arial" w:hAnsi="Arial"/>
                <w:sz w:val="22"/>
                <w:szCs w:val="22"/>
                <w:color w:val="auto"/>
              </w:rPr>
              <w:t>Franklin Templeton Portfolio</w:t>
            </w:r>
          </w:p>
        </w:tc>
        <w:tc>
          <w:tcPr>
            <w:tcW w:w="1020" w:type="dxa"/>
            <w:vAlign w:val="bottom"/>
          </w:tcPr>
          <w:p>
            <w:pPr>
              <w:ind w:left="160"/>
              <w:spacing w:after="0" w:line="250" w:lineRule="exact"/>
              <w:rPr>
                <w:sz w:val="20"/>
                <w:szCs w:val="20"/>
                <w:color w:val="auto"/>
              </w:rPr>
            </w:pPr>
            <w:r>
              <w:rPr>
                <w:rFonts w:ascii="Arial" w:cs="Arial" w:eastAsia="Arial" w:hAnsi="Arial"/>
                <w:sz w:val="22"/>
                <w:szCs w:val="22"/>
                <w:color w:val="auto"/>
              </w:rPr>
              <w:t>25</w:t>
            </w:r>
          </w:p>
        </w:tc>
      </w:tr>
      <w:tr>
        <w:trPr>
          <w:trHeight w:val="471"/>
        </w:trPr>
        <w:tc>
          <w:tcPr>
            <w:tcW w:w="2980" w:type="dxa"/>
            <w:vAlign w:val="bottom"/>
          </w:tcPr>
          <w:p>
            <w:pPr>
              <w:spacing w:after="0"/>
              <w:rPr>
                <w:sz w:val="20"/>
                <w:szCs w:val="20"/>
                <w:color w:val="auto"/>
              </w:rPr>
            </w:pPr>
            <w:r>
              <w:rPr>
                <w:rFonts w:ascii="Arial" w:cs="Arial" w:eastAsia="Arial" w:hAnsi="Arial"/>
                <w:sz w:val="22"/>
                <w:szCs w:val="22"/>
                <w:color w:val="auto"/>
              </w:rPr>
              <w:t>Advisors, Inc.</w:t>
            </w:r>
            <w:r>
              <w:rPr>
                <w:rFonts w:ascii="Arial" w:cs="Arial" w:eastAsia="Arial" w:hAnsi="Arial"/>
                <w:sz w:val="36"/>
                <w:szCs w:val="36"/>
                <w:color w:val="auto"/>
                <w:vertAlign w:val="superscript"/>
              </w:rPr>
              <w:t>[1]</w:t>
            </w:r>
            <w:r>
              <w:rPr>
                <w:rFonts w:ascii="Arial" w:cs="Arial" w:eastAsia="Arial" w:hAnsi="Arial"/>
                <w:sz w:val="22"/>
                <w:szCs w:val="22"/>
                <w:color w:val="auto"/>
              </w:rPr>
              <w:t>:</w:t>
            </w:r>
          </w:p>
        </w:tc>
        <w:tc>
          <w:tcPr>
            <w:tcW w:w="1020" w:type="dxa"/>
            <w:vAlign w:val="bottom"/>
          </w:tcPr>
          <w:p>
            <w:pPr>
              <w:spacing w:after="0"/>
              <w:rPr>
                <w:sz w:val="24"/>
                <w:szCs w:val="24"/>
                <w:color w:val="auto"/>
              </w:rPr>
            </w:pPr>
          </w:p>
        </w:tc>
      </w:tr>
    </w:tbl>
    <w:p>
      <w:pPr>
        <w:spacing w:after="0" w:line="76" w:lineRule="exact"/>
        <w:rPr>
          <w:sz w:val="20"/>
          <w:szCs w:val="20"/>
          <w:color w:val="auto"/>
        </w:rPr>
      </w:pPr>
    </w:p>
    <w:p>
      <w:pPr>
        <w:ind w:left="5020" w:hanging="312"/>
        <w:spacing w:after="0"/>
        <w:tabs>
          <w:tab w:leader="none" w:pos="5020" w:val="left"/>
        </w:tabs>
        <w:numPr>
          <w:ilvl w:val="0"/>
          <w:numId w:val="5"/>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260" w:lineRule="exact"/>
        <w:rPr>
          <w:rFonts w:ascii="Arial" w:cs="Arial" w:eastAsia="Arial" w:hAnsi="Arial"/>
          <w:sz w:val="22"/>
          <w:szCs w:val="22"/>
          <w:color w:val="auto"/>
        </w:rPr>
      </w:pPr>
    </w:p>
    <w:p>
      <w:pPr>
        <w:ind w:left="4700"/>
        <w:spacing w:after="0"/>
        <w:rPr>
          <w:rFonts w:ascii="Arial" w:cs="Arial" w:eastAsia="Arial" w:hAnsi="Arial"/>
          <w:sz w:val="22"/>
          <w:szCs w:val="22"/>
          <w:color w:val="auto"/>
        </w:rPr>
      </w:pPr>
      <w:r>
        <w:rPr>
          <w:rFonts w:ascii="Arial" w:cs="Arial" w:eastAsia="Arial" w:hAnsi="Arial"/>
          <w:sz w:val="22"/>
          <w:szCs w:val="22"/>
          <w:color w:val="auto"/>
        </w:rPr>
        <w:t>0</w:t>
      </w:r>
    </w:p>
    <w:p>
      <w:pPr>
        <w:spacing w:after="0" w:line="260" w:lineRule="exact"/>
        <w:rPr>
          <w:rFonts w:ascii="Arial" w:cs="Arial" w:eastAsia="Arial" w:hAnsi="Arial"/>
          <w:sz w:val="22"/>
          <w:szCs w:val="22"/>
          <w:color w:val="auto"/>
        </w:rPr>
      </w:pPr>
    </w:p>
    <w:p>
      <w:pPr>
        <w:ind w:left="5080" w:hanging="372"/>
        <w:spacing w:after="0"/>
        <w:tabs>
          <w:tab w:leader="none" w:pos="5080" w:val="left"/>
        </w:tabs>
        <w:numPr>
          <w:ilvl w:val="0"/>
          <w:numId w:val="5"/>
        </w:numPr>
        <w:rPr>
          <w:rFonts w:ascii="Arial" w:cs="Arial" w:eastAsia="Arial" w:hAnsi="Arial"/>
          <w:sz w:val="22"/>
          <w:szCs w:val="22"/>
          <w:color w:val="auto"/>
        </w:rPr>
      </w:pPr>
      <w:r>
        <w:rPr>
          <w:rFonts w:ascii="Arial" w:cs="Arial" w:eastAsia="Arial" w:hAnsi="Arial"/>
          <w:sz w:val="22"/>
          <w:szCs w:val="22"/>
          <w:color w:val="auto"/>
        </w:rPr>
        <w:t>Sole power to dispose or to direct the disposition</w:t>
      </w:r>
    </w:p>
    <w:p>
      <w:pPr>
        <w:spacing w:after="0" w:line="21" w:lineRule="exact"/>
        <w:rPr>
          <w:rFonts w:ascii="Arial" w:cs="Arial" w:eastAsia="Arial" w:hAnsi="Arial"/>
          <w:sz w:val="22"/>
          <w:szCs w:val="22"/>
          <w:color w:val="auto"/>
        </w:rPr>
      </w:pPr>
    </w:p>
    <w:p>
      <w:pPr>
        <w:ind w:left="4700"/>
        <w:spacing w:after="0"/>
        <w:rPr>
          <w:rFonts w:ascii="Arial" w:cs="Arial" w:eastAsia="Arial" w:hAnsi="Arial"/>
          <w:sz w:val="22"/>
          <w:szCs w:val="22"/>
          <w:color w:val="auto"/>
        </w:rPr>
      </w:pPr>
      <w:r>
        <w:rPr>
          <w:rFonts w:ascii="Arial" w:cs="Arial" w:eastAsia="Arial" w:hAnsi="Arial"/>
          <w:sz w:val="22"/>
          <w:szCs w:val="22"/>
          <w:color w:val="auto"/>
        </w:rPr>
        <w:t>of</w:t>
      </w:r>
    </w:p>
    <w:p>
      <w:pPr>
        <w:spacing w:after="0" w:line="242" w:lineRule="exact"/>
        <w:rPr>
          <w:sz w:val="20"/>
          <w:szCs w:val="20"/>
          <w:color w:val="auto"/>
        </w:rPr>
      </w:pPr>
    </w:p>
    <w:tbl>
      <w:tblPr>
        <w:tblLayout w:type="fixed"/>
        <w:tblInd w:w="3140" w:type="dxa"/>
        <w:tblCellMar>
          <w:top w:w="0" w:type="dxa"/>
          <w:left w:w="0" w:type="dxa"/>
          <w:bottom w:w="0" w:type="dxa"/>
          <w:right w:w="0" w:type="dxa"/>
        </w:tblCellMar>
      </w:tblP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Franklin Resources, Inc.:</w:t>
            </w:r>
          </w:p>
        </w:tc>
        <w:tc>
          <w:tcPr>
            <w:tcW w:w="1020" w:type="dxa"/>
            <w:vAlign w:val="bottom"/>
          </w:tcPr>
          <w:p>
            <w:pPr>
              <w:ind w:left="160"/>
              <w:spacing w:after="0"/>
              <w:rPr>
                <w:sz w:val="20"/>
                <w:szCs w:val="20"/>
                <w:color w:val="auto"/>
              </w:rPr>
            </w:pPr>
            <w:r>
              <w:rPr>
                <w:rFonts w:ascii="Arial" w:cs="Arial" w:eastAsia="Arial" w:hAnsi="Arial"/>
                <w:sz w:val="22"/>
                <w:szCs w:val="22"/>
                <w:color w:val="auto"/>
              </w:rPr>
              <w:t>0</w:t>
            </w:r>
          </w:p>
        </w:tc>
      </w:t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Charles B. Johnson:</w:t>
            </w:r>
          </w:p>
        </w:tc>
        <w:tc>
          <w:tcPr>
            <w:tcW w:w="1020" w:type="dxa"/>
            <w:vAlign w:val="bottom"/>
          </w:tcPr>
          <w:p>
            <w:pPr>
              <w:ind w:left="160"/>
              <w:spacing w:after="0"/>
              <w:rPr>
                <w:sz w:val="20"/>
                <w:szCs w:val="20"/>
                <w:color w:val="auto"/>
              </w:rPr>
            </w:pPr>
            <w:r>
              <w:rPr>
                <w:rFonts w:ascii="Arial" w:cs="Arial" w:eastAsia="Arial" w:hAnsi="Arial"/>
                <w:sz w:val="22"/>
                <w:szCs w:val="22"/>
                <w:color w:val="auto"/>
              </w:rPr>
              <w:t>0</w:t>
            </w:r>
          </w:p>
        </w:tc>
      </w:t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Rupert H. Johnson, Jr.:</w:t>
            </w:r>
          </w:p>
        </w:tc>
        <w:tc>
          <w:tcPr>
            <w:tcW w:w="1020" w:type="dxa"/>
            <w:vAlign w:val="bottom"/>
          </w:tcPr>
          <w:p>
            <w:pPr>
              <w:ind w:left="160"/>
              <w:spacing w:after="0"/>
              <w:rPr>
                <w:sz w:val="20"/>
                <w:szCs w:val="20"/>
                <w:color w:val="auto"/>
              </w:rPr>
            </w:pPr>
            <w:r>
              <w:rPr>
                <w:rFonts w:ascii="Arial" w:cs="Arial" w:eastAsia="Arial" w:hAnsi="Arial"/>
                <w:sz w:val="22"/>
                <w:szCs w:val="22"/>
                <w:color w:val="auto"/>
              </w:rPr>
              <w:t>0</w:t>
            </w:r>
          </w:p>
        </w:tc>
      </w:tr>
      <w:tr>
        <w:trPr>
          <w:trHeight w:val="270"/>
        </w:trPr>
        <w:tc>
          <w:tcPr>
            <w:tcW w:w="2980" w:type="dxa"/>
            <w:vAlign w:val="bottom"/>
          </w:tcPr>
          <w:p>
            <w:pPr>
              <w:spacing w:after="0"/>
              <w:rPr>
                <w:sz w:val="20"/>
                <w:szCs w:val="20"/>
                <w:color w:val="auto"/>
              </w:rPr>
            </w:pPr>
            <w:r>
              <w:rPr>
                <w:rFonts w:ascii="Arial" w:cs="Arial" w:eastAsia="Arial" w:hAnsi="Arial"/>
                <w:sz w:val="22"/>
                <w:szCs w:val="22"/>
                <w:color w:val="auto"/>
              </w:rPr>
              <w:t>Franklin Advisers, Inc.:</w:t>
            </w:r>
          </w:p>
        </w:tc>
        <w:tc>
          <w:tcPr>
            <w:tcW w:w="1020" w:type="dxa"/>
            <w:vAlign w:val="bottom"/>
          </w:tcPr>
          <w:p>
            <w:pPr>
              <w:ind w:left="160"/>
              <w:spacing w:after="0"/>
              <w:rPr>
                <w:sz w:val="20"/>
                <w:szCs w:val="20"/>
                <w:color w:val="auto"/>
              </w:rPr>
            </w:pPr>
            <w:r>
              <w:rPr>
                <w:rFonts w:ascii="Arial" w:cs="Arial" w:eastAsia="Arial" w:hAnsi="Arial"/>
                <w:sz w:val="22"/>
                <w:szCs w:val="22"/>
                <w:color w:val="auto"/>
                <w:w w:val="85"/>
              </w:rPr>
              <w:t>5,926,000</w:t>
            </w: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Fiduciary Trust Company</w:t>
            </w:r>
          </w:p>
        </w:tc>
        <w:tc>
          <w:tcPr>
            <w:tcW w:w="1020" w:type="dxa"/>
            <w:vAlign w:val="bottom"/>
          </w:tcPr>
          <w:p>
            <w:pPr>
              <w:ind w:left="160"/>
              <w:spacing w:after="0" w:line="243" w:lineRule="exact"/>
              <w:rPr>
                <w:sz w:val="20"/>
                <w:szCs w:val="20"/>
                <w:color w:val="auto"/>
              </w:rPr>
            </w:pPr>
            <w:r>
              <w:rPr>
                <w:rFonts w:ascii="Arial" w:cs="Arial" w:eastAsia="Arial" w:hAnsi="Arial"/>
                <w:sz w:val="22"/>
                <w:szCs w:val="22"/>
                <w:color w:val="auto"/>
              </w:rPr>
              <w:t>2,100</w:t>
            </w: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International:</w:t>
            </w:r>
          </w:p>
        </w:tc>
        <w:tc>
          <w:tcPr>
            <w:tcW w:w="1020" w:type="dxa"/>
            <w:vAlign w:val="bottom"/>
          </w:tcPr>
          <w:p>
            <w:pPr>
              <w:spacing w:after="0"/>
              <w:rPr>
                <w:sz w:val="21"/>
                <w:szCs w:val="21"/>
                <w:color w:val="auto"/>
              </w:rPr>
            </w:pP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w w:val="94"/>
              </w:rPr>
              <w:t>Franklin Templeton Investments</w:t>
            </w:r>
          </w:p>
        </w:tc>
        <w:tc>
          <w:tcPr>
            <w:tcW w:w="1020" w:type="dxa"/>
            <w:vAlign w:val="bottom"/>
          </w:tcPr>
          <w:p>
            <w:pPr>
              <w:ind w:left="160"/>
              <w:spacing w:after="0" w:line="243" w:lineRule="exact"/>
              <w:rPr>
                <w:sz w:val="20"/>
                <w:szCs w:val="20"/>
                <w:color w:val="auto"/>
              </w:rPr>
            </w:pPr>
            <w:r>
              <w:rPr>
                <w:rFonts w:ascii="Arial" w:cs="Arial" w:eastAsia="Arial" w:hAnsi="Arial"/>
                <w:sz w:val="22"/>
                <w:szCs w:val="22"/>
                <w:color w:val="auto"/>
              </w:rPr>
              <w:t>25</w:t>
            </w: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Corp.:</w:t>
            </w:r>
          </w:p>
        </w:tc>
        <w:tc>
          <w:tcPr>
            <w:tcW w:w="1020" w:type="dxa"/>
            <w:vAlign w:val="bottom"/>
          </w:tcPr>
          <w:p>
            <w:pPr>
              <w:spacing w:after="0"/>
              <w:rPr>
                <w:sz w:val="21"/>
                <w:szCs w:val="21"/>
                <w:color w:val="auto"/>
              </w:rPr>
            </w:pPr>
          </w:p>
        </w:tc>
      </w:tr>
      <w:tr>
        <w:trPr>
          <w:trHeight w:val="243"/>
        </w:trPr>
        <w:tc>
          <w:tcPr>
            <w:tcW w:w="2980" w:type="dxa"/>
            <w:vAlign w:val="bottom"/>
          </w:tcPr>
          <w:p>
            <w:pPr>
              <w:spacing w:after="0" w:line="243" w:lineRule="exact"/>
              <w:rPr>
                <w:sz w:val="20"/>
                <w:szCs w:val="20"/>
                <w:color w:val="auto"/>
              </w:rPr>
            </w:pPr>
            <w:r>
              <w:rPr>
                <w:rFonts w:ascii="Arial" w:cs="Arial" w:eastAsia="Arial" w:hAnsi="Arial"/>
                <w:sz w:val="22"/>
                <w:szCs w:val="22"/>
                <w:color w:val="auto"/>
              </w:rPr>
              <w:t>Franklin Templeton Portfolio</w:t>
            </w:r>
          </w:p>
        </w:tc>
        <w:tc>
          <w:tcPr>
            <w:tcW w:w="1020" w:type="dxa"/>
            <w:vAlign w:val="bottom"/>
          </w:tcPr>
          <w:p>
            <w:pPr>
              <w:ind w:left="160"/>
              <w:spacing w:after="0" w:line="243" w:lineRule="exact"/>
              <w:rPr>
                <w:sz w:val="20"/>
                <w:szCs w:val="20"/>
                <w:color w:val="auto"/>
              </w:rPr>
            </w:pPr>
            <w:r>
              <w:rPr>
                <w:rFonts w:ascii="Arial" w:cs="Arial" w:eastAsia="Arial" w:hAnsi="Arial"/>
                <w:sz w:val="22"/>
                <w:szCs w:val="22"/>
                <w:color w:val="auto"/>
              </w:rPr>
              <w:t>25</w:t>
            </w:r>
          </w:p>
        </w:tc>
      </w:tr>
      <w:tr>
        <w:trPr>
          <w:trHeight w:val="275"/>
        </w:trPr>
        <w:tc>
          <w:tcPr>
            <w:tcW w:w="2980" w:type="dxa"/>
            <w:vAlign w:val="bottom"/>
          </w:tcPr>
          <w:p>
            <w:pPr>
              <w:spacing w:after="0"/>
              <w:rPr>
                <w:sz w:val="20"/>
                <w:szCs w:val="20"/>
                <w:color w:val="auto"/>
              </w:rPr>
            </w:pPr>
            <w:r>
              <w:rPr>
                <w:rFonts w:ascii="Arial" w:cs="Arial" w:eastAsia="Arial" w:hAnsi="Arial"/>
                <w:sz w:val="22"/>
                <w:szCs w:val="22"/>
                <w:color w:val="auto"/>
              </w:rPr>
              <w:t>Advisors, Inc.:</w:t>
            </w:r>
          </w:p>
        </w:tc>
        <w:tc>
          <w:tcPr>
            <w:tcW w:w="1020" w:type="dxa"/>
            <w:vAlign w:val="bottom"/>
          </w:tcPr>
          <w:p>
            <w:pPr>
              <w:spacing w:after="0"/>
              <w:rPr>
                <w:sz w:val="23"/>
                <w:szCs w:val="23"/>
                <w:color w:val="auto"/>
              </w:rPr>
            </w:pPr>
          </w:p>
        </w:tc>
      </w:tr>
    </w:tbl>
    <w:p>
      <w:pPr>
        <w:spacing w:after="0" w:line="225" w:lineRule="exact"/>
        <w:rPr>
          <w:sz w:val="20"/>
          <w:szCs w:val="20"/>
          <w:color w:val="auto"/>
        </w:rPr>
      </w:pPr>
    </w:p>
    <w:p>
      <w:pPr>
        <w:ind w:left="4700" w:right="2820" w:firstLine="8"/>
        <w:spacing w:after="0" w:line="276" w:lineRule="auto"/>
        <w:tabs>
          <w:tab w:leader="none" w:pos="5066" w:val="left"/>
        </w:tabs>
        <w:numPr>
          <w:ilvl w:val="0"/>
          <w:numId w:val="6"/>
        </w:numPr>
        <w:rPr>
          <w:rFonts w:ascii="Arial" w:cs="Arial" w:eastAsia="Arial" w:hAnsi="Arial"/>
          <w:sz w:val="22"/>
          <w:szCs w:val="22"/>
          <w:color w:val="auto"/>
        </w:rPr>
      </w:pPr>
      <w:r>
        <w:rPr>
          <w:rFonts w:ascii="Arial" w:cs="Arial" w:eastAsia="Arial" w:hAnsi="Arial"/>
          <w:sz w:val="22"/>
          <w:szCs w:val="22"/>
          <w:color w:val="auto"/>
        </w:rPr>
        <w:t>Shared power to dispose or to direct the disposition of</w:t>
      </w:r>
    </w:p>
    <w:p>
      <w:pPr>
        <w:spacing w:after="0" w:line="201"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Item 5. Ownership of Five Percent or Less of a Class</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w:t>
      </w:r>
    </w:p>
    <w:p>
      <w:pPr>
        <w:ind w:firstLine="44"/>
        <w:spacing w:after="0" w:line="232" w:lineRule="auto"/>
        <w:rPr>
          <w:sz w:val="20"/>
          <w:szCs w:val="20"/>
          <w:color w:val="auto"/>
        </w:rPr>
      </w:pPr>
      <w:r>
        <w:rPr>
          <w:rFonts w:ascii="Arial" w:cs="Arial" w:eastAsia="Arial" w:hAnsi="Arial"/>
          <w:sz w:val="22"/>
          <w:szCs w:val="22"/>
          <w:color w:val="auto"/>
        </w:rPr>
        <w:t>Franklin Templeton Portfolio Advisors, Inc. (FTPA) may beneficially own these securities pursuant to various separately managed account investment management arrangements. Under these arrangements, each underlying client may, from time to time, either retain, delegate to FTPA entirely, or delegate to FTPA only with respect to certain matters, the power to vote such securities. To the extent that FTPA has voting power over any such securities, it has sole voting power. Notwithstanding the foregoing, to the extent that an underlying client retains voting power over any shares, FTPA disclaims any power to vote or direct the vote of such securities.</w:t>
      </w:r>
    </w:p>
    <w:p>
      <w:pPr>
        <w:sectPr>
          <w:pgSz w:w="11900" w:h="16838" w:orient="portrait"/>
          <w:cols w:equalWidth="0" w:num="1">
            <w:col w:w="11340"/>
          </w:cols>
          <w:pgMar w:left="240" w:top="118" w:right="319" w:bottom="220" w:gutter="0" w:footer="0" w:header="0"/>
        </w:sectPr>
      </w:pPr>
    </w:p>
    <w:bookmarkStart w:id="8" w:name="page9"/>
    <w:bookmarkEnd w:id="8"/>
    <w:p>
      <w:pPr>
        <w:spacing w:after="0" w:line="232" w:lineRule="auto"/>
        <w:rPr>
          <w:sz w:val="20"/>
          <w:szCs w:val="20"/>
          <w:color w:val="auto"/>
        </w:rPr>
      </w:pPr>
    </w:p>
    <w:p>
      <w:pPr>
        <w:sectPr>
          <w:pgSz w:w="11900" w:h="16838" w:orient="portrait"/>
          <w:cols w:equalWidth="1" w:num="1" w:space="0"/>
          <w:pgMar w:left="1440" w:top="1440" w:right="1440" w:bottom="875" w:gutter="0" w:footer="0" w:header="0"/>
        </w:sectPr>
      </w:pPr>
    </w:p>
    <w:bookmarkStart w:id="9" w:name="page10"/>
    <w:bookmarkEnd w:id="9"/>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9 OF 13</w:t>
      </w:r>
    </w:p>
    <w:p>
      <w:pPr>
        <w:spacing w:after="0" w:line="200" w:lineRule="exact"/>
        <w:rPr>
          <w:sz w:val="20"/>
          <w:szCs w:val="20"/>
          <w:color w:val="auto"/>
        </w:rPr>
      </w:pPr>
    </w:p>
    <w:p>
      <w:pPr>
        <w:spacing w:after="0" w:line="250" w:lineRule="exact"/>
        <w:rPr>
          <w:sz w:val="20"/>
          <w:szCs w:val="20"/>
          <w:color w:val="auto"/>
        </w:rPr>
      </w:pPr>
    </w:p>
    <w:p>
      <w:pPr>
        <w:ind w:left="980" w:right="480"/>
        <w:spacing w:after="0" w:line="257"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w:t>
      </w:r>
    </w:p>
    <w:p>
      <w:pPr>
        <w:ind w:left="4700"/>
        <w:spacing w:after="0"/>
        <w:rPr>
          <w:sz w:val="20"/>
          <w:szCs w:val="20"/>
          <w:color w:val="auto"/>
        </w:rPr>
      </w:pPr>
      <w:r>
        <w:rPr>
          <w:rFonts w:ascii="Arial" w:cs="Arial" w:eastAsia="Arial" w:hAnsi="Arial"/>
          <w:sz w:val="22"/>
          <w:szCs w:val="22"/>
          <w:color w:val="auto"/>
        </w:rPr>
        <w:t>Not Applicable</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Item 6. Ownership of More than Five Percent on Behalf of Another Person</w:t>
      </w:r>
    </w:p>
    <w:p>
      <w:pPr>
        <w:spacing w:after="0" w:line="233" w:lineRule="exact"/>
        <w:rPr>
          <w:sz w:val="20"/>
          <w:szCs w:val="20"/>
          <w:color w:val="auto"/>
        </w:rPr>
      </w:pPr>
    </w:p>
    <w:p>
      <w:pPr>
        <w:jc w:val="both"/>
        <w:ind w:left="980"/>
        <w:spacing w:after="0" w:line="258" w:lineRule="auto"/>
        <w:rPr>
          <w:sz w:val="20"/>
          <w:szCs w:val="20"/>
          <w:color w:val="auto"/>
        </w:rPr>
      </w:pPr>
      <w:r>
        <w:rPr>
          <w:rFonts w:ascii="Arial" w:cs="Arial" w:eastAsia="Arial" w:hAnsi="Arial"/>
          <w:sz w:val="21"/>
          <w:szCs w:val="21"/>
          <w:color w:val="auto"/>
        </w:rPr>
        <w:t>The clients of the Adviser Subsidiaries, including investment companies registered under the Investment Company Act of 1940 and other managed accounts, have the right to receive or power to direct the receipt of dividends from, as well as the proceeds from the sale of, such securities reported on in this statement.</w:t>
      </w:r>
    </w:p>
    <w:p>
      <w:pPr>
        <w:spacing w:after="0" w:line="194" w:lineRule="exact"/>
        <w:rPr>
          <w:sz w:val="20"/>
          <w:szCs w:val="20"/>
          <w:color w:val="auto"/>
        </w:rPr>
      </w:pPr>
    </w:p>
    <w:p>
      <w:pPr>
        <w:ind w:left="980" w:right="40" w:hanging="971"/>
        <w:spacing w:after="0" w:line="251" w:lineRule="auto"/>
        <w:rPr>
          <w:sz w:val="20"/>
          <w:szCs w:val="20"/>
          <w:color w:val="auto"/>
        </w:rPr>
      </w:pPr>
      <w:r>
        <w:rPr>
          <w:rFonts w:ascii="Arial" w:cs="Arial" w:eastAsia="Arial" w:hAnsi="Arial"/>
          <w:sz w:val="22"/>
          <w:szCs w:val="22"/>
          <w:color w:val="auto"/>
        </w:rPr>
        <w:t>Item 7. Identification and Classification of the Subsidiary Which Acquired the Security Being Reported on By the Parent Holding Company</w:t>
      </w:r>
    </w:p>
    <w:p>
      <w:pPr>
        <w:spacing w:after="0" w:line="200" w:lineRule="exact"/>
        <w:rPr>
          <w:sz w:val="20"/>
          <w:szCs w:val="20"/>
          <w:color w:val="auto"/>
        </w:rPr>
      </w:pPr>
    </w:p>
    <w:p>
      <w:pPr>
        <w:ind w:left="980"/>
        <w:spacing w:after="0"/>
        <w:rPr>
          <w:sz w:val="20"/>
          <w:szCs w:val="20"/>
          <w:color w:val="auto"/>
        </w:rPr>
      </w:pPr>
      <w:r>
        <w:rPr>
          <w:rFonts w:ascii="Arial" w:cs="Arial" w:eastAsia="Arial" w:hAnsi="Arial"/>
          <w:sz w:val="22"/>
          <w:szCs w:val="22"/>
          <w:color w:val="auto"/>
        </w:rPr>
        <w:t>See Attached Exhibit C</w:t>
      </w:r>
    </w:p>
    <w:p>
      <w:pPr>
        <w:spacing w:after="0" w:line="8" w:lineRule="exact"/>
        <w:rPr>
          <w:sz w:val="20"/>
          <w:szCs w:val="20"/>
          <w:color w:val="auto"/>
        </w:rPr>
      </w:pPr>
    </w:p>
    <w:p>
      <w:pPr>
        <w:ind w:left="980"/>
        <w:spacing w:after="0"/>
        <w:rPr>
          <w:sz w:val="20"/>
          <w:szCs w:val="20"/>
          <w:color w:val="auto"/>
        </w:rPr>
      </w:pPr>
      <w:r>
        <w:rPr>
          <w:rFonts w:ascii="Arial" w:cs="Arial" w:eastAsia="Arial" w:hAnsi="Arial"/>
          <w:sz w:val="22"/>
          <w:szCs w:val="22"/>
          <w:color w:val="auto"/>
        </w:rPr>
        <w:t>(See also Item 4)</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Item 8. Identification and Classification of Members of the Group</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Not Applicable (See also Item 4)</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Item 9. Notice of Dissolution of Group</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Not Applicable</w:t>
      </w:r>
    </w:p>
    <w:p>
      <w:pPr>
        <w:sectPr>
          <w:pgSz w:w="11900" w:h="16838" w:orient="portrait"/>
          <w:cols w:equalWidth="0" w:num="1">
            <w:col w:w="11280"/>
          </w:cols>
          <w:pgMar w:left="240" w:top="118" w:right="379" w:bottom="1440" w:gutter="0" w:footer="0" w:header="0"/>
        </w:sectPr>
      </w:pPr>
    </w:p>
    <w:bookmarkStart w:id="10" w:name="page11"/>
    <w:bookmarkEnd w:id="10"/>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10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Item 10. Certification</w:t>
      </w:r>
    </w:p>
    <w:p>
      <w:pPr>
        <w:spacing w:after="0" w:line="233" w:lineRule="exact"/>
        <w:rPr>
          <w:sz w:val="20"/>
          <w:szCs w:val="20"/>
          <w:color w:val="auto"/>
        </w:rPr>
      </w:pPr>
    </w:p>
    <w:p>
      <w:pPr>
        <w:spacing w:after="0" w:line="238" w:lineRule="auto"/>
        <w:rPr>
          <w:sz w:val="20"/>
          <w:szCs w:val="20"/>
          <w:color w:val="auto"/>
        </w:rPr>
      </w:pPr>
      <w:r>
        <w:rPr>
          <w:rFonts w:ascii="Arial" w:cs="Arial" w:eastAsia="Arial" w:hAnsi="Arial"/>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12" w:lineRule="exact"/>
        <w:rPr>
          <w:sz w:val="20"/>
          <w:szCs w:val="20"/>
          <w:color w:val="auto"/>
        </w:rPr>
      </w:pPr>
    </w:p>
    <w:p>
      <w:pPr>
        <w:ind w:right="820"/>
        <w:spacing w:after="0" w:line="251" w:lineRule="auto"/>
        <w:rPr>
          <w:sz w:val="20"/>
          <w:szCs w:val="20"/>
          <w:color w:val="auto"/>
        </w:rPr>
      </w:pPr>
      <w:r>
        <w:rPr>
          <w:rFonts w:ascii="Arial" w:cs="Arial" w:eastAsia="Arial" w:hAnsi="Arial"/>
          <w:sz w:val="22"/>
          <w:szCs w:val="22"/>
          <w:color w:val="auto"/>
        </w:rPr>
        <w:t>This report shall not be construed as an admission by the persons filing the report that they are the beneficial owner of any securities covered by this report.</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SIGNATURE</w:t>
      </w:r>
    </w:p>
    <w:p>
      <w:pPr>
        <w:spacing w:after="0" w:line="233" w:lineRule="exact"/>
        <w:rPr>
          <w:sz w:val="20"/>
          <w:szCs w:val="20"/>
          <w:color w:val="auto"/>
        </w:rPr>
      </w:pPr>
    </w:p>
    <w:p>
      <w:pPr>
        <w:ind w:right="40"/>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color w:val="auto"/>
        </w:rPr>
        <w:t>Dated: Febuary 2, 2006</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Franklin Resources, Inc.</w:t>
      </w:r>
    </w:p>
    <w:p>
      <w:pPr>
        <w:spacing w:after="0" w:line="238" w:lineRule="auto"/>
        <w:rPr>
          <w:sz w:val="20"/>
          <w:szCs w:val="20"/>
          <w:color w:val="auto"/>
        </w:rPr>
      </w:pPr>
      <w:r>
        <w:rPr>
          <w:rFonts w:ascii="Arial" w:cs="Arial" w:eastAsia="Arial" w:hAnsi="Arial"/>
          <w:sz w:val="22"/>
          <w:szCs w:val="22"/>
          <w:color w:val="auto"/>
        </w:rPr>
        <w:t>Charles B. Johnson</w:t>
      </w:r>
    </w:p>
    <w:p>
      <w:pPr>
        <w:spacing w:after="0" w:line="230" w:lineRule="auto"/>
        <w:rPr>
          <w:sz w:val="20"/>
          <w:szCs w:val="20"/>
          <w:color w:val="auto"/>
        </w:rPr>
      </w:pPr>
      <w:r>
        <w:rPr>
          <w:rFonts w:ascii="Arial" w:cs="Arial" w:eastAsia="Arial" w:hAnsi="Arial"/>
          <w:sz w:val="22"/>
          <w:szCs w:val="22"/>
          <w:color w:val="auto"/>
        </w:rPr>
        <w:t>Rupert H. Johnson, Jr.</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Franklin Advisers, Inc.</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color w:val="auto"/>
        </w:rPr>
        <w:t>By: /s/BARBARA J. GREEN</w:t>
      </w:r>
    </w:p>
    <w:p>
      <w:pPr>
        <w:ind w:left="4700"/>
        <w:spacing w:after="0" w:line="192" w:lineRule="auto"/>
        <w:rPr>
          <w:sz w:val="20"/>
          <w:szCs w:val="20"/>
          <w:color w:val="auto"/>
        </w:rPr>
      </w:pPr>
      <w:r>
        <w:rPr>
          <w:rFonts w:ascii="Arial" w:cs="Arial" w:eastAsia="Arial" w:hAnsi="Arial"/>
          <w:sz w:val="22"/>
          <w:szCs w:val="22"/>
          <w:color w:val="auto"/>
        </w:rPr>
        <w:t>-----------------------</w:t>
      </w:r>
    </w:p>
    <w:p>
      <w:pPr>
        <w:ind w:left="4700"/>
        <w:spacing w:after="0"/>
        <w:rPr>
          <w:sz w:val="20"/>
          <w:szCs w:val="20"/>
          <w:color w:val="auto"/>
        </w:rPr>
      </w:pPr>
      <w:r>
        <w:rPr>
          <w:rFonts w:ascii="Arial" w:cs="Arial" w:eastAsia="Arial" w:hAnsi="Arial"/>
          <w:sz w:val="22"/>
          <w:szCs w:val="22"/>
          <w:color w:val="auto"/>
        </w:rPr>
        <w:t>Barbara J. Green</w:t>
      </w:r>
    </w:p>
    <w:p>
      <w:pPr>
        <w:spacing w:after="0" w:line="4"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Vice President, Deputy General Counsel,</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and Secretary of Franklin Resources, Inc.</w:t>
      </w:r>
    </w:p>
    <w:p>
      <w:pPr>
        <w:spacing w:after="0" w:line="242"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Charles B. Johnson pursuant to Power of Attorney attached to this Schedule 13G</w:t>
      </w:r>
    </w:p>
    <w:p>
      <w:pPr>
        <w:spacing w:after="0" w:line="233"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Rupert H. Johnson, Jr. pursuant to Power of Attorney attached to this Schedule 13G</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Secretary of Franklin Advisers, Inc.</w:t>
      </w:r>
    </w:p>
    <w:p>
      <w:pPr>
        <w:sectPr>
          <w:pgSz w:w="11900" w:h="16838" w:orient="portrait"/>
          <w:cols w:equalWidth="0" w:num="1">
            <w:col w:w="11400"/>
          </w:cols>
          <w:pgMar w:left="240" w:top="118" w:right="259" w:bottom="1440" w:gutter="0" w:footer="0" w:header="0"/>
        </w:sectPr>
      </w:pPr>
    </w:p>
    <w:bookmarkStart w:id="11" w:name="page12"/>
    <w:bookmarkEnd w:id="11"/>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11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EXHIBIT A</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JOINT FILING AGREEMENT</w:t>
      </w:r>
    </w:p>
    <w:p>
      <w:pPr>
        <w:spacing w:after="0" w:line="233" w:lineRule="exact"/>
        <w:rPr>
          <w:sz w:val="20"/>
          <w:szCs w:val="20"/>
          <w:color w:val="auto"/>
        </w:rPr>
      </w:pPr>
    </w:p>
    <w:p>
      <w:pPr>
        <w:spacing w:after="0" w:line="258" w:lineRule="auto"/>
        <w:rPr>
          <w:sz w:val="20"/>
          <w:szCs w:val="20"/>
          <w:color w:val="auto"/>
        </w:rPr>
      </w:pPr>
      <w:r>
        <w:rPr>
          <w:rFonts w:ascii="Arial" w:cs="Arial" w:eastAsia="Arial" w:hAnsi="Arial"/>
          <w:sz w:val="21"/>
          <w:szCs w:val="21"/>
          <w:color w:val="auto"/>
        </w:rPr>
        <w:t>In accordance with Rule 13d-1(k) under the Securities Exchange Act of 1934, as amended, the undersigned hereby agree to the joint filing with each other of the attached statement on Schedule 13G and to all amendments to such statement and that such statement and all amendments to such statement are made on behalf of each of them.</w:t>
      </w:r>
    </w:p>
    <w:p>
      <w:pPr>
        <w:spacing w:after="0" w:line="194" w:lineRule="exact"/>
        <w:rPr>
          <w:sz w:val="20"/>
          <w:szCs w:val="20"/>
          <w:color w:val="auto"/>
        </w:rPr>
      </w:pPr>
    </w:p>
    <w:p>
      <w:pPr>
        <w:ind w:right="4340"/>
        <w:spacing w:after="0" w:line="251" w:lineRule="auto"/>
        <w:rPr>
          <w:sz w:val="20"/>
          <w:szCs w:val="20"/>
          <w:color w:val="auto"/>
        </w:rPr>
      </w:pPr>
      <w:r>
        <w:rPr>
          <w:rFonts w:ascii="Arial" w:cs="Arial" w:eastAsia="Arial" w:hAnsi="Arial"/>
          <w:sz w:val="22"/>
          <w:szCs w:val="22"/>
          <w:color w:val="auto"/>
        </w:rPr>
        <w:t>IN WITNESS WHEREOF, the undersigned have executed this agreement on Febuary 2, 2006.</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color w:val="auto"/>
        </w:rPr>
        <w:t>Franklin Resources, Inc.</w:t>
      </w:r>
    </w:p>
    <w:p>
      <w:pPr>
        <w:spacing w:after="0" w:line="238" w:lineRule="auto"/>
        <w:rPr>
          <w:sz w:val="20"/>
          <w:szCs w:val="20"/>
          <w:color w:val="auto"/>
        </w:rPr>
      </w:pPr>
      <w:r>
        <w:rPr>
          <w:rFonts w:ascii="Arial" w:cs="Arial" w:eastAsia="Arial" w:hAnsi="Arial"/>
          <w:sz w:val="22"/>
          <w:szCs w:val="22"/>
          <w:color w:val="auto"/>
        </w:rPr>
        <w:t>Charles B. Johnson</w:t>
      </w:r>
    </w:p>
    <w:p>
      <w:pPr>
        <w:spacing w:after="0" w:line="230" w:lineRule="auto"/>
        <w:rPr>
          <w:sz w:val="20"/>
          <w:szCs w:val="20"/>
          <w:color w:val="auto"/>
        </w:rPr>
      </w:pPr>
      <w:r>
        <w:rPr>
          <w:rFonts w:ascii="Arial" w:cs="Arial" w:eastAsia="Arial" w:hAnsi="Arial"/>
          <w:sz w:val="22"/>
          <w:szCs w:val="22"/>
          <w:color w:val="auto"/>
        </w:rPr>
        <w:t>Rupert H. Johnson, Jr.</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Franklin Advisers, Inc.</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By: /s/BARBARA J. GREEN</w:t>
      </w:r>
    </w:p>
    <w:p>
      <w:pPr>
        <w:ind w:left="4700"/>
        <w:spacing w:after="0" w:line="192" w:lineRule="auto"/>
        <w:rPr>
          <w:sz w:val="20"/>
          <w:szCs w:val="20"/>
          <w:color w:val="auto"/>
        </w:rPr>
      </w:pPr>
      <w:r>
        <w:rPr>
          <w:rFonts w:ascii="Arial" w:cs="Arial" w:eastAsia="Arial" w:hAnsi="Arial"/>
          <w:sz w:val="22"/>
          <w:szCs w:val="22"/>
          <w:color w:val="auto"/>
        </w:rPr>
        <w:t>-----------------------</w:t>
      </w:r>
    </w:p>
    <w:p>
      <w:pPr>
        <w:ind w:left="4700"/>
        <w:spacing w:after="0"/>
        <w:rPr>
          <w:sz w:val="20"/>
          <w:szCs w:val="20"/>
          <w:color w:val="auto"/>
        </w:rPr>
      </w:pPr>
      <w:r>
        <w:rPr>
          <w:rFonts w:ascii="Arial" w:cs="Arial" w:eastAsia="Arial" w:hAnsi="Arial"/>
          <w:sz w:val="22"/>
          <w:szCs w:val="22"/>
          <w:color w:val="auto"/>
        </w:rPr>
        <w:t>Barbara J. Green</w:t>
      </w:r>
    </w:p>
    <w:p>
      <w:pPr>
        <w:spacing w:after="0" w:line="4"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Vice President, Deputy General Counsel,</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and Secretary of Franklin Resources, Inc.</w:t>
      </w:r>
    </w:p>
    <w:p>
      <w:pPr>
        <w:spacing w:after="0" w:line="242"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Charles B. Johnson pursuant to Power of Attorney attached to this Schedule 13G</w:t>
      </w:r>
    </w:p>
    <w:p>
      <w:pPr>
        <w:spacing w:after="0" w:line="233"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Rupert H. Johnson, Jr. pursuant to Power of Attorney attached to this Schedule 13G</w:t>
      </w:r>
    </w:p>
    <w:p>
      <w:pPr>
        <w:spacing w:after="0" w:line="233" w:lineRule="exact"/>
        <w:rPr>
          <w:sz w:val="20"/>
          <w:szCs w:val="20"/>
          <w:color w:val="auto"/>
        </w:rPr>
      </w:pPr>
    </w:p>
    <w:p>
      <w:pPr>
        <w:ind w:left="440"/>
        <w:spacing w:after="0"/>
        <w:rPr>
          <w:sz w:val="20"/>
          <w:szCs w:val="20"/>
          <w:color w:val="auto"/>
        </w:rPr>
      </w:pPr>
      <w:r>
        <w:rPr>
          <w:rFonts w:ascii="Arial" w:cs="Arial" w:eastAsia="Arial" w:hAnsi="Arial"/>
          <w:sz w:val="22"/>
          <w:szCs w:val="22"/>
          <w:color w:val="auto"/>
        </w:rPr>
        <w:t>Secretary of Franklin Advisers, Inc.</w:t>
      </w:r>
    </w:p>
    <w:p>
      <w:pPr>
        <w:sectPr>
          <w:pgSz w:w="11900" w:h="16838" w:orient="portrait"/>
          <w:cols w:equalWidth="0" w:num="1">
            <w:col w:w="11000"/>
          </w:cols>
          <w:pgMar w:left="240" w:top="118" w:right="659" w:bottom="1440" w:gutter="0" w:footer="0" w:header="0"/>
        </w:sectPr>
      </w:pPr>
    </w:p>
    <w:bookmarkStart w:id="12" w:name="page13"/>
    <w:bookmarkEnd w:id="12"/>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12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EXHIBIT B</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POWER OF ATTORNEY</w:t>
      </w:r>
    </w:p>
    <w:p>
      <w:pPr>
        <w:spacing w:after="0" w:line="233" w:lineRule="exact"/>
        <w:rPr>
          <w:sz w:val="20"/>
          <w:szCs w:val="20"/>
          <w:color w:val="auto"/>
        </w:rPr>
      </w:pPr>
    </w:p>
    <w:p>
      <w:pPr>
        <w:spacing w:after="0" w:line="235" w:lineRule="auto"/>
        <w:rPr>
          <w:sz w:val="20"/>
          <w:szCs w:val="20"/>
          <w:color w:val="auto"/>
        </w:rPr>
      </w:pPr>
      <w:r>
        <w:rPr>
          <w:rFonts w:ascii="Arial" w:cs="Arial" w:eastAsia="Arial" w:hAnsi="Arial"/>
          <w:sz w:val="22"/>
          <w:szCs w:val="22"/>
          <w:color w:val="auto"/>
        </w:rPr>
        <w:t>CHARLES B. JOHNSON hereby appoints BARBARA J. GREEN his true and lawful attorney-in-fact and agent to execute and file with the Securities and Exchange Commission any Schedule 13G or 13D, any amendments thereto or any related documentation which may be required to be filed in his individual capacity as a result of his position as an officer, director or shareholder of Franklin Resources, Inc. and, granting unto said attorney-in-fact and agent, full power and authority to do and perform each and every act and thing which he might or could do in person, hereby ratifying and confirming all that said attorney-in-fact and agent, may lawfully do or cause to be done by virtue hereof.</w:t>
      </w:r>
    </w:p>
    <w:p>
      <w:pPr>
        <w:sectPr>
          <w:pgSz w:w="11900" w:h="16838" w:orient="portrait"/>
          <w:cols w:equalWidth="0" w:num="1">
            <w:col w:w="11380"/>
          </w:cols>
          <w:pgMar w:left="240" w:top="118" w:right="279" w:bottom="1440" w:gutter="0" w:footer="0" w:header="0"/>
        </w:sectPr>
      </w:pPr>
    </w:p>
    <w:p>
      <w:pPr>
        <w:spacing w:after="0" w:line="215" w:lineRule="exact"/>
        <w:rPr>
          <w:sz w:val="20"/>
          <w:szCs w:val="20"/>
          <w:color w:val="auto"/>
        </w:rPr>
      </w:pPr>
    </w:p>
    <w:p>
      <w:pPr>
        <w:spacing w:after="0"/>
        <w:rPr>
          <w:sz w:val="20"/>
          <w:szCs w:val="20"/>
          <w:color w:val="auto"/>
        </w:rPr>
      </w:pPr>
      <w:r>
        <w:rPr>
          <w:rFonts w:ascii="Arial" w:cs="Arial" w:eastAsia="Arial" w:hAnsi="Arial"/>
          <w:sz w:val="19"/>
          <w:szCs w:val="19"/>
          <w:color w:val="auto"/>
        </w:rPr>
        <w:t>Date: 9-11-03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9" w:lineRule="exact"/>
        <w:rPr>
          <w:sz w:val="20"/>
          <w:szCs w:val="20"/>
          <w:color w:val="auto"/>
        </w:rPr>
      </w:pPr>
    </w:p>
    <w:p>
      <w:pPr>
        <w:ind w:left="540"/>
        <w:spacing w:after="0"/>
        <w:rPr>
          <w:sz w:val="20"/>
          <w:szCs w:val="20"/>
          <w:color w:val="auto"/>
        </w:rPr>
      </w:pPr>
      <w:r>
        <w:rPr>
          <w:rFonts w:ascii="Arial" w:cs="Arial" w:eastAsia="Arial" w:hAnsi="Arial"/>
          <w:sz w:val="22"/>
          <w:szCs w:val="22"/>
          <w:color w:val="auto"/>
        </w:rPr>
        <w:t>-------</w:t>
      </w:r>
    </w:p>
    <w:p>
      <w:pPr>
        <w:spacing w:after="0" w:line="8" w:lineRule="exact"/>
        <w:rPr>
          <w:sz w:val="20"/>
          <w:szCs w:val="20"/>
          <w:color w:val="auto"/>
        </w:rPr>
      </w:pPr>
    </w:p>
    <w:p>
      <w:pPr>
        <w:spacing w:after="0"/>
        <w:rPr>
          <w:sz w:val="20"/>
          <w:szCs w:val="20"/>
          <w:color w:val="auto"/>
        </w:rPr>
      </w:pPr>
      <w:r>
        <w:rPr>
          <w:rFonts w:ascii="Arial" w:cs="Arial" w:eastAsia="Arial" w:hAnsi="Arial"/>
          <w:sz w:val="19"/>
          <w:szCs w:val="19"/>
          <w:color w:val="auto"/>
        </w:rPr>
        <w:t>Charles B. Johnson</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/s/Charles B. Johnson</w:t>
      </w:r>
    </w:p>
    <w:p>
      <w:pPr>
        <w:spacing w:after="0" w:line="8" w:lineRule="exact"/>
        <w:rPr>
          <w:sz w:val="20"/>
          <w:szCs w:val="20"/>
          <w:color w:val="auto"/>
        </w:rPr>
      </w:pPr>
    </w:p>
    <w:p>
      <w:pPr>
        <w:ind w:left="1580"/>
        <w:spacing w:after="0"/>
        <w:rPr>
          <w:sz w:val="20"/>
          <w:szCs w:val="20"/>
          <w:color w:val="auto"/>
        </w:rPr>
      </w:pPr>
      <w:r>
        <w:rPr>
          <w:rFonts w:ascii="Arial" w:cs="Arial" w:eastAsia="Arial" w:hAnsi="Arial"/>
          <w:sz w:val="21"/>
          <w:szCs w:val="21"/>
          <w:color w:val="auto"/>
        </w:rPr>
        <w:t>---------------------</w:t>
      </w:r>
    </w:p>
    <w:p>
      <w:pPr>
        <w:spacing w:after="0" w:line="420" w:lineRule="exact"/>
        <w:rPr>
          <w:sz w:val="20"/>
          <w:szCs w:val="20"/>
          <w:color w:val="auto"/>
        </w:rPr>
      </w:pPr>
    </w:p>
    <w:p>
      <w:pPr>
        <w:sectPr>
          <w:pgSz w:w="11900" w:h="16838" w:orient="portrait"/>
          <w:cols w:equalWidth="0" w:num="3">
            <w:col w:w="1880" w:space="720"/>
            <w:col w:w="1680" w:space="420"/>
            <w:col w:w="6680"/>
          </w:cols>
          <w:pgMar w:left="240" w:top="118" w:right="279" w:bottom="1440" w:gutter="0" w:footer="0" w:header="0"/>
          <w:type w:val="continuous"/>
        </w:sectPr>
      </w:pPr>
    </w:p>
    <w:p>
      <w:pPr>
        <w:spacing w:after="0" w:line="50" w:lineRule="exact"/>
        <w:rPr>
          <w:sz w:val="20"/>
          <w:szCs w:val="20"/>
          <w:color w:val="auto"/>
        </w:rPr>
      </w:pPr>
    </w:p>
    <w:p>
      <w:pPr>
        <w:spacing w:after="0"/>
        <w:rPr>
          <w:sz w:val="20"/>
          <w:szCs w:val="20"/>
          <w:color w:val="auto"/>
        </w:rPr>
      </w:pPr>
      <w:r>
        <w:rPr>
          <w:rFonts w:ascii="Arial" w:cs="Arial" w:eastAsia="Arial" w:hAnsi="Arial"/>
          <w:sz w:val="19"/>
          <w:szCs w:val="19"/>
          <w:color w:val="auto"/>
        </w:rPr>
        <w:t>POWER OF ATTORNEY</w:t>
      </w:r>
    </w:p>
    <w:p>
      <w:pPr>
        <w:sectPr>
          <w:pgSz w:w="11900" w:h="16838" w:orient="portrait"/>
          <w:cols w:equalWidth="0" w:num="1">
            <w:col w:w="11380"/>
          </w:cols>
          <w:pgMar w:left="240" w:top="118" w:right="279" w:bottom="1440" w:gutter="0" w:footer="0" w:header="0"/>
          <w:type w:val="continuous"/>
        </w:sectPr>
      </w:pPr>
    </w:p>
    <w:p>
      <w:pPr>
        <w:spacing w:after="0" w:line="268" w:lineRule="exact"/>
        <w:rPr>
          <w:sz w:val="20"/>
          <w:szCs w:val="20"/>
          <w:color w:val="auto"/>
        </w:rPr>
      </w:pPr>
    </w:p>
    <w:p>
      <w:pPr>
        <w:ind w:right="160"/>
        <w:spacing w:after="0" w:line="248" w:lineRule="auto"/>
        <w:rPr>
          <w:sz w:val="20"/>
          <w:szCs w:val="20"/>
          <w:color w:val="auto"/>
        </w:rPr>
      </w:pPr>
      <w:r>
        <w:rPr>
          <w:rFonts w:ascii="Arial" w:cs="Arial" w:eastAsia="Arial" w:hAnsi="Arial"/>
          <w:sz w:val="21"/>
          <w:szCs w:val="21"/>
          <w:color w:val="auto"/>
        </w:rPr>
        <w:t>RUPERT H. JOHNSON hereby appoints BARBARA J. GREEN his true and lawful attorney-in-fact and agent to execute and file with the Securities and Exchange Commission any Schedule 13G or 13D, any amendments thereto or any related documentation which may be required to be filed in his individual capacity as a result of his position as an officer, director or shareholder of Franklin Resources, Inc. and, granting unto said attorney-in-fact and agent, full power and authority to do and perform each and every act and thing which he might or could do in person, hereby ratifying and confirming all that said attorney-in-fact and agent, may lawfully do or cause to be done by virtue hereof.</w:t>
      </w:r>
    </w:p>
    <w:p>
      <w:pPr>
        <w:sectPr>
          <w:pgSz w:w="11900" w:h="16838" w:orient="portrait"/>
          <w:cols w:equalWidth="0" w:num="1">
            <w:col w:w="11380"/>
          </w:cols>
          <w:pgMar w:left="240" w:top="118" w:right="279" w:bottom="1440" w:gutter="0" w:footer="0" w:header="0"/>
          <w:type w:val="continuous"/>
        </w:sectPr>
      </w:pP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color w:val="auto"/>
        </w:rPr>
        <w:t>Date: Sept 4, 2003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21"/>
          <w:szCs w:val="21"/>
          <w:color w:val="auto"/>
        </w:rPr>
        <w:t>------------</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rPr>
          <w:sz w:val="20"/>
          <w:szCs w:val="20"/>
          <w:color w:val="auto"/>
        </w:rPr>
      </w:pPr>
      <w:r>
        <w:rPr>
          <w:rFonts w:ascii="Arial" w:cs="Arial" w:eastAsia="Arial" w:hAnsi="Arial"/>
          <w:sz w:val="22"/>
          <w:szCs w:val="22"/>
          <w:color w:val="auto"/>
        </w:rPr>
        <w:t>/s/Rupert H. Johnson, Jr.</w:t>
      </w:r>
    </w:p>
    <w:p>
      <w:pPr>
        <w:spacing w:after="0" w:line="8" w:lineRule="exact"/>
        <w:rPr>
          <w:sz w:val="20"/>
          <w:szCs w:val="20"/>
          <w:color w:val="auto"/>
        </w:rPr>
      </w:pPr>
    </w:p>
    <w:p>
      <w:pPr>
        <w:ind w:left="1580"/>
        <w:spacing w:after="0"/>
        <w:rPr>
          <w:sz w:val="20"/>
          <w:szCs w:val="20"/>
          <w:color w:val="auto"/>
        </w:rPr>
      </w:pPr>
      <w:r>
        <w:rPr>
          <w:rFonts w:ascii="Arial" w:cs="Arial" w:eastAsia="Arial" w:hAnsi="Arial"/>
          <w:sz w:val="21"/>
          <w:szCs w:val="21"/>
          <w:color w:val="auto"/>
        </w:rPr>
        <w:t>-------------------------</w:t>
      </w:r>
    </w:p>
    <w:p>
      <w:pPr>
        <w:spacing w:after="0" w:line="15" w:lineRule="exact"/>
        <w:rPr>
          <w:sz w:val="20"/>
          <w:szCs w:val="20"/>
          <w:color w:val="auto"/>
        </w:rPr>
      </w:pPr>
    </w:p>
    <w:p>
      <w:pPr>
        <w:spacing w:after="0"/>
        <w:rPr>
          <w:sz w:val="20"/>
          <w:szCs w:val="20"/>
          <w:color w:val="auto"/>
        </w:rPr>
      </w:pPr>
      <w:r>
        <w:rPr>
          <w:rFonts w:ascii="Arial" w:cs="Arial" w:eastAsia="Arial" w:hAnsi="Arial"/>
          <w:sz w:val="22"/>
          <w:szCs w:val="22"/>
          <w:color w:val="auto"/>
        </w:rPr>
        <w:t>Rupert H. Johnson</w:t>
      </w:r>
    </w:p>
    <w:p>
      <w:pPr>
        <w:sectPr>
          <w:pgSz w:w="11900" w:h="16838" w:orient="portrait"/>
          <w:cols w:equalWidth="0" w:num="3">
            <w:col w:w="2420" w:space="720"/>
            <w:col w:w="860" w:space="700"/>
            <w:col w:w="6680"/>
          </w:cols>
          <w:pgMar w:left="240" w:top="118" w:right="279" w:bottom="1440" w:gutter="0" w:footer="0" w:header="0"/>
          <w:type w:val="continuous"/>
        </w:sectPr>
      </w:pPr>
    </w:p>
    <w:bookmarkStart w:id="13" w:name="page14"/>
    <w:bookmarkEnd w:id="13"/>
    <w:tbl>
      <w:tblPr>
        <w:tblLayout w:type="fixed"/>
        <w:tblInd w:w="0" w:type="dxa"/>
        <w:tblCellMar>
          <w:top w:w="0" w:type="dxa"/>
          <w:left w:w="0" w:type="dxa"/>
          <w:bottom w:w="0" w:type="dxa"/>
          <w:right w:w="0" w:type="dxa"/>
        </w:tblCellMar>
      </w:tblPr>
      <w:tr>
        <w:trPr>
          <w:trHeight w:val="275"/>
        </w:trPr>
        <w:tc>
          <w:tcPr>
            <w:tcW w:w="2580" w:type="dxa"/>
            <w:vAlign w:val="bottom"/>
          </w:tcPr>
          <w:p>
            <w:pPr>
              <w:spacing w:after="0"/>
              <w:rPr>
                <w:sz w:val="20"/>
                <w:szCs w:val="20"/>
                <w:color w:val="auto"/>
              </w:rPr>
            </w:pPr>
            <w:r>
              <w:rPr>
                <w:rFonts w:ascii="Arial" w:cs="Arial" w:eastAsia="Arial" w:hAnsi="Arial"/>
                <w:sz w:val="22"/>
                <w:szCs w:val="22"/>
                <w:color w:val="auto"/>
              </w:rPr>
              <w:t>CUSIP NO.723484101</w:t>
            </w:r>
          </w:p>
        </w:tc>
        <w:tc>
          <w:tcPr>
            <w:tcW w:w="3540" w:type="dxa"/>
            <w:vAlign w:val="bottom"/>
          </w:tcPr>
          <w:p>
            <w:pPr>
              <w:ind w:left="560"/>
              <w:spacing w:after="0"/>
              <w:rPr>
                <w:sz w:val="20"/>
                <w:szCs w:val="20"/>
                <w:color w:val="auto"/>
              </w:rPr>
            </w:pPr>
            <w:r>
              <w:rPr>
                <w:rFonts w:ascii="Arial" w:cs="Arial" w:eastAsia="Arial" w:hAnsi="Arial"/>
                <w:sz w:val="22"/>
                <w:szCs w:val="22"/>
                <w:color w:val="auto"/>
              </w:rPr>
              <w:t>13G</w:t>
            </w:r>
          </w:p>
        </w:tc>
        <w:tc>
          <w:tcPr>
            <w:tcW w:w="2420" w:type="dxa"/>
            <w:vAlign w:val="bottom"/>
          </w:tcPr>
          <w:p>
            <w:pPr>
              <w:ind w:left="160"/>
              <w:spacing w:after="0"/>
              <w:rPr>
                <w:sz w:val="20"/>
                <w:szCs w:val="20"/>
                <w:color w:val="auto"/>
              </w:rPr>
            </w:pPr>
            <w:r>
              <w:rPr>
                <w:rFonts w:ascii="Arial" w:cs="Arial" w:eastAsia="Arial" w:hAnsi="Arial"/>
                <w:sz w:val="22"/>
                <w:szCs w:val="22"/>
                <w:color w:val="auto"/>
              </w:rPr>
              <w:t>PAGE 13 OF 13</w:t>
            </w:r>
          </w:p>
        </w:tc>
      </w:tr>
      <w:tr>
        <w:trPr>
          <w:trHeight w:val="702"/>
        </w:trPr>
        <w:tc>
          <w:tcPr>
            <w:tcW w:w="2580" w:type="dxa"/>
            <w:vAlign w:val="bottom"/>
          </w:tcPr>
          <w:p>
            <w:pPr>
              <w:spacing w:after="0"/>
              <w:rPr>
                <w:sz w:val="20"/>
                <w:szCs w:val="20"/>
                <w:color w:val="auto"/>
              </w:rPr>
            </w:pPr>
            <w:r>
              <w:rPr>
                <w:rFonts w:ascii="Arial" w:cs="Arial" w:eastAsia="Arial" w:hAnsi="Arial"/>
                <w:sz w:val="22"/>
                <w:szCs w:val="22"/>
                <w:color w:val="auto"/>
              </w:rPr>
              <w:t>Exhibit C</w:t>
            </w:r>
          </w:p>
        </w:tc>
        <w:tc>
          <w:tcPr>
            <w:tcW w:w="3540" w:type="dxa"/>
            <w:vAlign w:val="bottom"/>
          </w:tcPr>
          <w:p>
            <w:pPr>
              <w:spacing w:after="0"/>
              <w:rPr>
                <w:sz w:val="24"/>
                <w:szCs w:val="24"/>
                <w:color w:val="auto"/>
              </w:rPr>
            </w:pPr>
          </w:p>
        </w:tc>
        <w:tc>
          <w:tcPr>
            <w:tcW w:w="2420" w:type="dxa"/>
            <w:vAlign w:val="bottom"/>
          </w:tcPr>
          <w:p>
            <w:pPr>
              <w:spacing w:after="0"/>
              <w:rPr>
                <w:sz w:val="24"/>
                <w:szCs w:val="24"/>
                <w:color w:val="auto"/>
              </w:rPr>
            </w:pPr>
          </w:p>
        </w:tc>
      </w:tr>
      <w:tr>
        <w:trPr>
          <w:trHeight w:val="482"/>
        </w:trPr>
        <w:tc>
          <w:tcPr>
            <w:tcW w:w="2580" w:type="dxa"/>
            <w:vAlign w:val="bottom"/>
          </w:tcPr>
          <w:p>
            <w:pPr>
              <w:spacing w:after="0"/>
              <w:rPr>
                <w:sz w:val="24"/>
                <w:szCs w:val="24"/>
                <w:color w:val="auto"/>
              </w:rPr>
            </w:pPr>
          </w:p>
        </w:tc>
        <w:tc>
          <w:tcPr>
            <w:tcW w:w="3540" w:type="dxa"/>
            <w:vAlign w:val="bottom"/>
          </w:tcPr>
          <w:p>
            <w:pPr>
              <w:ind w:left="560"/>
              <w:spacing w:after="0"/>
              <w:rPr>
                <w:sz w:val="20"/>
                <w:szCs w:val="20"/>
                <w:color w:val="auto"/>
              </w:rPr>
            </w:pPr>
            <w:r>
              <w:rPr>
                <w:rFonts w:ascii="Arial" w:cs="Arial" w:eastAsia="Arial" w:hAnsi="Arial"/>
                <w:sz w:val="22"/>
                <w:szCs w:val="22"/>
                <w:color w:val="auto"/>
              </w:rPr>
              <w:t>Franklin Advisers, Inc.</w:t>
            </w:r>
          </w:p>
        </w:tc>
        <w:tc>
          <w:tcPr>
            <w:tcW w:w="2420" w:type="dxa"/>
            <w:vAlign w:val="bottom"/>
          </w:tcPr>
          <w:p>
            <w:pPr>
              <w:ind w:left="160"/>
              <w:spacing w:after="0"/>
              <w:rPr>
                <w:sz w:val="20"/>
                <w:szCs w:val="20"/>
                <w:color w:val="auto"/>
              </w:rPr>
            </w:pPr>
            <w:r>
              <w:rPr>
                <w:rFonts w:ascii="Arial" w:cs="Arial" w:eastAsia="Arial" w:hAnsi="Arial"/>
                <w:sz w:val="22"/>
                <w:szCs w:val="22"/>
                <w:color w:val="auto"/>
                <w:w w:val="92"/>
              </w:rPr>
              <w:t>Item 3 classification: 3(e)</w:t>
            </w:r>
          </w:p>
        </w:tc>
      </w:tr>
      <w:tr>
        <w:trPr>
          <w:trHeight w:val="243"/>
        </w:trPr>
        <w:tc>
          <w:tcPr>
            <w:tcW w:w="2580" w:type="dxa"/>
            <w:vAlign w:val="bottom"/>
          </w:tcPr>
          <w:p>
            <w:pPr>
              <w:spacing w:after="0"/>
              <w:rPr>
                <w:sz w:val="21"/>
                <w:szCs w:val="21"/>
                <w:color w:val="auto"/>
              </w:rPr>
            </w:pPr>
          </w:p>
        </w:tc>
        <w:tc>
          <w:tcPr>
            <w:tcW w:w="3540" w:type="dxa"/>
            <w:vAlign w:val="bottom"/>
          </w:tcPr>
          <w:p>
            <w:pPr>
              <w:ind w:left="560"/>
              <w:spacing w:after="0" w:line="243" w:lineRule="exact"/>
              <w:rPr>
                <w:sz w:val="20"/>
                <w:szCs w:val="20"/>
                <w:color w:val="auto"/>
              </w:rPr>
            </w:pPr>
            <w:r>
              <w:rPr>
                <w:rFonts w:ascii="Arial" w:cs="Arial" w:eastAsia="Arial" w:hAnsi="Arial"/>
                <w:sz w:val="22"/>
                <w:szCs w:val="22"/>
                <w:color w:val="auto"/>
              </w:rPr>
              <w:t>Fiduciary Trust Company</w:t>
            </w:r>
          </w:p>
        </w:tc>
        <w:tc>
          <w:tcPr>
            <w:tcW w:w="2420" w:type="dxa"/>
            <w:vAlign w:val="bottom"/>
          </w:tcPr>
          <w:p>
            <w:pPr>
              <w:ind w:left="160"/>
              <w:spacing w:after="0" w:line="243" w:lineRule="exact"/>
              <w:rPr>
                <w:sz w:val="20"/>
                <w:szCs w:val="20"/>
                <w:color w:val="auto"/>
              </w:rPr>
            </w:pPr>
            <w:r>
              <w:rPr>
                <w:rFonts w:ascii="Arial" w:cs="Arial" w:eastAsia="Arial" w:hAnsi="Arial"/>
                <w:sz w:val="22"/>
                <w:szCs w:val="22"/>
                <w:color w:val="auto"/>
                <w:w w:val="90"/>
              </w:rPr>
              <w:t>Item 3 Classification: 3(b)</w:t>
            </w:r>
          </w:p>
        </w:tc>
      </w:tr>
      <w:tr>
        <w:trPr>
          <w:trHeight w:val="243"/>
        </w:trPr>
        <w:tc>
          <w:tcPr>
            <w:tcW w:w="2580" w:type="dxa"/>
            <w:vAlign w:val="bottom"/>
          </w:tcPr>
          <w:p>
            <w:pPr>
              <w:spacing w:after="0"/>
              <w:rPr>
                <w:sz w:val="21"/>
                <w:szCs w:val="21"/>
                <w:color w:val="auto"/>
              </w:rPr>
            </w:pPr>
          </w:p>
        </w:tc>
        <w:tc>
          <w:tcPr>
            <w:tcW w:w="3540" w:type="dxa"/>
            <w:vAlign w:val="bottom"/>
          </w:tcPr>
          <w:p>
            <w:pPr>
              <w:ind w:left="560"/>
              <w:spacing w:after="0" w:line="243" w:lineRule="exact"/>
              <w:rPr>
                <w:sz w:val="20"/>
                <w:szCs w:val="20"/>
                <w:color w:val="auto"/>
              </w:rPr>
            </w:pPr>
            <w:r>
              <w:rPr>
                <w:rFonts w:ascii="Arial" w:cs="Arial" w:eastAsia="Arial" w:hAnsi="Arial"/>
                <w:sz w:val="22"/>
                <w:szCs w:val="22"/>
                <w:color w:val="auto"/>
              </w:rPr>
              <w:t>International</w:t>
            </w:r>
          </w:p>
        </w:tc>
        <w:tc>
          <w:tcPr>
            <w:tcW w:w="2420" w:type="dxa"/>
            <w:vAlign w:val="bottom"/>
          </w:tcPr>
          <w:p>
            <w:pPr>
              <w:spacing w:after="0"/>
              <w:rPr>
                <w:sz w:val="21"/>
                <w:szCs w:val="21"/>
                <w:color w:val="auto"/>
              </w:rPr>
            </w:pPr>
          </w:p>
        </w:tc>
      </w:tr>
      <w:tr>
        <w:trPr>
          <w:trHeight w:val="243"/>
        </w:trPr>
        <w:tc>
          <w:tcPr>
            <w:tcW w:w="2580" w:type="dxa"/>
            <w:vAlign w:val="bottom"/>
          </w:tcPr>
          <w:p>
            <w:pPr>
              <w:spacing w:after="0"/>
              <w:rPr>
                <w:sz w:val="21"/>
                <w:szCs w:val="21"/>
                <w:color w:val="auto"/>
              </w:rPr>
            </w:pPr>
          </w:p>
        </w:tc>
        <w:tc>
          <w:tcPr>
            <w:tcW w:w="3540" w:type="dxa"/>
            <w:vAlign w:val="bottom"/>
          </w:tcPr>
          <w:p>
            <w:pPr>
              <w:ind w:left="560"/>
              <w:spacing w:after="0" w:line="243" w:lineRule="exact"/>
              <w:rPr>
                <w:sz w:val="20"/>
                <w:szCs w:val="20"/>
                <w:color w:val="auto"/>
              </w:rPr>
            </w:pPr>
            <w:r>
              <w:rPr>
                <w:rFonts w:ascii="Arial" w:cs="Arial" w:eastAsia="Arial" w:hAnsi="Arial"/>
                <w:sz w:val="22"/>
                <w:szCs w:val="22"/>
                <w:color w:val="auto"/>
                <w:w w:val="94"/>
              </w:rPr>
              <w:t>Franklin Templeton Investments</w:t>
            </w:r>
          </w:p>
        </w:tc>
        <w:tc>
          <w:tcPr>
            <w:tcW w:w="2420" w:type="dxa"/>
            <w:vAlign w:val="bottom"/>
          </w:tcPr>
          <w:p>
            <w:pPr>
              <w:ind w:left="160"/>
              <w:spacing w:after="0" w:line="243" w:lineRule="exact"/>
              <w:rPr>
                <w:sz w:val="20"/>
                <w:szCs w:val="20"/>
                <w:color w:val="auto"/>
              </w:rPr>
            </w:pPr>
            <w:r>
              <w:rPr>
                <w:rFonts w:ascii="Arial" w:cs="Arial" w:eastAsia="Arial" w:hAnsi="Arial"/>
                <w:sz w:val="22"/>
                <w:szCs w:val="22"/>
                <w:color w:val="auto"/>
                <w:w w:val="92"/>
              </w:rPr>
              <w:t>Item 3 classification: 3(e)</w:t>
            </w:r>
          </w:p>
        </w:tc>
      </w:tr>
      <w:tr>
        <w:trPr>
          <w:trHeight w:val="243"/>
        </w:trPr>
        <w:tc>
          <w:tcPr>
            <w:tcW w:w="2580" w:type="dxa"/>
            <w:vAlign w:val="bottom"/>
          </w:tcPr>
          <w:p>
            <w:pPr>
              <w:spacing w:after="0"/>
              <w:rPr>
                <w:sz w:val="21"/>
                <w:szCs w:val="21"/>
                <w:color w:val="auto"/>
              </w:rPr>
            </w:pPr>
          </w:p>
        </w:tc>
        <w:tc>
          <w:tcPr>
            <w:tcW w:w="3540" w:type="dxa"/>
            <w:vAlign w:val="bottom"/>
          </w:tcPr>
          <w:p>
            <w:pPr>
              <w:ind w:left="560"/>
              <w:spacing w:after="0" w:line="243" w:lineRule="exact"/>
              <w:rPr>
                <w:sz w:val="20"/>
                <w:szCs w:val="20"/>
                <w:color w:val="auto"/>
              </w:rPr>
            </w:pPr>
            <w:r>
              <w:rPr>
                <w:rFonts w:ascii="Arial" w:cs="Arial" w:eastAsia="Arial" w:hAnsi="Arial"/>
                <w:sz w:val="22"/>
                <w:szCs w:val="22"/>
                <w:color w:val="auto"/>
              </w:rPr>
              <w:t>Corp.</w:t>
            </w:r>
          </w:p>
        </w:tc>
        <w:tc>
          <w:tcPr>
            <w:tcW w:w="2420" w:type="dxa"/>
            <w:vAlign w:val="bottom"/>
          </w:tcPr>
          <w:p>
            <w:pPr>
              <w:spacing w:after="0"/>
              <w:rPr>
                <w:sz w:val="21"/>
                <w:szCs w:val="21"/>
                <w:color w:val="auto"/>
              </w:rPr>
            </w:pPr>
          </w:p>
        </w:tc>
      </w:tr>
      <w:tr>
        <w:trPr>
          <w:trHeight w:val="243"/>
        </w:trPr>
        <w:tc>
          <w:tcPr>
            <w:tcW w:w="2580" w:type="dxa"/>
            <w:vAlign w:val="bottom"/>
          </w:tcPr>
          <w:p>
            <w:pPr>
              <w:spacing w:after="0"/>
              <w:rPr>
                <w:sz w:val="21"/>
                <w:szCs w:val="21"/>
                <w:color w:val="auto"/>
              </w:rPr>
            </w:pPr>
          </w:p>
        </w:tc>
        <w:tc>
          <w:tcPr>
            <w:tcW w:w="3540" w:type="dxa"/>
            <w:vAlign w:val="bottom"/>
          </w:tcPr>
          <w:p>
            <w:pPr>
              <w:ind w:left="560"/>
              <w:spacing w:after="0" w:line="243" w:lineRule="exact"/>
              <w:rPr>
                <w:sz w:val="20"/>
                <w:szCs w:val="20"/>
                <w:color w:val="auto"/>
              </w:rPr>
            </w:pPr>
            <w:r>
              <w:rPr>
                <w:rFonts w:ascii="Arial" w:cs="Arial" w:eastAsia="Arial" w:hAnsi="Arial"/>
                <w:sz w:val="22"/>
                <w:szCs w:val="22"/>
                <w:color w:val="auto"/>
              </w:rPr>
              <w:t>Franklin Templeton Portfolio</w:t>
            </w:r>
          </w:p>
        </w:tc>
        <w:tc>
          <w:tcPr>
            <w:tcW w:w="2420" w:type="dxa"/>
            <w:vAlign w:val="bottom"/>
          </w:tcPr>
          <w:p>
            <w:pPr>
              <w:ind w:left="160"/>
              <w:spacing w:after="0" w:line="243" w:lineRule="exact"/>
              <w:rPr>
                <w:sz w:val="20"/>
                <w:szCs w:val="20"/>
                <w:color w:val="auto"/>
              </w:rPr>
            </w:pPr>
            <w:r>
              <w:rPr>
                <w:rFonts w:ascii="Arial" w:cs="Arial" w:eastAsia="Arial" w:hAnsi="Arial"/>
                <w:sz w:val="22"/>
                <w:szCs w:val="22"/>
                <w:color w:val="auto"/>
                <w:w w:val="92"/>
              </w:rPr>
              <w:t>Item 3 classification: 3(e)</w:t>
            </w:r>
          </w:p>
        </w:tc>
      </w:tr>
      <w:tr>
        <w:trPr>
          <w:trHeight w:val="275"/>
        </w:trPr>
        <w:tc>
          <w:tcPr>
            <w:tcW w:w="2580" w:type="dxa"/>
            <w:vAlign w:val="bottom"/>
          </w:tcPr>
          <w:p>
            <w:pPr>
              <w:spacing w:after="0"/>
              <w:rPr>
                <w:sz w:val="23"/>
                <w:szCs w:val="23"/>
                <w:color w:val="auto"/>
              </w:rPr>
            </w:pPr>
          </w:p>
        </w:tc>
        <w:tc>
          <w:tcPr>
            <w:tcW w:w="3540" w:type="dxa"/>
            <w:vAlign w:val="bottom"/>
          </w:tcPr>
          <w:p>
            <w:pPr>
              <w:ind w:left="560"/>
              <w:spacing w:after="0"/>
              <w:rPr>
                <w:sz w:val="20"/>
                <w:szCs w:val="20"/>
                <w:color w:val="auto"/>
              </w:rPr>
            </w:pPr>
            <w:r>
              <w:rPr>
                <w:rFonts w:ascii="Arial" w:cs="Arial" w:eastAsia="Arial" w:hAnsi="Arial"/>
                <w:sz w:val="22"/>
                <w:szCs w:val="22"/>
                <w:color w:val="auto"/>
              </w:rPr>
              <w:t>Advisors, Inc.</w:t>
            </w:r>
          </w:p>
        </w:tc>
        <w:tc>
          <w:tcPr>
            <w:tcW w:w="2420" w:type="dxa"/>
            <w:vAlign w:val="bottom"/>
          </w:tcPr>
          <w:p>
            <w:pPr>
              <w:spacing w:after="0"/>
              <w:rPr>
                <w:sz w:val="23"/>
                <w:szCs w:val="23"/>
                <w:color w:val="auto"/>
              </w:rPr>
            </w:pPr>
          </w:p>
        </w:tc>
      </w:tr>
    </w:tbl>
    <w:p>
      <w:pPr>
        <w:spacing w:after="0" w:line="1" w:lineRule="exact"/>
        <w:rPr>
          <w:sz w:val="20"/>
          <w:szCs w:val="20"/>
          <w:color w:val="auto"/>
        </w:rPr>
      </w:pPr>
    </w:p>
    <w:sectPr>
      <w:pgSz w:w="11900" w:h="16838" w:orient="portrait"/>
      <w:cols w:equalWidth="0" w:num="1">
        <w:col w:w="10219"/>
      </w:cols>
      <w:pgMar w:left="2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lowerLetter"/>
      <w:start w:val="1"/>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3"/>
    </w:lvl>
  </w:abstractNum>
  <w:abstractNum w:abstractNumId="3">
    <w:nsid w:val="46E87CCD"/>
    <w:multiLevelType w:val="hybridMultilevel"/>
    <w:lvl w:ilvl="0">
      <w:lvlJc w:val="left"/>
      <w:lvlText w:val="(%1)"/>
      <w:numFmt w:val="lowerLetter"/>
      <w:start w:val="9"/>
    </w:lvl>
  </w:abstractNum>
  <w:abstractNum w:abstractNumId="4">
    <w:nsid w:val="3D1B58BA"/>
    <w:multiLevelType w:val="hybridMultilevel"/>
    <w:lvl w:ilvl="0">
      <w:lvlJc w:val="left"/>
      <w:lvlText w:val="(%1)"/>
      <w:numFmt w:val="lowerRoman"/>
      <w:start w:val="2"/>
    </w:lvl>
  </w:abstractNum>
  <w:abstractNum w:abstractNumId="5">
    <w:nsid w:val="507ED7A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2020-02-18T11:52:10Z</dcterms:created>
  <dcterms:modified xsi:type="dcterms:W3CDTF">2020-02-18T11:52:10Z</dcterms:modified>
</cp:coreProperties>
</file>