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Times New Roman" w:cs="Times New Roman" w:eastAsia="Times New Roman" w:hAnsi="Times New Roman"/>
          <w:sz w:val="19"/>
          <w:szCs w:val="19"/>
          <w:color w:val="auto"/>
        </w:rPr>
        <w:t>Filed pursuant to Rule 433</w:t>
      </w:r>
    </w:p>
    <w:p>
      <w:pPr>
        <w:spacing w:after="0" w:line="26"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19"/>
          <w:szCs w:val="19"/>
          <w:color w:val="auto"/>
        </w:rPr>
        <w:t>Registration No. 333- 249918</w:t>
      </w:r>
    </w:p>
    <w:p>
      <w:pPr>
        <w:spacing w:after="0" w:line="16"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19"/>
          <w:szCs w:val="19"/>
          <w:color w:val="auto"/>
        </w:rPr>
        <w:t>February 27, 2023</w:t>
      </w:r>
    </w:p>
    <w:p>
      <w:pPr>
        <w:spacing w:after="0" w:line="6" w:lineRule="exact"/>
        <w:rPr>
          <w:sz w:val="24"/>
          <w:szCs w:val="24"/>
          <w:color w:val="auto"/>
        </w:rPr>
      </w:pPr>
    </w:p>
    <w:tbl>
      <w:tblPr>
        <w:tblLayout w:type="fixed"/>
        <w:tblInd w:w="0" w:type="dxa"/>
        <w:tblCellMar>
          <w:top w:w="0" w:type="dxa"/>
          <w:left w:w="0" w:type="dxa"/>
          <w:bottom w:w="0" w:type="dxa"/>
          <w:right w:w="0" w:type="dxa"/>
        </w:tblCellMar>
      </w:tblPr>
      <w:tr>
        <w:trPr>
          <w:trHeight w:val="286"/>
        </w:trPr>
        <w:tc>
          <w:tcPr>
            <w:tcW w:w="2320" w:type="dxa"/>
            <w:vAlign w:val="bottom"/>
          </w:tcPr>
          <w:p>
            <w:pPr>
              <w:spacing w:after="0"/>
              <w:rPr>
                <w:sz w:val="24"/>
                <w:szCs w:val="24"/>
                <w:color w:val="auto"/>
              </w:rPr>
            </w:pPr>
          </w:p>
        </w:tc>
        <w:tc>
          <w:tcPr>
            <w:tcW w:w="7300" w:type="dxa"/>
            <w:vAlign w:val="bottom"/>
          </w:tcPr>
          <w:p>
            <w:pPr>
              <w:ind w:left="1280"/>
              <w:spacing w:after="0"/>
              <w:rPr>
                <w:sz w:val="20"/>
                <w:szCs w:val="20"/>
                <w:color w:val="auto"/>
              </w:rPr>
            </w:pPr>
            <w:r>
              <w:rPr>
                <w:rFonts w:ascii="Times New Roman" w:cs="Times New Roman" w:eastAsia="Times New Roman" w:hAnsi="Times New Roman"/>
                <w:sz w:val="22"/>
                <w:szCs w:val="22"/>
                <w:b w:val="1"/>
                <w:bCs w:val="1"/>
                <w:color w:val="auto"/>
              </w:rPr>
              <w:t>PRICING TERM SHEET</w:t>
            </w:r>
          </w:p>
        </w:tc>
      </w:tr>
      <w:tr>
        <w:trPr>
          <w:trHeight w:val="238"/>
        </w:trPr>
        <w:tc>
          <w:tcPr>
            <w:tcW w:w="2320" w:type="dxa"/>
            <w:vAlign w:val="bottom"/>
          </w:tcPr>
          <w:p>
            <w:pPr>
              <w:spacing w:after="0"/>
              <w:rPr>
                <w:sz w:val="20"/>
                <w:szCs w:val="20"/>
                <w:color w:val="auto"/>
              </w:rPr>
            </w:pPr>
          </w:p>
        </w:tc>
        <w:tc>
          <w:tcPr>
            <w:tcW w:w="7300" w:type="dxa"/>
            <w:vAlign w:val="bottom"/>
          </w:tcPr>
          <w:p>
            <w:pPr>
              <w:spacing w:after="0"/>
              <w:rPr>
                <w:sz w:val="20"/>
                <w:szCs w:val="20"/>
                <w:color w:val="auto"/>
              </w:rPr>
            </w:pPr>
          </w:p>
        </w:tc>
      </w:tr>
      <w:tr>
        <w:trPr>
          <w:trHeight w:val="250"/>
        </w:trPr>
        <w:tc>
          <w:tcPr>
            <w:tcW w:w="2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9"/>
                <w:szCs w:val="19"/>
                <w:color w:val="auto"/>
              </w:rPr>
              <w:t>Issuer:</w:t>
            </w:r>
          </w:p>
        </w:tc>
        <w:tc>
          <w:tcPr>
            <w:tcW w:w="73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9"/>
                <w:szCs w:val="19"/>
                <w:color w:val="auto"/>
              </w:rPr>
              <w:t>American Electric Power Company, Inc.</w:t>
            </w:r>
          </w:p>
        </w:tc>
      </w:tr>
      <w:tr>
        <w:trPr>
          <w:trHeight w:val="108"/>
        </w:trPr>
        <w:tc>
          <w:tcPr>
            <w:tcW w:w="2320" w:type="dxa"/>
            <w:vAlign w:val="bottom"/>
          </w:tcPr>
          <w:p>
            <w:pPr>
              <w:spacing w:after="0"/>
              <w:rPr>
                <w:sz w:val="9"/>
                <w:szCs w:val="9"/>
                <w:color w:val="auto"/>
              </w:rPr>
            </w:pPr>
          </w:p>
        </w:tc>
        <w:tc>
          <w:tcPr>
            <w:tcW w:w="7300" w:type="dxa"/>
            <w:vAlign w:val="bottom"/>
          </w:tcPr>
          <w:p>
            <w:pPr>
              <w:spacing w:after="0"/>
              <w:rPr>
                <w:sz w:val="9"/>
                <w:szCs w:val="9"/>
                <w:color w:val="auto"/>
              </w:rPr>
            </w:pPr>
          </w:p>
        </w:tc>
      </w:tr>
      <w:tr>
        <w:trPr>
          <w:trHeight w:val="250"/>
        </w:trPr>
        <w:tc>
          <w:tcPr>
            <w:tcW w:w="2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9"/>
                <w:szCs w:val="19"/>
                <w:color w:val="auto"/>
              </w:rPr>
              <w:t>Transaction Date:</w:t>
            </w:r>
          </w:p>
        </w:tc>
        <w:tc>
          <w:tcPr>
            <w:tcW w:w="73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9"/>
                <w:szCs w:val="19"/>
                <w:color w:val="auto"/>
              </w:rPr>
              <w:t>February 27, 2023</w:t>
            </w:r>
          </w:p>
        </w:tc>
      </w:tr>
      <w:tr>
        <w:trPr>
          <w:trHeight w:val="108"/>
        </w:trPr>
        <w:tc>
          <w:tcPr>
            <w:tcW w:w="2320" w:type="dxa"/>
            <w:vAlign w:val="bottom"/>
          </w:tcPr>
          <w:p>
            <w:pPr>
              <w:spacing w:after="0"/>
              <w:rPr>
                <w:sz w:val="9"/>
                <w:szCs w:val="9"/>
                <w:color w:val="auto"/>
              </w:rPr>
            </w:pPr>
          </w:p>
        </w:tc>
        <w:tc>
          <w:tcPr>
            <w:tcW w:w="7300" w:type="dxa"/>
            <w:vAlign w:val="bottom"/>
          </w:tcPr>
          <w:p>
            <w:pPr>
              <w:spacing w:after="0"/>
              <w:rPr>
                <w:sz w:val="9"/>
                <w:szCs w:val="9"/>
                <w:color w:val="auto"/>
              </w:rPr>
            </w:pPr>
          </w:p>
        </w:tc>
      </w:tr>
      <w:tr>
        <w:trPr>
          <w:trHeight w:val="250"/>
        </w:trPr>
        <w:tc>
          <w:tcPr>
            <w:tcW w:w="2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9"/>
                <w:szCs w:val="19"/>
                <w:color w:val="auto"/>
              </w:rPr>
              <w:t>Settlement Date:</w:t>
            </w:r>
          </w:p>
        </w:tc>
        <w:tc>
          <w:tcPr>
            <w:tcW w:w="73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9"/>
                <w:szCs w:val="19"/>
                <w:color w:val="auto"/>
              </w:rPr>
              <w:t>March 1, 2023 (T+2)</w:t>
            </w:r>
          </w:p>
        </w:tc>
      </w:tr>
      <w:tr>
        <w:trPr>
          <w:trHeight w:val="108"/>
        </w:trPr>
        <w:tc>
          <w:tcPr>
            <w:tcW w:w="2320" w:type="dxa"/>
            <w:vAlign w:val="bottom"/>
          </w:tcPr>
          <w:p>
            <w:pPr>
              <w:spacing w:after="0"/>
              <w:rPr>
                <w:sz w:val="9"/>
                <w:szCs w:val="9"/>
                <w:color w:val="auto"/>
              </w:rPr>
            </w:pPr>
          </w:p>
        </w:tc>
        <w:tc>
          <w:tcPr>
            <w:tcW w:w="7300" w:type="dxa"/>
            <w:vAlign w:val="bottom"/>
          </w:tcPr>
          <w:p>
            <w:pPr>
              <w:spacing w:after="0"/>
              <w:rPr>
                <w:sz w:val="9"/>
                <w:szCs w:val="9"/>
                <w:color w:val="auto"/>
              </w:rPr>
            </w:pPr>
          </w:p>
        </w:tc>
      </w:tr>
      <w:tr>
        <w:trPr>
          <w:trHeight w:val="217"/>
        </w:trPr>
        <w:tc>
          <w:tcPr>
            <w:tcW w:w="2320" w:type="dxa"/>
            <w:vAlign w:val="bottom"/>
            <w:shd w:val="clear" w:color="auto" w:fill="CCEEFF"/>
          </w:tcPr>
          <w:p>
            <w:pPr>
              <w:spacing w:after="0" w:line="216" w:lineRule="exact"/>
              <w:rPr>
                <w:sz w:val="20"/>
                <w:szCs w:val="20"/>
                <w:color w:val="auto"/>
              </w:rPr>
            </w:pPr>
            <w:r>
              <w:rPr>
                <w:rFonts w:ascii="Times New Roman" w:cs="Times New Roman" w:eastAsia="Times New Roman" w:hAnsi="Times New Roman"/>
                <w:sz w:val="19"/>
                <w:szCs w:val="19"/>
                <w:color w:val="auto"/>
              </w:rPr>
              <w:t>Designation:</w:t>
            </w:r>
          </w:p>
        </w:tc>
        <w:tc>
          <w:tcPr>
            <w:tcW w:w="7300" w:type="dxa"/>
            <w:vAlign w:val="bottom"/>
            <w:shd w:val="clear" w:color="auto" w:fill="CCEEFF"/>
          </w:tcPr>
          <w:p>
            <w:pPr>
              <w:ind w:left="180"/>
              <w:spacing w:after="0" w:line="216" w:lineRule="exact"/>
              <w:rPr>
                <w:sz w:val="20"/>
                <w:szCs w:val="20"/>
                <w:color w:val="auto"/>
              </w:rPr>
            </w:pPr>
            <w:r>
              <w:rPr>
                <w:rFonts w:ascii="Times New Roman" w:cs="Times New Roman" w:eastAsia="Times New Roman" w:hAnsi="Times New Roman"/>
                <w:sz w:val="19"/>
                <w:szCs w:val="19"/>
                <w:color w:val="auto"/>
              </w:rPr>
              <w:t>Senior Notes, Series Q, due</w:t>
            </w:r>
          </w:p>
        </w:tc>
      </w:tr>
      <w:tr>
        <w:trPr>
          <w:trHeight w:val="249"/>
        </w:trPr>
        <w:tc>
          <w:tcPr>
            <w:tcW w:w="2320" w:type="dxa"/>
            <w:vAlign w:val="bottom"/>
            <w:tcBorders>
              <w:bottom w:val="single" w:sz="8" w:color="CCEEFF"/>
            </w:tcBorders>
            <w:shd w:val="clear" w:color="auto" w:fill="CCEEFF"/>
          </w:tcPr>
          <w:p>
            <w:pPr>
              <w:spacing w:after="0"/>
              <w:rPr>
                <w:sz w:val="21"/>
                <w:szCs w:val="21"/>
                <w:color w:val="auto"/>
              </w:rPr>
            </w:pPr>
          </w:p>
        </w:tc>
        <w:tc>
          <w:tcPr>
            <w:tcW w:w="73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9"/>
                <w:szCs w:val="19"/>
                <w:color w:val="auto"/>
              </w:rPr>
              <w:t>2033</w:t>
            </w:r>
          </w:p>
        </w:tc>
      </w:tr>
      <w:tr>
        <w:trPr>
          <w:trHeight w:val="108"/>
        </w:trPr>
        <w:tc>
          <w:tcPr>
            <w:tcW w:w="2320" w:type="dxa"/>
            <w:vAlign w:val="bottom"/>
          </w:tcPr>
          <w:p>
            <w:pPr>
              <w:spacing w:after="0"/>
              <w:rPr>
                <w:sz w:val="9"/>
                <w:szCs w:val="9"/>
                <w:color w:val="auto"/>
              </w:rPr>
            </w:pPr>
          </w:p>
        </w:tc>
        <w:tc>
          <w:tcPr>
            <w:tcW w:w="7300" w:type="dxa"/>
            <w:vAlign w:val="bottom"/>
          </w:tcPr>
          <w:p>
            <w:pPr>
              <w:spacing w:after="0"/>
              <w:rPr>
                <w:sz w:val="9"/>
                <w:szCs w:val="9"/>
                <w:color w:val="auto"/>
              </w:rPr>
            </w:pPr>
          </w:p>
        </w:tc>
      </w:tr>
      <w:tr>
        <w:trPr>
          <w:trHeight w:val="250"/>
        </w:trPr>
        <w:tc>
          <w:tcPr>
            <w:tcW w:w="2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9"/>
                <w:szCs w:val="19"/>
                <w:color w:val="auto"/>
              </w:rPr>
              <w:t>Principal Amount:</w:t>
            </w:r>
          </w:p>
        </w:tc>
        <w:tc>
          <w:tcPr>
            <w:tcW w:w="73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9"/>
                <w:szCs w:val="19"/>
                <w:color w:val="auto"/>
              </w:rPr>
              <w:t>$850,000,000</w:t>
            </w:r>
          </w:p>
        </w:tc>
      </w:tr>
      <w:tr>
        <w:trPr>
          <w:trHeight w:val="108"/>
        </w:trPr>
        <w:tc>
          <w:tcPr>
            <w:tcW w:w="2320" w:type="dxa"/>
            <w:vAlign w:val="bottom"/>
          </w:tcPr>
          <w:p>
            <w:pPr>
              <w:spacing w:after="0"/>
              <w:rPr>
                <w:sz w:val="9"/>
                <w:szCs w:val="9"/>
                <w:color w:val="auto"/>
              </w:rPr>
            </w:pPr>
          </w:p>
        </w:tc>
        <w:tc>
          <w:tcPr>
            <w:tcW w:w="7300" w:type="dxa"/>
            <w:vAlign w:val="bottom"/>
          </w:tcPr>
          <w:p>
            <w:pPr>
              <w:spacing w:after="0"/>
              <w:rPr>
                <w:sz w:val="9"/>
                <w:szCs w:val="9"/>
                <w:color w:val="auto"/>
              </w:rPr>
            </w:pPr>
          </w:p>
        </w:tc>
      </w:tr>
      <w:tr>
        <w:trPr>
          <w:trHeight w:val="250"/>
        </w:trPr>
        <w:tc>
          <w:tcPr>
            <w:tcW w:w="2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9"/>
                <w:szCs w:val="19"/>
                <w:color w:val="auto"/>
              </w:rPr>
              <w:t>Maturity:</w:t>
            </w:r>
          </w:p>
        </w:tc>
        <w:tc>
          <w:tcPr>
            <w:tcW w:w="73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9"/>
                <w:szCs w:val="19"/>
                <w:color w:val="auto"/>
              </w:rPr>
              <w:t>March 1, 2033</w:t>
            </w:r>
          </w:p>
        </w:tc>
      </w:tr>
      <w:tr>
        <w:trPr>
          <w:trHeight w:val="108"/>
        </w:trPr>
        <w:tc>
          <w:tcPr>
            <w:tcW w:w="2320" w:type="dxa"/>
            <w:vAlign w:val="bottom"/>
          </w:tcPr>
          <w:p>
            <w:pPr>
              <w:spacing w:after="0"/>
              <w:rPr>
                <w:sz w:val="9"/>
                <w:szCs w:val="9"/>
                <w:color w:val="auto"/>
              </w:rPr>
            </w:pPr>
          </w:p>
        </w:tc>
        <w:tc>
          <w:tcPr>
            <w:tcW w:w="7300" w:type="dxa"/>
            <w:vAlign w:val="bottom"/>
          </w:tcPr>
          <w:p>
            <w:pPr>
              <w:spacing w:after="0"/>
              <w:rPr>
                <w:sz w:val="9"/>
                <w:szCs w:val="9"/>
                <w:color w:val="auto"/>
              </w:rPr>
            </w:pPr>
          </w:p>
        </w:tc>
      </w:tr>
      <w:tr>
        <w:trPr>
          <w:trHeight w:val="250"/>
        </w:trPr>
        <w:tc>
          <w:tcPr>
            <w:tcW w:w="2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9"/>
                <w:szCs w:val="19"/>
                <w:color w:val="auto"/>
              </w:rPr>
              <w:t>Coupon:</w:t>
            </w:r>
          </w:p>
        </w:tc>
        <w:tc>
          <w:tcPr>
            <w:tcW w:w="73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9"/>
                <w:szCs w:val="19"/>
                <w:color w:val="auto"/>
              </w:rPr>
              <w:t>5.625%</w:t>
            </w:r>
          </w:p>
        </w:tc>
      </w:tr>
      <w:tr>
        <w:trPr>
          <w:trHeight w:val="108"/>
        </w:trPr>
        <w:tc>
          <w:tcPr>
            <w:tcW w:w="2320" w:type="dxa"/>
            <w:vAlign w:val="bottom"/>
          </w:tcPr>
          <w:p>
            <w:pPr>
              <w:spacing w:after="0"/>
              <w:rPr>
                <w:sz w:val="9"/>
                <w:szCs w:val="9"/>
                <w:color w:val="auto"/>
              </w:rPr>
            </w:pPr>
          </w:p>
        </w:tc>
        <w:tc>
          <w:tcPr>
            <w:tcW w:w="7300" w:type="dxa"/>
            <w:vAlign w:val="bottom"/>
          </w:tcPr>
          <w:p>
            <w:pPr>
              <w:spacing w:after="0"/>
              <w:rPr>
                <w:sz w:val="9"/>
                <w:szCs w:val="9"/>
                <w:color w:val="auto"/>
              </w:rPr>
            </w:pPr>
          </w:p>
        </w:tc>
      </w:tr>
      <w:tr>
        <w:trPr>
          <w:trHeight w:val="250"/>
        </w:trPr>
        <w:tc>
          <w:tcPr>
            <w:tcW w:w="2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9"/>
                <w:szCs w:val="19"/>
                <w:color w:val="auto"/>
              </w:rPr>
              <w:t>Interest Payment Dates:</w:t>
            </w:r>
          </w:p>
        </w:tc>
        <w:tc>
          <w:tcPr>
            <w:tcW w:w="73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9"/>
                <w:szCs w:val="19"/>
                <w:color w:val="auto"/>
              </w:rPr>
              <w:t>March 1 and September 1</w:t>
            </w:r>
          </w:p>
        </w:tc>
      </w:tr>
      <w:tr>
        <w:trPr>
          <w:trHeight w:val="108"/>
        </w:trPr>
        <w:tc>
          <w:tcPr>
            <w:tcW w:w="2320" w:type="dxa"/>
            <w:vAlign w:val="bottom"/>
          </w:tcPr>
          <w:p>
            <w:pPr>
              <w:spacing w:after="0"/>
              <w:rPr>
                <w:sz w:val="9"/>
                <w:szCs w:val="9"/>
                <w:color w:val="auto"/>
              </w:rPr>
            </w:pPr>
          </w:p>
        </w:tc>
        <w:tc>
          <w:tcPr>
            <w:tcW w:w="7300" w:type="dxa"/>
            <w:vAlign w:val="bottom"/>
          </w:tcPr>
          <w:p>
            <w:pPr>
              <w:spacing w:after="0"/>
              <w:rPr>
                <w:sz w:val="9"/>
                <w:szCs w:val="9"/>
                <w:color w:val="auto"/>
              </w:rPr>
            </w:pPr>
          </w:p>
        </w:tc>
      </w:tr>
      <w:tr>
        <w:trPr>
          <w:trHeight w:val="250"/>
        </w:trPr>
        <w:tc>
          <w:tcPr>
            <w:tcW w:w="2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9"/>
                <w:szCs w:val="19"/>
                <w:color w:val="auto"/>
              </w:rPr>
              <w:t>First Interest Payment Date:</w:t>
            </w:r>
          </w:p>
        </w:tc>
        <w:tc>
          <w:tcPr>
            <w:tcW w:w="73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9"/>
                <w:szCs w:val="19"/>
                <w:color w:val="auto"/>
              </w:rPr>
              <w:t>September 1, 2023</w:t>
            </w:r>
          </w:p>
        </w:tc>
      </w:tr>
      <w:tr>
        <w:trPr>
          <w:trHeight w:val="108"/>
        </w:trPr>
        <w:tc>
          <w:tcPr>
            <w:tcW w:w="2320" w:type="dxa"/>
            <w:vAlign w:val="bottom"/>
          </w:tcPr>
          <w:p>
            <w:pPr>
              <w:spacing w:after="0"/>
              <w:rPr>
                <w:sz w:val="9"/>
                <w:szCs w:val="9"/>
                <w:color w:val="auto"/>
              </w:rPr>
            </w:pPr>
          </w:p>
        </w:tc>
        <w:tc>
          <w:tcPr>
            <w:tcW w:w="7300" w:type="dxa"/>
            <w:vAlign w:val="bottom"/>
          </w:tcPr>
          <w:p>
            <w:pPr>
              <w:spacing w:after="0"/>
              <w:rPr>
                <w:sz w:val="9"/>
                <w:szCs w:val="9"/>
                <w:color w:val="auto"/>
              </w:rPr>
            </w:pPr>
          </w:p>
        </w:tc>
      </w:tr>
      <w:tr>
        <w:trPr>
          <w:trHeight w:val="250"/>
        </w:trPr>
        <w:tc>
          <w:tcPr>
            <w:tcW w:w="2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9"/>
                <w:szCs w:val="19"/>
                <w:color w:val="auto"/>
              </w:rPr>
              <w:t>Day Count Convention:</w:t>
            </w:r>
          </w:p>
        </w:tc>
        <w:tc>
          <w:tcPr>
            <w:tcW w:w="73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9"/>
                <w:szCs w:val="19"/>
                <w:color w:val="auto"/>
              </w:rPr>
              <w:t>30/360</w:t>
            </w:r>
          </w:p>
        </w:tc>
      </w:tr>
      <w:tr>
        <w:trPr>
          <w:trHeight w:val="108"/>
        </w:trPr>
        <w:tc>
          <w:tcPr>
            <w:tcW w:w="2320" w:type="dxa"/>
            <w:vAlign w:val="bottom"/>
          </w:tcPr>
          <w:p>
            <w:pPr>
              <w:spacing w:after="0"/>
              <w:rPr>
                <w:sz w:val="9"/>
                <w:szCs w:val="9"/>
                <w:color w:val="auto"/>
              </w:rPr>
            </w:pPr>
          </w:p>
        </w:tc>
        <w:tc>
          <w:tcPr>
            <w:tcW w:w="7300" w:type="dxa"/>
            <w:vAlign w:val="bottom"/>
          </w:tcPr>
          <w:p>
            <w:pPr>
              <w:spacing w:after="0"/>
              <w:rPr>
                <w:sz w:val="9"/>
                <w:szCs w:val="9"/>
                <w:color w:val="auto"/>
              </w:rPr>
            </w:pPr>
          </w:p>
        </w:tc>
      </w:tr>
      <w:tr>
        <w:trPr>
          <w:trHeight w:val="250"/>
        </w:trPr>
        <w:tc>
          <w:tcPr>
            <w:tcW w:w="2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9"/>
                <w:szCs w:val="19"/>
                <w:color w:val="auto"/>
              </w:rPr>
              <w:t>Benchmark Treasury:</w:t>
            </w:r>
          </w:p>
        </w:tc>
        <w:tc>
          <w:tcPr>
            <w:tcW w:w="73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9"/>
                <w:szCs w:val="19"/>
                <w:color w:val="auto"/>
              </w:rPr>
              <w:t>3.500% due February 15, 2033</w:t>
            </w:r>
          </w:p>
        </w:tc>
      </w:tr>
      <w:tr>
        <w:trPr>
          <w:trHeight w:val="108"/>
        </w:trPr>
        <w:tc>
          <w:tcPr>
            <w:tcW w:w="2320" w:type="dxa"/>
            <w:vAlign w:val="bottom"/>
          </w:tcPr>
          <w:p>
            <w:pPr>
              <w:spacing w:after="0"/>
              <w:rPr>
                <w:sz w:val="9"/>
                <w:szCs w:val="9"/>
                <w:color w:val="auto"/>
              </w:rPr>
            </w:pPr>
          </w:p>
        </w:tc>
        <w:tc>
          <w:tcPr>
            <w:tcW w:w="7300" w:type="dxa"/>
            <w:vAlign w:val="bottom"/>
          </w:tcPr>
          <w:p>
            <w:pPr>
              <w:spacing w:after="0"/>
              <w:rPr>
                <w:sz w:val="9"/>
                <w:szCs w:val="9"/>
                <w:color w:val="auto"/>
              </w:rPr>
            </w:pPr>
          </w:p>
        </w:tc>
      </w:tr>
      <w:tr>
        <w:trPr>
          <w:trHeight w:val="250"/>
        </w:trPr>
        <w:tc>
          <w:tcPr>
            <w:tcW w:w="2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9"/>
                <w:szCs w:val="19"/>
                <w:color w:val="auto"/>
              </w:rPr>
              <w:t>Benchmark Treasury Yield:</w:t>
            </w:r>
          </w:p>
        </w:tc>
        <w:tc>
          <w:tcPr>
            <w:tcW w:w="73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9"/>
                <w:szCs w:val="19"/>
                <w:color w:val="auto"/>
              </w:rPr>
              <w:t>3.924%</w:t>
            </w:r>
          </w:p>
        </w:tc>
      </w:tr>
      <w:tr>
        <w:trPr>
          <w:trHeight w:val="108"/>
        </w:trPr>
        <w:tc>
          <w:tcPr>
            <w:tcW w:w="2320" w:type="dxa"/>
            <w:vAlign w:val="bottom"/>
          </w:tcPr>
          <w:p>
            <w:pPr>
              <w:spacing w:after="0"/>
              <w:rPr>
                <w:sz w:val="9"/>
                <w:szCs w:val="9"/>
                <w:color w:val="auto"/>
              </w:rPr>
            </w:pPr>
          </w:p>
        </w:tc>
        <w:tc>
          <w:tcPr>
            <w:tcW w:w="7300" w:type="dxa"/>
            <w:vAlign w:val="bottom"/>
          </w:tcPr>
          <w:p>
            <w:pPr>
              <w:spacing w:after="0"/>
              <w:rPr>
                <w:sz w:val="9"/>
                <w:szCs w:val="9"/>
                <w:color w:val="auto"/>
              </w:rPr>
            </w:pPr>
          </w:p>
        </w:tc>
      </w:tr>
      <w:tr>
        <w:trPr>
          <w:trHeight w:val="250"/>
        </w:trPr>
        <w:tc>
          <w:tcPr>
            <w:tcW w:w="2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9"/>
                <w:szCs w:val="19"/>
                <w:color w:val="auto"/>
              </w:rPr>
              <w:t>Reoffer Spread:</w:t>
            </w:r>
          </w:p>
        </w:tc>
        <w:tc>
          <w:tcPr>
            <w:tcW w:w="73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9"/>
                <w:szCs w:val="19"/>
                <w:color w:val="auto"/>
              </w:rPr>
              <w:t>T+175 basis points</w:t>
            </w:r>
          </w:p>
        </w:tc>
      </w:tr>
      <w:tr>
        <w:trPr>
          <w:trHeight w:val="108"/>
        </w:trPr>
        <w:tc>
          <w:tcPr>
            <w:tcW w:w="2320" w:type="dxa"/>
            <w:vAlign w:val="bottom"/>
          </w:tcPr>
          <w:p>
            <w:pPr>
              <w:spacing w:after="0"/>
              <w:rPr>
                <w:sz w:val="9"/>
                <w:szCs w:val="9"/>
                <w:color w:val="auto"/>
              </w:rPr>
            </w:pPr>
          </w:p>
        </w:tc>
        <w:tc>
          <w:tcPr>
            <w:tcW w:w="7300" w:type="dxa"/>
            <w:vAlign w:val="bottom"/>
          </w:tcPr>
          <w:p>
            <w:pPr>
              <w:spacing w:after="0"/>
              <w:rPr>
                <w:sz w:val="9"/>
                <w:szCs w:val="9"/>
                <w:color w:val="auto"/>
              </w:rPr>
            </w:pPr>
          </w:p>
        </w:tc>
      </w:tr>
      <w:tr>
        <w:trPr>
          <w:trHeight w:val="250"/>
        </w:trPr>
        <w:tc>
          <w:tcPr>
            <w:tcW w:w="2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9"/>
                <w:szCs w:val="19"/>
                <w:color w:val="auto"/>
              </w:rPr>
              <w:t>Yield to Maturity:</w:t>
            </w:r>
          </w:p>
        </w:tc>
        <w:tc>
          <w:tcPr>
            <w:tcW w:w="73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9"/>
                <w:szCs w:val="19"/>
                <w:color w:val="auto"/>
              </w:rPr>
              <w:t>5.674%</w:t>
            </w:r>
          </w:p>
        </w:tc>
      </w:tr>
      <w:tr>
        <w:trPr>
          <w:trHeight w:val="108"/>
        </w:trPr>
        <w:tc>
          <w:tcPr>
            <w:tcW w:w="2320" w:type="dxa"/>
            <w:vAlign w:val="bottom"/>
          </w:tcPr>
          <w:p>
            <w:pPr>
              <w:spacing w:after="0"/>
              <w:rPr>
                <w:sz w:val="9"/>
                <w:szCs w:val="9"/>
                <w:color w:val="auto"/>
              </w:rPr>
            </w:pPr>
          </w:p>
        </w:tc>
        <w:tc>
          <w:tcPr>
            <w:tcW w:w="7300" w:type="dxa"/>
            <w:vAlign w:val="bottom"/>
          </w:tcPr>
          <w:p>
            <w:pPr>
              <w:spacing w:after="0"/>
              <w:rPr>
                <w:sz w:val="9"/>
                <w:szCs w:val="9"/>
                <w:color w:val="auto"/>
              </w:rPr>
            </w:pPr>
          </w:p>
        </w:tc>
      </w:tr>
      <w:tr>
        <w:trPr>
          <w:trHeight w:val="217"/>
        </w:trPr>
        <w:tc>
          <w:tcPr>
            <w:tcW w:w="2320" w:type="dxa"/>
            <w:vAlign w:val="bottom"/>
            <w:shd w:val="clear" w:color="auto" w:fill="CCEEFF"/>
          </w:tcPr>
          <w:p>
            <w:pPr>
              <w:spacing w:after="0" w:line="216" w:lineRule="exact"/>
              <w:rPr>
                <w:sz w:val="20"/>
                <w:szCs w:val="20"/>
                <w:color w:val="auto"/>
              </w:rPr>
            </w:pPr>
            <w:r>
              <w:rPr>
                <w:rFonts w:ascii="Times New Roman" w:cs="Times New Roman" w:eastAsia="Times New Roman" w:hAnsi="Times New Roman"/>
                <w:sz w:val="19"/>
                <w:szCs w:val="19"/>
                <w:color w:val="auto"/>
              </w:rPr>
              <w:t>Price to Public:</w:t>
            </w:r>
          </w:p>
        </w:tc>
        <w:tc>
          <w:tcPr>
            <w:tcW w:w="7300" w:type="dxa"/>
            <w:vAlign w:val="bottom"/>
            <w:shd w:val="clear" w:color="auto" w:fill="CCEEFF"/>
          </w:tcPr>
          <w:p>
            <w:pPr>
              <w:ind w:left="180"/>
              <w:spacing w:after="0" w:line="216" w:lineRule="exact"/>
              <w:rPr>
                <w:sz w:val="20"/>
                <w:szCs w:val="20"/>
                <w:color w:val="auto"/>
              </w:rPr>
            </w:pPr>
            <w:r>
              <w:rPr>
                <w:rFonts w:ascii="Times New Roman" w:cs="Times New Roman" w:eastAsia="Times New Roman" w:hAnsi="Times New Roman"/>
                <w:sz w:val="19"/>
                <w:szCs w:val="19"/>
                <w:color w:val="auto"/>
              </w:rPr>
              <w:t>99.630% of the principal</w:t>
            </w:r>
          </w:p>
        </w:tc>
      </w:tr>
      <w:tr>
        <w:trPr>
          <w:trHeight w:val="249"/>
        </w:trPr>
        <w:tc>
          <w:tcPr>
            <w:tcW w:w="2320" w:type="dxa"/>
            <w:vAlign w:val="bottom"/>
            <w:tcBorders>
              <w:bottom w:val="single" w:sz="8" w:color="CCEEFF"/>
            </w:tcBorders>
            <w:shd w:val="clear" w:color="auto" w:fill="CCEEFF"/>
          </w:tcPr>
          <w:p>
            <w:pPr>
              <w:spacing w:after="0"/>
              <w:rPr>
                <w:sz w:val="21"/>
                <w:szCs w:val="21"/>
                <w:color w:val="auto"/>
              </w:rPr>
            </w:pPr>
          </w:p>
        </w:tc>
        <w:tc>
          <w:tcPr>
            <w:tcW w:w="73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9"/>
                <w:szCs w:val="19"/>
                <w:color w:val="auto"/>
              </w:rPr>
              <w:t>amount thereof</w:t>
            </w:r>
          </w:p>
        </w:tc>
      </w:tr>
      <w:tr>
        <w:trPr>
          <w:trHeight w:val="95"/>
        </w:trPr>
        <w:tc>
          <w:tcPr>
            <w:tcW w:w="2320" w:type="dxa"/>
            <w:vAlign w:val="bottom"/>
          </w:tcPr>
          <w:p>
            <w:pPr>
              <w:spacing w:after="0"/>
              <w:rPr>
                <w:sz w:val="8"/>
                <w:szCs w:val="8"/>
                <w:color w:val="auto"/>
              </w:rPr>
            </w:pPr>
          </w:p>
        </w:tc>
        <w:tc>
          <w:tcPr>
            <w:tcW w:w="7300" w:type="dxa"/>
            <w:vAlign w:val="bottom"/>
          </w:tcPr>
          <w:p>
            <w:pPr>
              <w:spacing w:after="0"/>
              <w:rPr>
                <w:sz w:val="8"/>
                <w:szCs w:val="8"/>
                <w:color w:val="auto"/>
              </w:rPr>
            </w:pPr>
          </w:p>
        </w:tc>
      </w:tr>
      <w:tr>
        <w:trPr>
          <w:trHeight w:val="250"/>
        </w:trPr>
        <w:tc>
          <w:tcPr>
            <w:tcW w:w="2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9"/>
                <w:szCs w:val="19"/>
                <w:color w:val="auto"/>
              </w:rPr>
              <w:t>Redemption Terms:</w:t>
            </w:r>
          </w:p>
        </w:tc>
        <w:tc>
          <w:tcPr>
            <w:tcW w:w="7300" w:type="dxa"/>
            <w:vAlign w:val="bottom"/>
            <w:tcBorders>
              <w:bottom w:val="single" w:sz="8" w:color="CCEEFF"/>
            </w:tcBorders>
            <w:shd w:val="clear" w:color="auto" w:fill="CCEEFF"/>
          </w:tcPr>
          <w:p>
            <w:pPr>
              <w:spacing w:after="0"/>
              <w:rPr>
                <w:sz w:val="21"/>
                <w:szCs w:val="21"/>
                <w:color w:val="auto"/>
              </w:rPr>
            </w:pPr>
          </w:p>
        </w:tc>
      </w:tr>
      <w:tr>
        <w:trPr>
          <w:trHeight w:val="245"/>
        </w:trPr>
        <w:tc>
          <w:tcPr>
            <w:tcW w:w="2320" w:type="dxa"/>
            <w:vAlign w:val="bottom"/>
          </w:tcPr>
          <w:p>
            <w:pPr>
              <w:ind w:left="580"/>
              <w:spacing w:after="0"/>
              <w:rPr>
                <w:sz w:val="20"/>
                <w:szCs w:val="20"/>
                <w:color w:val="auto"/>
              </w:rPr>
            </w:pPr>
            <w:r>
              <w:rPr>
                <w:rFonts w:ascii="Times New Roman" w:cs="Times New Roman" w:eastAsia="Times New Roman" w:hAnsi="Times New Roman"/>
                <w:sz w:val="19"/>
                <w:szCs w:val="19"/>
                <w:color w:val="auto"/>
              </w:rPr>
              <w:t>Make-whole call:</w:t>
            </w:r>
          </w:p>
        </w:tc>
        <w:tc>
          <w:tcPr>
            <w:tcW w:w="7300" w:type="dxa"/>
            <w:vAlign w:val="bottom"/>
          </w:tcPr>
          <w:p>
            <w:pPr>
              <w:ind w:left="180"/>
              <w:spacing w:after="0"/>
              <w:rPr>
                <w:sz w:val="20"/>
                <w:szCs w:val="20"/>
                <w:color w:val="auto"/>
              </w:rPr>
            </w:pPr>
            <w:r>
              <w:rPr>
                <w:rFonts w:ascii="Times New Roman" w:cs="Times New Roman" w:eastAsia="Times New Roman" w:hAnsi="Times New Roman"/>
                <w:sz w:val="19"/>
                <w:szCs w:val="19"/>
                <w:color w:val="auto"/>
              </w:rPr>
              <w:t>Prior to December 1, 2032, at a discount rate of the Treasury Rate plus 30 basis points</w:t>
            </w:r>
          </w:p>
        </w:tc>
      </w:tr>
      <w:tr>
        <w:trPr>
          <w:trHeight w:val="25"/>
        </w:trPr>
        <w:tc>
          <w:tcPr>
            <w:tcW w:w="2320" w:type="dxa"/>
            <w:vAlign w:val="bottom"/>
          </w:tcPr>
          <w:p>
            <w:pPr>
              <w:spacing w:after="0"/>
              <w:rPr>
                <w:sz w:val="2"/>
                <w:szCs w:val="2"/>
                <w:color w:val="auto"/>
              </w:rPr>
            </w:pPr>
          </w:p>
        </w:tc>
        <w:tc>
          <w:tcPr>
            <w:tcW w:w="7300" w:type="dxa"/>
            <w:vAlign w:val="bottom"/>
          </w:tcPr>
          <w:p>
            <w:pPr>
              <w:spacing w:after="0"/>
              <w:rPr>
                <w:sz w:val="2"/>
                <w:szCs w:val="2"/>
                <w:color w:val="auto"/>
              </w:rPr>
            </w:pPr>
          </w:p>
        </w:tc>
      </w:tr>
      <w:tr>
        <w:trPr>
          <w:trHeight w:val="217"/>
        </w:trPr>
        <w:tc>
          <w:tcPr>
            <w:tcW w:w="2320" w:type="dxa"/>
            <w:vAlign w:val="bottom"/>
            <w:shd w:val="clear" w:color="auto" w:fill="CCEEFF"/>
          </w:tcPr>
          <w:p>
            <w:pPr>
              <w:ind w:left="580"/>
              <w:spacing w:after="0" w:line="216" w:lineRule="exact"/>
              <w:rPr>
                <w:sz w:val="20"/>
                <w:szCs w:val="20"/>
                <w:color w:val="auto"/>
              </w:rPr>
            </w:pPr>
            <w:r>
              <w:rPr>
                <w:rFonts w:ascii="Times New Roman" w:cs="Times New Roman" w:eastAsia="Times New Roman" w:hAnsi="Times New Roman"/>
                <w:sz w:val="19"/>
                <w:szCs w:val="19"/>
                <w:color w:val="auto"/>
              </w:rPr>
              <w:t>Par call:</w:t>
            </w:r>
          </w:p>
        </w:tc>
        <w:tc>
          <w:tcPr>
            <w:tcW w:w="7300" w:type="dxa"/>
            <w:vAlign w:val="bottom"/>
            <w:shd w:val="clear" w:color="auto" w:fill="CCEEFF"/>
          </w:tcPr>
          <w:p>
            <w:pPr>
              <w:ind w:left="180"/>
              <w:spacing w:after="0" w:line="216" w:lineRule="exact"/>
              <w:rPr>
                <w:sz w:val="20"/>
                <w:szCs w:val="20"/>
                <w:color w:val="auto"/>
              </w:rPr>
            </w:pPr>
            <w:r>
              <w:rPr>
                <w:rFonts w:ascii="Times New Roman" w:cs="Times New Roman" w:eastAsia="Times New Roman" w:hAnsi="Times New Roman"/>
                <w:sz w:val="19"/>
                <w:szCs w:val="19"/>
                <w:color w:val="auto"/>
              </w:rPr>
              <w:t>On or after December 1, 2032 at</w:t>
            </w:r>
          </w:p>
        </w:tc>
      </w:tr>
      <w:tr>
        <w:trPr>
          <w:trHeight w:val="249"/>
        </w:trPr>
        <w:tc>
          <w:tcPr>
            <w:tcW w:w="2320" w:type="dxa"/>
            <w:vAlign w:val="bottom"/>
            <w:tcBorders>
              <w:bottom w:val="single" w:sz="8" w:color="CCEEFF"/>
            </w:tcBorders>
            <w:shd w:val="clear" w:color="auto" w:fill="CCEEFF"/>
          </w:tcPr>
          <w:p>
            <w:pPr>
              <w:spacing w:after="0"/>
              <w:rPr>
                <w:sz w:val="21"/>
                <w:szCs w:val="21"/>
                <w:color w:val="auto"/>
              </w:rPr>
            </w:pPr>
          </w:p>
        </w:tc>
        <w:tc>
          <w:tcPr>
            <w:tcW w:w="73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9"/>
                <w:szCs w:val="19"/>
                <w:color w:val="auto"/>
              </w:rPr>
              <w:t>par</w:t>
            </w:r>
          </w:p>
        </w:tc>
      </w:tr>
      <w:tr>
        <w:trPr>
          <w:trHeight w:val="257"/>
        </w:trPr>
        <w:tc>
          <w:tcPr>
            <w:tcW w:w="2320" w:type="dxa"/>
            <w:vAlign w:val="bottom"/>
          </w:tcPr>
          <w:p>
            <w:pPr>
              <w:spacing w:after="0"/>
              <w:rPr>
                <w:sz w:val="22"/>
                <w:szCs w:val="22"/>
                <w:color w:val="auto"/>
              </w:rPr>
            </w:pPr>
          </w:p>
        </w:tc>
        <w:tc>
          <w:tcPr>
            <w:tcW w:w="7300" w:type="dxa"/>
            <w:vAlign w:val="bottom"/>
          </w:tcPr>
          <w:p>
            <w:pPr>
              <w:spacing w:after="0"/>
              <w:rPr>
                <w:sz w:val="22"/>
                <w:szCs w:val="22"/>
                <w:color w:val="auto"/>
              </w:rPr>
            </w:pPr>
          </w:p>
        </w:tc>
      </w:tr>
      <w:tr>
        <w:trPr>
          <w:trHeight w:val="250"/>
        </w:trPr>
        <w:tc>
          <w:tcPr>
            <w:tcW w:w="2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9"/>
                <w:szCs w:val="19"/>
                <w:color w:val="auto"/>
              </w:rPr>
              <w:t>CUSIP/ISIN:</w:t>
            </w:r>
          </w:p>
        </w:tc>
        <w:tc>
          <w:tcPr>
            <w:tcW w:w="73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9"/>
                <w:szCs w:val="19"/>
                <w:color w:val="auto"/>
              </w:rPr>
              <w:t>025537AX9/ US025537AX91</w:t>
            </w:r>
          </w:p>
        </w:tc>
      </w:tr>
      <w:tr>
        <w:trPr>
          <w:trHeight w:val="108"/>
        </w:trPr>
        <w:tc>
          <w:tcPr>
            <w:tcW w:w="2320" w:type="dxa"/>
            <w:vAlign w:val="bottom"/>
          </w:tcPr>
          <w:p>
            <w:pPr>
              <w:spacing w:after="0"/>
              <w:rPr>
                <w:sz w:val="9"/>
                <w:szCs w:val="9"/>
                <w:color w:val="auto"/>
              </w:rPr>
            </w:pPr>
          </w:p>
        </w:tc>
        <w:tc>
          <w:tcPr>
            <w:tcW w:w="7300" w:type="dxa"/>
            <w:vAlign w:val="bottom"/>
          </w:tcPr>
          <w:p>
            <w:pPr>
              <w:spacing w:after="0"/>
              <w:rPr>
                <w:sz w:val="9"/>
                <w:szCs w:val="9"/>
                <w:color w:val="auto"/>
              </w:rPr>
            </w:pPr>
          </w:p>
        </w:tc>
      </w:tr>
      <w:tr>
        <w:trPr>
          <w:trHeight w:val="250"/>
        </w:trPr>
        <w:tc>
          <w:tcPr>
            <w:tcW w:w="232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9"/>
                <w:szCs w:val="19"/>
                <w:color w:val="auto"/>
              </w:rPr>
              <w:t>Minimum Denomination:</w:t>
            </w:r>
          </w:p>
        </w:tc>
        <w:tc>
          <w:tcPr>
            <w:tcW w:w="73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9"/>
                <w:szCs w:val="19"/>
                <w:color w:val="auto"/>
              </w:rPr>
              <w:t>$2,000 and integral multiples of $1,000 in excess thereof</w:t>
            </w:r>
          </w:p>
        </w:tc>
      </w:tr>
      <w:tr>
        <w:trPr>
          <w:trHeight w:val="108"/>
        </w:trPr>
        <w:tc>
          <w:tcPr>
            <w:tcW w:w="9620" w:type="dxa"/>
            <w:vAlign w:val="bottom"/>
            <w:gridSpan w:val="2"/>
          </w:tcPr>
          <w:p>
            <w:pPr>
              <w:spacing w:after="0"/>
              <w:rPr>
                <w:sz w:val="9"/>
                <w:szCs w:val="9"/>
                <w:color w:val="auto"/>
              </w:rPr>
            </w:pPr>
          </w:p>
        </w:tc>
      </w:tr>
      <w:tr>
        <w:trPr>
          <w:trHeight w:val="217"/>
        </w:trPr>
        <w:tc>
          <w:tcPr>
            <w:tcW w:w="9620" w:type="dxa"/>
            <w:vAlign w:val="bottom"/>
            <w:gridSpan w:val="2"/>
            <w:shd w:val="clear" w:color="auto" w:fill="CCEEFF"/>
          </w:tcPr>
          <w:p>
            <w:pPr>
              <w:spacing w:after="0" w:line="216" w:lineRule="exact"/>
              <w:rPr>
                <w:sz w:val="20"/>
                <w:szCs w:val="20"/>
                <w:color w:val="auto"/>
              </w:rPr>
            </w:pPr>
            <w:r>
              <w:rPr>
                <w:rFonts w:ascii="Times New Roman" w:cs="Times New Roman" w:eastAsia="Times New Roman" w:hAnsi="Times New Roman"/>
                <w:sz w:val="19"/>
                <w:szCs w:val="19"/>
                <w:color w:val="auto"/>
              </w:rPr>
              <w:t>Joint Book-Running Managers: Barclays Capital Inc</w:t>
            </w:r>
          </w:p>
        </w:tc>
      </w:tr>
      <w:tr>
        <w:trPr>
          <w:trHeight w:val="216"/>
        </w:trPr>
        <w:tc>
          <w:tcPr>
            <w:tcW w:w="2320" w:type="dxa"/>
            <w:vAlign w:val="bottom"/>
            <w:shd w:val="clear" w:color="auto" w:fill="CCEEFF"/>
          </w:tcPr>
          <w:p>
            <w:pPr>
              <w:spacing w:after="0"/>
              <w:rPr>
                <w:sz w:val="18"/>
                <w:szCs w:val="18"/>
                <w:color w:val="auto"/>
              </w:rPr>
            </w:pPr>
          </w:p>
        </w:tc>
        <w:tc>
          <w:tcPr>
            <w:tcW w:w="7300" w:type="dxa"/>
            <w:vAlign w:val="bottom"/>
            <w:shd w:val="clear" w:color="auto" w:fill="CCEEFF"/>
          </w:tcPr>
          <w:p>
            <w:pPr>
              <w:ind w:left="180"/>
              <w:spacing w:after="0" w:line="216" w:lineRule="exact"/>
              <w:rPr>
                <w:sz w:val="20"/>
                <w:szCs w:val="20"/>
                <w:color w:val="auto"/>
              </w:rPr>
            </w:pPr>
            <w:r>
              <w:rPr>
                <w:rFonts w:ascii="Times New Roman" w:cs="Times New Roman" w:eastAsia="Times New Roman" w:hAnsi="Times New Roman"/>
                <w:sz w:val="19"/>
                <w:szCs w:val="19"/>
                <w:color w:val="auto"/>
              </w:rPr>
              <w:t>KeyBanc Capital Markets Inc.</w:t>
            </w:r>
          </w:p>
        </w:tc>
      </w:tr>
      <w:tr>
        <w:trPr>
          <w:trHeight w:val="216"/>
        </w:trPr>
        <w:tc>
          <w:tcPr>
            <w:tcW w:w="2320" w:type="dxa"/>
            <w:vAlign w:val="bottom"/>
            <w:shd w:val="clear" w:color="auto" w:fill="CCEEFF"/>
          </w:tcPr>
          <w:p>
            <w:pPr>
              <w:spacing w:after="0"/>
              <w:rPr>
                <w:sz w:val="18"/>
                <w:szCs w:val="18"/>
                <w:color w:val="auto"/>
              </w:rPr>
            </w:pPr>
          </w:p>
        </w:tc>
        <w:tc>
          <w:tcPr>
            <w:tcW w:w="7300" w:type="dxa"/>
            <w:vAlign w:val="bottom"/>
            <w:shd w:val="clear" w:color="auto" w:fill="CCEEFF"/>
          </w:tcPr>
          <w:p>
            <w:pPr>
              <w:ind w:left="180"/>
              <w:spacing w:after="0" w:line="216" w:lineRule="exact"/>
              <w:rPr>
                <w:sz w:val="20"/>
                <w:szCs w:val="20"/>
                <w:color w:val="auto"/>
              </w:rPr>
            </w:pPr>
            <w:r>
              <w:rPr>
                <w:rFonts w:ascii="Times New Roman" w:cs="Times New Roman" w:eastAsia="Times New Roman" w:hAnsi="Times New Roman"/>
                <w:sz w:val="19"/>
                <w:szCs w:val="19"/>
                <w:color w:val="auto"/>
              </w:rPr>
              <w:t>MUFG Securities Americas Inc.</w:t>
            </w:r>
          </w:p>
        </w:tc>
      </w:tr>
      <w:tr>
        <w:trPr>
          <w:trHeight w:val="216"/>
        </w:trPr>
        <w:tc>
          <w:tcPr>
            <w:tcW w:w="2320" w:type="dxa"/>
            <w:vAlign w:val="bottom"/>
            <w:shd w:val="clear" w:color="auto" w:fill="CCEEFF"/>
          </w:tcPr>
          <w:p>
            <w:pPr>
              <w:spacing w:after="0"/>
              <w:rPr>
                <w:sz w:val="18"/>
                <w:szCs w:val="18"/>
                <w:color w:val="auto"/>
              </w:rPr>
            </w:pPr>
          </w:p>
        </w:tc>
        <w:tc>
          <w:tcPr>
            <w:tcW w:w="7300" w:type="dxa"/>
            <w:vAlign w:val="bottom"/>
            <w:shd w:val="clear" w:color="auto" w:fill="CCEEFF"/>
          </w:tcPr>
          <w:p>
            <w:pPr>
              <w:ind w:left="180"/>
              <w:spacing w:after="0" w:line="216" w:lineRule="exact"/>
              <w:rPr>
                <w:sz w:val="20"/>
                <w:szCs w:val="20"/>
                <w:color w:val="auto"/>
              </w:rPr>
            </w:pPr>
            <w:r>
              <w:rPr>
                <w:rFonts w:ascii="Times New Roman" w:cs="Times New Roman" w:eastAsia="Times New Roman" w:hAnsi="Times New Roman"/>
                <w:sz w:val="19"/>
                <w:szCs w:val="19"/>
                <w:color w:val="auto"/>
              </w:rPr>
              <w:t>TD Securities (USA) LLC</w:t>
            </w:r>
          </w:p>
        </w:tc>
      </w:tr>
      <w:tr>
        <w:trPr>
          <w:trHeight w:val="249"/>
        </w:trPr>
        <w:tc>
          <w:tcPr>
            <w:tcW w:w="2320" w:type="dxa"/>
            <w:vAlign w:val="bottom"/>
            <w:tcBorders>
              <w:bottom w:val="single" w:sz="8" w:color="CCEEFF"/>
            </w:tcBorders>
            <w:shd w:val="clear" w:color="auto" w:fill="CCEEFF"/>
          </w:tcPr>
          <w:p>
            <w:pPr>
              <w:spacing w:after="0"/>
              <w:rPr>
                <w:sz w:val="21"/>
                <w:szCs w:val="21"/>
                <w:color w:val="auto"/>
              </w:rPr>
            </w:pPr>
          </w:p>
        </w:tc>
        <w:tc>
          <w:tcPr>
            <w:tcW w:w="730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19"/>
                <w:szCs w:val="19"/>
                <w:color w:val="auto"/>
              </w:rPr>
              <w:t>U.S. Bancorp Investments, Inc.</w:t>
            </w:r>
          </w:p>
        </w:tc>
      </w:tr>
      <w:tr>
        <w:trPr>
          <w:trHeight w:val="217"/>
        </w:trPr>
        <w:tc>
          <w:tcPr>
            <w:tcW w:w="2320" w:type="dxa"/>
            <w:vAlign w:val="bottom"/>
          </w:tcPr>
          <w:p>
            <w:pPr>
              <w:spacing w:after="0" w:line="216" w:lineRule="exact"/>
              <w:rPr>
                <w:sz w:val="20"/>
                <w:szCs w:val="20"/>
                <w:color w:val="auto"/>
              </w:rPr>
            </w:pPr>
            <w:r>
              <w:rPr>
                <w:rFonts w:ascii="Times New Roman" w:cs="Times New Roman" w:eastAsia="Times New Roman" w:hAnsi="Times New Roman"/>
                <w:sz w:val="19"/>
                <w:szCs w:val="19"/>
                <w:color w:val="auto"/>
              </w:rPr>
              <w:t>Co-Managers:</w:t>
            </w:r>
          </w:p>
        </w:tc>
        <w:tc>
          <w:tcPr>
            <w:tcW w:w="7300" w:type="dxa"/>
            <w:vAlign w:val="bottom"/>
          </w:tcPr>
          <w:p>
            <w:pPr>
              <w:ind w:left="180"/>
              <w:spacing w:after="0" w:line="216" w:lineRule="exact"/>
              <w:rPr>
                <w:sz w:val="20"/>
                <w:szCs w:val="20"/>
                <w:color w:val="auto"/>
              </w:rPr>
            </w:pPr>
            <w:r>
              <w:rPr>
                <w:rFonts w:ascii="Times New Roman" w:cs="Times New Roman" w:eastAsia="Times New Roman" w:hAnsi="Times New Roman"/>
                <w:sz w:val="19"/>
                <w:szCs w:val="19"/>
                <w:color w:val="auto"/>
              </w:rPr>
              <w:t>AmeriVet Securities, Inc.</w:t>
            </w:r>
          </w:p>
        </w:tc>
      </w:tr>
      <w:tr>
        <w:trPr>
          <w:trHeight w:val="216"/>
        </w:trPr>
        <w:tc>
          <w:tcPr>
            <w:tcW w:w="2320" w:type="dxa"/>
            <w:vAlign w:val="bottom"/>
          </w:tcPr>
          <w:p>
            <w:pPr>
              <w:spacing w:after="0"/>
              <w:rPr>
                <w:sz w:val="18"/>
                <w:szCs w:val="18"/>
                <w:color w:val="auto"/>
              </w:rPr>
            </w:pPr>
          </w:p>
        </w:tc>
        <w:tc>
          <w:tcPr>
            <w:tcW w:w="7300" w:type="dxa"/>
            <w:vAlign w:val="bottom"/>
          </w:tcPr>
          <w:p>
            <w:pPr>
              <w:ind w:left="180"/>
              <w:spacing w:after="0" w:line="216" w:lineRule="exact"/>
              <w:rPr>
                <w:sz w:val="20"/>
                <w:szCs w:val="20"/>
                <w:color w:val="auto"/>
              </w:rPr>
            </w:pPr>
            <w:r>
              <w:rPr>
                <w:rFonts w:ascii="Times New Roman" w:cs="Times New Roman" w:eastAsia="Times New Roman" w:hAnsi="Times New Roman"/>
                <w:sz w:val="19"/>
                <w:szCs w:val="19"/>
                <w:color w:val="auto"/>
              </w:rPr>
              <w:t>Fifth Third Securities, Inc.</w:t>
            </w:r>
          </w:p>
        </w:tc>
      </w:tr>
      <w:tr>
        <w:trPr>
          <w:trHeight w:val="216"/>
        </w:trPr>
        <w:tc>
          <w:tcPr>
            <w:tcW w:w="2320" w:type="dxa"/>
            <w:vAlign w:val="bottom"/>
          </w:tcPr>
          <w:p>
            <w:pPr>
              <w:spacing w:after="0"/>
              <w:rPr>
                <w:sz w:val="18"/>
                <w:szCs w:val="18"/>
                <w:color w:val="auto"/>
              </w:rPr>
            </w:pPr>
          </w:p>
        </w:tc>
        <w:tc>
          <w:tcPr>
            <w:tcW w:w="7300" w:type="dxa"/>
            <w:vAlign w:val="bottom"/>
          </w:tcPr>
          <w:p>
            <w:pPr>
              <w:ind w:left="180"/>
              <w:spacing w:after="0" w:line="216" w:lineRule="exact"/>
              <w:rPr>
                <w:sz w:val="20"/>
                <w:szCs w:val="20"/>
                <w:color w:val="auto"/>
              </w:rPr>
            </w:pPr>
            <w:r>
              <w:rPr>
                <w:rFonts w:ascii="Times New Roman" w:cs="Times New Roman" w:eastAsia="Times New Roman" w:hAnsi="Times New Roman"/>
                <w:sz w:val="19"/>
                <w:szCs w:val="19"/>
                <w:color w:val="auto"/>
              </w:rPr>
              <w:t>Huntington Securities, Inc.</w:t>
            </w:r>
          </w:p>
        </w:tc>
      </w:tr>
      <w:tr>
        <w:trPr>
          <w:trHeight w:val="244"/>
        </w:trPr>
        <w:tc>
          <w:tcPr>
            <w:tcW w:w="2320" w:type="dxa"/>
            <w:vAlign w:val="bottom"/>
          </w:tcPr>
          <w:p>
            <w:pPr>
              <w:spacing w:after="0"/>
              <w:rPr>
                <w:sz w:val="21"/>
                <w:szCs w:val="21"/>
                <w:color w:val="auto"/>
              </w:rPr>
            </w:pPr>
          </w:p>
        </w:tc>
        <w:tc>
          <w:tcPr>
            <w:tcW w:w="7300" w:type="dxa"/>
            <w:vAlign w:val="bottom"/>
          </w:tcPr>
          <w:p>
            <w:pPr>
              <w:ind w:left="180"/>
              <w:spacing w:after="0"/>
              <w:rPr>
                <w:sz w:val="20"/>
                <w:szCs w:val="20"/>
                <w:color w:val="auto"/>
              </w:rPr>
            </w:pPr>
            <w:r>
              <w:rPr>
                <w:rFonts w:ascii="Times New Roman" w:cs="Times New Roman" w:eastAsia="Times New Roman" w:hAnsi="Times New Roman"/>
                <w:sz w:val="19"/>
                <w:szCs w:val="19"/>
                <w:color w:val="auto"/>
              </w:rPr>
              <w:t>Siebert Williams Shank &amp; Co., LLC</w:t>
            </w:r>
          </w:p>
        </w:tc>
      </w:tr>
      <w:tr>
        <w:trPr>
          <w:trHeight w:val="25"/>
        </w:trPr>
        <w:tc>
          <w:tcPr>
            <w:tcW w:w="2320" w:type="dxa"/>
            <w:vAlign w:val="bottom"/>
          </w:tcPr>
          <w:p>
            <w:pPr>
              <w:spacing w:after="0"/>
              <w:rPr>
                <w:sz w:val="2"/>
                <w:szCs w:val="2"/>
                <w:color w:val="auto"/>
              </w:rPr>
            </w:pPr>
          </w:p>
        </w:tc>
        <w:tc>
          <w:tcPr>
            <w:tcW w:w="7300" w:type="dxa"/>
            <w:vAlign w:val="bottom"/>
          </w:tcPr>
          <w:p>
            <w:pPr>
              <w:spacing w:after="0"/>
              <w:rPr>
                <w:sz w:val="2"/>
                <w:szCs w:val="2"/>
                <w:color w:val="auto"/>
              </w:rPr>
            </w:pPr>
          </w:p>
        </w:tc>
      </w:tr>
      <w:tr>
        <w:trPr>
          <w:trHeight w:val="108"/>
        </w:trPr>
        <w:tc>
          <w:tcPr>
            <w:tcW w:w="2320" w:type="dxa"/>
            <w:vAlign w:val="bottom"/>
            <w:shd w:val="clear" w:color="auto" w:fill="CCEEFF"/>
          </w:tcPr>
          <w:p>
            <w:pPr>
              <w:spacing w:after="0"/>
              <w:rPr>
                <w:sz w:val="9"/>
                <w:szCs w:val="9"/>
                <w:color w:val="auto"/>
              </w:rPr>
            </w:pPr>
          </w:p>
        </w:tc>
        <w:tc>
          <w:tcPr>
            <w:tcW w:w="7300" w:type="dxa"/>
            <w:vAlign w:val="bottom"/>
            <w:shd w:val="clear" w:color="auto" w:fill="CCEEFF"/>
          </w:tcPr>
          <w:p>
            <w:pPr>
              <w:spacing w:after="0"/>
              <w:rPr>
                <w:sz w:val="9"/>
                <w:szCs w:val="9"/>
                <w:color w:val="auto"/>
              </w:rPr>
            </w:pPr>
          </w:p>
        </w:tc>
      </w:tr>
      <w:tr>
        <w:trPr>
          <w:trHeight w:val="217"/>
        </w:trPr>
        <w:tc>
          <w:tcPr>
            <w:tcW w:w="2320" w:type="dxa"/>
            <w:vAlign w:val="bottom"/>
          </w:tcPr>
          <w:p>
            <w:pPr>
              <w:spacing w:after="0" w:line="216" w:lineRule="exact"/>
              <w:rPr>
                <w:sz w:val="20"/>
                <w:szCs w:val="20"/>
                <w:color w:val="auto"/>
              </w:rPr>
            </w:pPr>
            <w:r>
              <w:rPr>
                <w:rFonts w:ascii="Times New Roman" w:cs="Times New Roman" w:eastAsia="Times New Roman" w:hAnsi="Times New Roman"/>
                <w:sz w:val="19"/>
                <w:szCs w:val="19"/>
                <w:color w:val="auto"/>
              </w:rPr>
              <w:t>Ratings*:</w:t>
            </w:r>
          </w:p>
        </w:tc>
        <w:tc>
          <w:tcPr>
            <w:tcW w:w="7300" w:type="dxa"/>
            <w:vAlign w:val="bottom"/>
          </w:tcPr>
          <w:p>
            <w:pPr>
              <w:ind w:left="180"/>
              <w:spacing w:after="0" w:line="216" w:lineRule="exact"/>
              <w:rPr>
                <w:sz w:val="20"/>
                <w:szCs w:val="20"/>
                <w:color w:val="auto"/>
              </w:rPr>
            </w:pPr>
            <w:r>
              <w:rPr>
                <w:rFonts w:ascii="Times New Roman" w:cs="Times New Roman" w:eastAsia="Times New Roman" w:hAnsi="Times New Roman"/>
                <w:sz w:val="19"/>
                <w:szCs w:val="19"/>
                <w:color w:val="auto"/>
              </w:rPr>
              <w:t>Baa2 (Stable) by Moody’s Investors Service, Inc.</w:t>
            </w:r>
          </w:p>
        </w:tc>
      </w:tr>
      <w:tr>
        <w:trPr>
          <w:trHeight w:val="216"/>
        </w:trPr>
        <w:tc>
          <w:tcPr>
            <w:tcW w:w="2320" w:type="dxa"/>
            <w:vAlign w:val="bottom"/>
          </w:tcPr>
          <w:p>
            <w:pPr>
              <w:spacing w:after="0"/>
              <w:rPr>
                <w:sz w:val="18"/>
                <w:szCs w:val="18"/>
                <w:color w:val="auto"/>
              </w:rPr>
            </w:pPr>
          </w:p>
        </w:tc>
        <w:tc>
          <w:tcPr>
            <w:tcW w:w="7300" w:type="dxa"/>
            <w:vAlign w:val="bottom"/>
          </w:tcPr>
          <w:p>
            <w:pPr>
              <w:ind w:left="180"/>
              <w:spacing w:after="0" w:line="216" w:lineRule="exact"/>
              <w:rPr>
                <w:sz w:val="20"/>
                <w:szCs w:val="20"/>
                <w:color w:val="auto"/>
              </w:rPr>
            </w:pPr>
            <w:r>
              <w:rPr>
                <w:rFonts w:ascii="Times New Roman" w:cs="Times New Roman" w:eastAsia="Times New Roman" w:hAnsi="Times New Roman"/>
                <w:sz w:val="19"/>
                <w:szCs w:val="19"/>
                <w:color w:val="auto"/>
              </w:rPr>
              <w:t>BBB+ (Stable) by S&amp;P Global Ratings, a division of S&amp;P Global Inc.</w:t>
            </w:r>
          </w:p>
        </w:tc>
      </w:tr>
      <w:tr>
        <w:trPr>
          <w:trHeight w:val="244"/>
        </w:trPr>
        <w:tc>
          <w:tcPr>
            <w:tcW w:w="2320" w:type="dxa"/>
            <w:vAlign w:val="bottom"/>
          </w:tcPr>
          <w:p>
            <w:pPr>
              <w:spacing w:after="0"/>
              <w:rPr>
                <w:sz w:val="21"/>
                <w:szCs w:val="21"/>
                <w:color w:val="auto"/>
              </w:rPr>
            </w:pPr>
          </w:p>
        </w:tc>
        <w:tc>
          <w:tcPr>
            <w:tcW w:w="7300" w:type="dxa"/>
            <w:vAlign w:val="bottom"/>
          </w:tcPr>
          <w:p>
            <w:pPr>
              <w:ind w:left="180"/>
              <w:spacing w:after="0"/>
              <w:rPr>
                <w:sz w:val="20"/>
                <w:szCs w:val="20"/>
                <w:color w:val="auto"/>
              </w:rPr>
            </w:pPr>
            <w:r>
              <w:rPr>
                <w:rFonts w:ascii="Times New Roman" w:cs="Times New Roman" w:eastAsia="Times New Roman" w:hAnsi="Times New Roman"/>
                <w:sz w:val="19"/>
                <w:szCs w:val="19"/>
                <w:color w:val="auto"/>
              </w:rPr>
              <w:t>BBB (Stable) by Fitch Ratings, Inc</w:t>
            </w:r>
          </w:p>
        </w:tc>
      </w:tr>
      <w:tr>
        <w:trPr>
          <w:trHeight w:val="25"/>
        </w:trPr>
        <w:tc>
          <w:tcPr>
            <w:tcW w:w="2320" w:type="dxa"/>
            <w:vAlign w:val="bottom"/>
          </w:tcPr>
          <w:p>
            <w:pPr>
              <w:spacing w:after="0"/>
              <w:rPr>
                <w:sz w:val="2"/>
                <w:szCs w:val="2"/>
                <w:color w:val="auto"/>
              </w:rPr>
            </w:pPr>
          </w:p>
        </w:tc>
        <w:tc>
          <w:tcPr>
            <w:tcW w:w="7300" w:type="dxa"/>
            <w:vAlign w:val="bottom"/>
          </w:tcPr>
          <w:p>
            <w:pPr>
              <w:spacing w:after="0"/>
              <w:rPr>
                <w:sz w:val="2"/>
                <w:szCs w:val="2"/>
                <w:color w:val="auto"/>
              </w:rPr>
            </w:pPr>
          </w:p>
        </w:tc>
      </w:tr>
      <w:tr>
        <w:trPr>
          <w:trHeight w:val="270"/>
        </w:trPr>
        <w:tc>
          <w:tcPr>
            <w:tcW w:w="2320" w:type="dxa"/>
            <w:vAlign w:val="bottom"/>
            <w:shd w:val="clear" w:color="auto" w:fill="CCEEFF"/>
          </w:tcPr>
          <w:p>
            <w:pPr>
              <w:spacing w:after="0"/>
              <w:rPr>
                <w:sz w:val="23"/>
                <w:szCs w:val="23"/>
                <w:color w:val="auto"/>
              </w:rPr>
            </w:pPr>
          </w:p>
        </w:tc>
        <w:tc>
          <w:tcPr>
            <w:tcW w:w="7300" w:type="dxa"/>
            <w:vAlign w:val="bottom"/>
            <w:shd w:val="clear" w:color="auto" w:fill="CCEEFF"/>
          </w:tcPr>
          <w:p>
            <w:pPr>
              <w:spacing w:after="0"/>
              <w:rPr>
                <w:sz w:val="23"/>
                <w:szCs w:val="23"/>
                <w:color w:val="auto"/>
              </w:rPr>
            </w:pPr>
          </w:p>
        </w:tc>
      </w:tr>
    </w:tbl>
    <w:p>
      <w:pPr>
        <w:sectPr>
          <w:pgSz w:w="11900" w:h="16838" w:orient="portrait"/>
          <w:cols w:equalWidth="0" w:num="1">
            <w:col w:w="10420"/>
          </w:cols>
          <w:pgMar w:left="1140" w:top="464" w:right="33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9"/>
          <w:szCs w:val="19"/>
          <w:b w:val="1"/>
          <w:bCs w:val="1"/>
          <w:color w:val="auto"/>
        </w:rPr>
        <w:t xml:space="preserve">*Note: </w:t>
      </w:r>
      <w:r>
        <w:rPr>
          <w:rFonts w:ascii="Times New Roman" w:cs="Times New Roman" w:eastAsia="Times New Roman" w:hAnsi="Times New Roman"/>
          <w:sz w:val="19"/>
          <w:szCs w:val="19"/>
          <w:color w:val="auto"/>
        </w:rPr>
        <w:t>A securities rating is not a recommendation to buy, sell or hold securities and may be subject to revision or withdrawal at any time.</w:t>
      </w:r>
    </w:p>
    <w:p>
      <w:pPr>
        <w:spacing w:after="0" w:line="244" w:lineRule="exact"/>
        <w:rPr>
          <w:sz w:val="20"/>
          <w:szCs w:val="20"/>
          <w:color w:val="auto"/>
        </w:rPr>
      </w:pPr>
    </w:p>
    <w:p>
      <w:pPr>
        <w:jc w:val="both"/>
        <w:spacing w:after="0" w:line="272" w:lineRule="auto"/>
        <w:rPr>
          <w:sz w:val="20"/>
          <w:szCs w:val="20"/>
          <w:color w:val="auto"/>
        </w:rPr>
      </w:pPr>
      <w:r>
        <w:rPr>
          <w:rFonts w:ascii="Arial" w:cs="Arial" w:eastAsia="Arial" w:hAnsi="Arial"/>
          <w:sz w:val="19"/>
          <w:szCs w:val="19"/>
          <w:b w:val="1"/>
          <w:bCs w:val="1"/>
          <w:color w:val="auto"/>
        </w:rPr>
        <w:t>The issuer has filed a registration statement (including a prospectus) with the SEC for the offering to which this communication relates. Before you invest, you should read the prospectus in that registration statement and other documents the issuer has filed with the SEC for more complete information about the issuer and this offering. You may get</w:t>
      </w:r>
    </w:p>
    <w:p>
      <w:pPr>
        <w:spacing w:after="0" w:line="2" w:lineRule="exact"/>
        <w:rPr>
          <w:sz w:val="20"/>
          <w:szCs w:val="20"/>
          <w:color w:val="auto"/>
        </w:rPr>
      </w:pPr>
    </w:p>
    <w:p>
      <w:pPr>
        <w:jc w:val="both"/>
        <w:spacing w:after="0"/>
        <w:rPr>
          <w:sz w:val="20"/>
          <w:szCs w:val="20"/>
          <w:color w:val="auto"/>
        </w:rPr>
      </w:pPr>
      <w:r>
        <w:rPr>
          <w:rFonts w:ascii="Arial" w:cs="Arial" w:eastAsia="Arial" w:hAnsi="Arial"/>
          <w:sz w:val="19"/>
          <w:szCs w:val="19"/>
          <w:b w:val="1"/>
          <w:bCs w:val="1"/>
          <w:color w:val="auto"/>
        </w:rPr>
        <w:t>these documents for free by visiting EDGAR on the SEC Web site at www.sec.gov. Alternatively, the issuer, any underwriter or any dealer participating in the offering will arrange to send you the prospectus if you request it by contacting Barclays Capital Inc. toll-free at (888) 603-5847, KeyBanc Capital Markets Inc. toll-free at (866) 227-6479, MUFG Securities Americas Inc. toll-free at (877) 649-6848, TD Securities (USA) LLC toll-free at (855) 495-9846 or U.S. Bancorp Investments, Inc. toll-free at (877) 558-2607.</w:t>
      </w:r>
    </w:p>
    <w:sectPr>
      <w:pgSz w:w="11900" w:h="16838" w:orient="portrait"/>
      <w:cols w:equalWidth="0" w:num="1">
        <w:col w:w="11240"/>
      </w:cols>
      <w:pgMar w:left="320" w:top="379"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2023-02-27T21:20:09Z</dcterms:created>
  <dcterms:modified xsi:type="dcterms:W3CDTF">2023-02-27T21:20:09Z</dcterms:modified>
</cp:coreProperties>
</file>