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Risch Therace</w:t>
              </w:r>
            </w:hyperlink>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AMERICAN ELECTRIC POWER CO</w:t>
              </w:r>
            </w:hyperlink>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8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80" w:type="dxa"/>
            <w:vAlign w:val="bottom"/>
          </w:tcPr>
          <w:p>
            <w:pPr>
              <w:spacing w:after="0"/>
              <w:rPr>
                <w:sz w:val="4"/>
                <w:szCs w:val="4"/>
                <w:color w:val="auto"/>
              </w:rPr>
            </w:pPr>
          </w:p>
        </w:tc>
        <w:tc>
          <w:tcPr>
            <w:tcW w:w="74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tcBorders>
              <w:bottom w:val="single" w:sz="8" w:color="0000EE"/>
            </w:tcBorders>
            <w:gridSpan w:val="2"/>
            <w:vMerge w:val="continue"/>
          </w:tcPr>
          <w:p>
            <w:pPr>
              <w:spacing w:after="0"/>
              <w:rPr>
                <w:sz w:val="5"/>
                <w:szCs w:val="5"/>
                <w:color w:val="auto"/>
              </w:rPr>
            </w:pPr>
          </w:p>
        </w:tc>
        <w:tc>
          <w:tcPr>
            <w:tcW w:w="180" w:type="dxa"/>
            <w:vAlign w:val="bottom"/>
            <w:vMerge w:val="restart"/>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480" w:type="dxa"/>
            <w:vAlign w:val="bottom"/>
            <w:gridSpan w:val="3"/>
            <w:vMerge w:val="restart"/>
          </w:tcPr>
          <w:p>
            <w:pPr>
              <w:spacing w:after="0" w:line="220"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AEP</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2"/>
          </w:tcPr>
          <w:p>
            <w:pPr>
              <w:spacing w:after="0"/>
              <w:rPr>
                <w:sz w:val="4"/>
                <w:szCs w:val="4"/>
                <w:color w:val="auto"/>
              </w:rPr>
            </w:pPr>
          </w:p>
        </w:tc>
        <w:tc>
          <w:tcPr>
            <w:tcW w:w="180" w:type="dxa"/>
            <w:vAlign w:val="bottom"/>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48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80" w:type="dxa"/>
            <w:vAlign w:val="bottom"/>
            <w:tcBorders>
              <w:bottom w:val="single" w:sz="8" w:color="9A9A9A"/>
            </w:tcBorders>
          </w:tcPr>
          <w:p>
            <w:pPr>
              <w:spacing w:after="0"/>
              <w:rPr>
                <w:sz w:val="3"/>
                <w:szCs w:val="3"/>
                <w:color w:val="auto"/>
              </w:rPr>
            </w:pPr>
          </w:p>
        </w:tc>
        <w:tc>
          <w:tcPr>
            <w:tcW w:w="88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Borders>
              <w:top w:val="single" w:sz="8" w:color="0000EE"/>
            </w:tcBorders>
          </w:tcPr>
          <w:p>
            <w:pPr>
              <w:spacing w:after="0"/>
              <w:rPr>
                <w:sz w:val="3"/>
                <w:szCs w:val="3"/>
                <w:color w:val="auto"/>
              </w:rPr>
            </w:pPr>
          </w:p>
        </w:tc>
        <w:tc>
          <w:tcPr>
            <w:tcW w:w="3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680" w:type="dxa"/>
            <w:vAlign w:val="bottom"/>
            <w:tcBorders>
              <w:top w:val="single" w:sz="8" w:color="EEEEEE"/>
              <w:bottom w:val="single" w:sz="8" w:color="EEEEEE"/>
            </w:tcBorders>
            <w:gridSpan w:val="3"/>
            <w:vMerge w:val="restart"/>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tcBorders>
              <w:top w:val="single" w:sz="8" w:color="EEEEEE"/>
              <w:bottom w:val="single" w:sz="8" w:color="EEEEEE"/>
            </w:tcBorders>
            <w:vMerge w:val="restart"/>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680" w:type="dxa"/>
            <w:vAlign w:val="bottom"/>
            <w:gridSpan w:val="3"/>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68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5"/>
            <w:vMerge w:val="continue"/>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120" w:type="dxa"/>
            <w:vAlign w:val="bottom"/>
            <w:gridSpan w:val="3"/>
            <w:vMerge w:val="restart"/>
          </w:tcPr>
          <w:p>
            <w:pPr>
              <w:ind w:left="300"/>
              <w:spacing w:after="0"/>
              <w:rPr>
                <w:sz w:val="20"/>
                <w:szCs w:val="20"/>
                <w:color w:val="auto"/>
              </w:rPr>
            </w:pPr>
            <w:r>
              <w:rPr>
                <w:rFonts w:ascii="Times New Roman" w:cs="Times New Roman" w:eastAsia="Times New Roman" w:hAnsi="Times New Roman"/>
                <w:sz w:val="17"/>
                <w:szCs w:val="17"/>
                <w:color w:val="0000FF"/>
              </w:rPr>
              <w:t>Executive Vice President</w:t>
            </w: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5"/>
            <w:vMerge w:val="continue"/>
          </w:tcPr>
          <w:p>
            <w:pPr>
              <w:spacing w:after="0"/>
              <w:rPr>
                <w:sz w:val="2"/>
                <w:szCs w:val="2"/>
                <w:color w:val="auto"/>
              </w:rPr>
            </w:pPr>
          </w:p>
        </w:tc>
        <w:tc>
          <w:tcPr>
            <w:tcW w:w="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120" w:type="dxa"/>
            <w:vAlign w:val="bottom"/>
            <w:gridSpan w:val="3"/>
            <w:vMerge w:val="continue"/>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1 RIVERSIDE PLAZA</w:t>
            </w:r>
          </w:p>
        </w:tc>
        <w:tc>
          <w:tcPr>
            <w:tcW w:w="1340" w:type="dxa"/>
            <w:vAlign w:val="bottom"/>
          </w:tcPr>
          <w:p>
            <w:pPr>
              <w:spacing w:after="0"/>
              <w:rPr>
                <w:sz w:val="10"/>
                <w:szCs w:val="10"/>
                <w:color w:val="auto"/>
              </w:rPr>
            </w:pPr>
          </w:p>
        </w:tc>
        <w:tc>
          <w:tcPr>
            <w:tcW w:w="1640" w:type="dxa"/>
            <w:vAlign w:val="bottom"/>
            <w:gridSpan w:val="6"/>
            <w:vMerge w:val="restart"/>
          </w:tcPr>
          <w:p>
            <w:pPr>
              <w:ind w:left="160"/>
              <w:spacing w:after="0"/>
              <w:rPr>
                <w:sz w:val="20"/>
                <w:szCs w:val="20"/>
                <w:color w:val="auto"/>
              </w:rPr>
            </w:pPr>
            <w:r>
              <w:rPr>
                <w:rFonts w:ascii="Times New Roman" w:cs="Times New Roman" w:eastAsia="Times New Roman" w:hAnsi="Times New Roman"/>
                <w:sz w:val="17"/>
                <w:szCs w:val="17"/>
                <w:color w:val="0000FF"/>
              </w:rPr>
              <w:t>02/20/2023</w:t>
            </w:r>
          </w:p>
        </w:tc>
        <w:tc>
          <w:tcPr>
            <w:tcW w:w="7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1640" w:type="dxa"/>
            <w:vAlign w:val="bottom"/>
            <w:gridSpan w:val="6"/>
            <w:vMerge w:val="continue"/>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340" w:type="dxa"/>
            <w:vAlign w:val="bottom"/>
            <w:tcBorders>
              <w:bottom w:val="single" w:sz="8" w:color="2C2C2C"/>
            </w:tcBorders>
            <w:gridSpan w:val="6"/>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6"/>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vMerge w:val="restart"/>
          </w:tcPr>
          <w:p>
            <w:pPr>
              <w:spacing w:after="0"/>
              <w:rPr>
                <w:sz w:val="7"/>
                <w:szCs w:val="7"/>
                <w:color w:val="auto"/>
              </w:rPr>
            </w:pPr>
          </w:p>
        </w:tc>
        <w:tc>
          <w:tcPr>
            <w:tcW w:w="6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80" w:type="dxa"/>
            <w:vAlign w:val="bottom"/>
            <w:vMerge w:val="continue"/>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COLUMBUS</w:t>
            </w:r>
          </w:p>
        </w:tc>
        <w:tc>
          <w:tcPr>
            <w:tcW w:w="88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43215</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40" w:type="dxa"/>
            <w:vAlign w:val="bottom"/>
            <w:gridSpan w:val="6"/>
          </w:tcPr>
          <w:p>
            <w:pPr>
              <w:ind w:left="120"/>
              <w:spacing w:after="0" w:line="141"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680" w:type="dxa"/>
            <w:vAlign w:val="bottom"/>
            <w:gridSpan w:val="3"/>
            <w:vMerge w:val="continue"/>
          </w:tcPr>
          <w:p>
            <w:pPr>
              <w:spacing w:after="0"/>
              <w:rPr>
                <w:sz w:val="11"/>
                <w:szCs w:val="11"/>
                <w:color w:val="auto"/>
              </w:rPr>
            </w:pPr>
          </w:p>
        </w:tc>
        <w:tc>
          <w:tcPr>
            <w:tcW w:w="13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340" w:type="dxa"/>
            <w:vAlign w:val="bottom"/>
            <w:tcBorders>
              <w:bottom w:val="single" w:sz="8" w:color="2C2C2C"/>
            </w:tcBorders>
            <w:gridSpan w:val="6"/>
          </w:tcPr>
          <w:p>
            <w:pPr>
              <w:spacing w:after="0"/>
              <w:rPr>
                <w:sz w:val="10"/>
                <w:szCs w:val="10"/>
                <w:color w:val="auto"/>
              </w:rPr>
            </w:pPr>
          </w:p>
        </w:tc>
        <w:tc>
          <w:tcPr>
            <w:tcW w:w="400" w:type="dxa"/>
            <w:vAlign w:val="bottom"/>
            <w:tcBorders>
              <w:bottom w:val="single" w:sz="8" w:color="2C2C2C"/>
            </w:tcBorders>
            <w:gridSpan w:val="3"/>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800" w:type="dxa"/>
            <w:vAlign w:val="bottom"/>
            <w:tcBorders>
              <w:top w:val="single" w:sz="8" w:color="2C2C2C"/>
            </w:tcBorders>
            <w:gridSpan w:val="19"/>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60" w:type="dxa"/>
            <w:vAlign w:val="bottom"/>
            <w:gridSpan w:val="5"/>
          </w:tcPr>
          <w:p>
            <w:pPr>
              <w:ind w:left="80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38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7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4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38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r>
              <w:rPr>
                <w:rFonts w:ascii="Times New Roman" w:cs="Times New Roman" w:eastAsia="Times New Roman" w:hAnsi="Times New Roman"/>
                <w:sz w:val="22"/>
                <w:szCs w:val="22"/>
                <w:color w:val="008000"/>
                <w:vertAlign w:val="superscript"/>
              </w:rPr>
              <w:t>(1)</w:t>
            </w:r>
          </w:p>
        </w:tc>
        <w:tc>
          <w:tcPr>
            <w:tcW w:w="186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02/20/2023</w:t>
            </w:r>
          </w:p>
        </w:tc>
        <w:tc>
          <w:tcPr>
            <w:tcW w:w="3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2,705</w:t>
            </w:r>
          </w:p>
        </w:tc>
        <w:tc>
          <w:tcPr>
            <w:tcW w:w="44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gridSpan w:val="3"/>
          </w:tcPr>
          <w:p>
            <w:pPr>
              <w:jc w:val="center"/>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11,152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p>
        </w:tc>
        <w:tc>
          <w:tcPr>
            <w:tcW w:w="1860" w:type="dxa"/>
            <w:vAlign w:val="bottom"/>
            <w:tcBorders>
              <w:bottom w:val="single" w:sz="8" w:color="2C2C2C"/>
            </w:tcBorders>
            <w:gridSpan w:val="5"/>
          </w:tcPr>
          <w:p>
            <w:pPr>
              <w:ind w:left="900"/>
              <w:spacing w:after="0"/>
              <w:rPr>
                <w:sz w:val="20"/>
                <w:szCs w:val="20"/>
                <w:color w:val="auto"/>
              </w:rPr>
            </w:pPr>
            <w:r>
              <w:rPr>
                <w:rFonts w:ascii="Times New Roman" w:cs="Times New Roman" w:eastAsia="Times New Roman" w:hAnsi="Times New Roman"/>
                <w:sz w:val="17"/>
                <w:szCs w:val="17"/>
                <w:color w:val="0000FF"/>
              </w:rPr>
              <w:t>02/21/2023</w:t>
            </w:r>
          </w:p>
        </w:tc>
        <w:tc>
          <w:tcPr>
            <w:tcW w:w="3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333</w:t>
            </w:r>
            <w:r>
              <w:rPr>
                <w:rFonts w:ascii="Times New Roman" w:cs="Times New Roman" w:eastAsia="Times New Roman" w:hAnsi="Times New Roman"/>
                <w:sz w:val="22"/>
                <w:szCs w:val="22"/>
                <w:color w:val="008000"/>
                <w:vertAlign w:val="superscript"/>
              </w:rPr>
              <w:t>(2)</w:t>
            </w:r>
          </w:p>
        </w:tc>
        <w:tc>
          <w:tcPr>
            <w:tcW w:w="44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90.85</w:t>
            </w:r>
          </w:p>
        </w:tc>
        <w:tc>
          <w:tcPr>
            <w:tcW w:w="120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7"/>
                <w:szCs w:val="17"/>
                <w:color w:val="0000FF"/>
              </w:rPr>
              <w:t>10,819</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8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2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6"/>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6"/>
              </w:rPr>
              <w:t>Amount 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380" w:type="dxa"/>
            <w:vAlign w:val="bottom"/>
          </w:tcPr>
          <w:p>
            <w:pPr>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AEP common stock upon vesting. The restricted stock units vest in three equal installments on February 21, 2024, February 21, 2025 and February 21, 2026.</w:t>
      </w:r>
    </w:p>
    <w:p>
      <w:pPr>
        <w:spacing w:after="0" w:line="7" w:lineRule="exact"/>
        <w:rPr>
          <w:rFonts w:ascii="Times New Roman" w:cs="Times New Roman" w:eastAsia="Times New Roman" w:hAnsi="Times New Roman"/>
          <w:sz w:val="13"/>
          <w:szCs w:val="13"/>
          <w:color w:val="008000"/>
        </w:rPr>
      </w:pPr>
    </w:p>
    <w:p>
      <w:pPr>
        <w:ind w:left="40" w:right="22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A portion of the reporting person's restricted stock units (966) granted on February 21, 2022 vested on February 21, 2023. Upon vesting, 333 restricted stock units were withheld to satisfy the reporting person's tax liability.</w:t>
      </w: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David C House,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02/22/2023</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 for Therace M. Risch</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2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 Signature of Reporting Person</w:t>
            </w:r>
          </w:p>
        </w:tc>
        <w:tc>
          <w:tcPr>
            <w:tcW w:w="100" w:type="dxa"/>
            <w:vAlign w:val="bottom"/>
            <w:gridSpan w:val="2"/>
          </w:tcPr>
          <w:p>
            <w:pPr>
              <w:spacing w:after="0"/>
              <w:rPr>
                <w:sz w:val="20"/>
                <w:szCs w:val="20"/>
                <w:color w:val="auto"/>
              </w:rPr>
            </w:pP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60882" TargetMode="External"/><Relationship Id="rId13" Type="http://schemas.openxmlformats.org/officeDocument/2006/relationships/hyperlink" Target="http://www.sec.gov/cgi-bin/browse-edgar?action=getcompany&amp;CIK=000000490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2023-02-22T14:02:43Z</dcterms:created>
  <dcterms:modified xsi:type="dcterms:W3CDTF">2023-02-22T14:02:43Z</dcterms:modified>
</cp:coreProperties>
</file>