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207645</wp:posOffset>
            </wp:positionH>
            <wp:positionV relativeFrom="page">
              <wp:posOffset>156845</wp:posOffset>
            </wp:positionV>
            <wp:extent cx="713422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225" cy="17145"/>
                    </a:xfrm>
                    <a:prstGeom prst="rect">
                      <a:avLst/>
                    </a:prstGeom>
                    <a:noFill/>
                  </pic:spPr>
                </pic:pic>
              </a:graphicData>
            </a:graphic>
          </wp:anchor>
        </w:drawing>
        <w:drawing>
          <wp:anchor simplePos="0" relativeHeight="251657728" behindDoc="1" locked="0" layoutInCell="0" allowOverlap="1">
            <wp:simplePos x="0" y="0"/>
            <wp:positionH relativeFrom="page">
              <wp:posOffset>207645</wp:posOffset>
            </wp:positionH>
            <wp:positionV relativeFrom="page">
              <wp:posOffset>190500</wp:posOffset>
            </wp:positionV>
            <wp:extent cx="71342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225"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9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6-K</w:t>
      </w:r>
    </w:p>
    <w:p>
      <w:pPr>
        <w:spacing w:after="0" w:line="22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REPORT OF FOREIGN PRIVATE ISSUER PURSUANT TO RULE 13a-16 OR 15d-16 UNDER THE</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 the month of April, 2022</w:t>
      </w:r>
    </w:p>
    <w:p>
      <w:pPr>
        <w:spacing w:after="0" w:line="2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Number 001-13422</w:t>
      </w:r>
    </w:p>
    <w:p>
      <w:pPr>
        <w:spacing w:after="0" w:line="2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15875</wp:posOffset>
            </wp:positionV>
            <wp:extent cx="71342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(Translation of registrant’s name into English)</w:t>
      </w:r>
    </w:p>
    <w:p>
      <w:pPr>
        <w:spacing w:after="0" w:line="21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15875</wp:posOffset>
            </wp:positionV>
            <wp:extent cx="71342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w:t>
      </w:r>
    </w:p>
    <w:p>
      <w:pPr>
        <w:spacing w:after="0" w:line="21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of Form 20-F or Form 40-F.</w:t>
      </w:r>
    </w:p>
    <w:p>
      <w:pPr>
        <w:spacing w:after="0" w:line="191" w:lineRule="exact"/>
        <w:rPr>
          <w:sz w:val="24"/>
          <w:szCs w:val="24"/>
          <w:color w:val="auto"/>
        </w:rPr>
      </w:pPr>
    </w:p>
    <w:p>
      <w:pPr>
        <w:jc w:val="center"/>
        <w:spacing w:after="0" w:line="207" w:lineRule="exact"/>
        <w:tabs>
          <w:tab w:leader="none" w:pos="160" w:val="left"/>
        </w:tabs>
        <w:rPr>
          <w:sz w:val="20"/>
          <w:szCs w:val="20"/>
          <w:color w:val="auto"/>
        </w:rPr>
      </w:pPr>
      <w:r>
        <w:rPr>
          <w:rFonts w:ascii="Times New Roman" w:cs="Times New Roman" w:eastAsia="Times New Roman" w:hAnsi="Times New Roman"/>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7"/>
          <w:szCs w:val="17"/>
          <w:color w:val="auto"/>
        </w:rPr>
        <w:t xml:space="preserve">Form 40-F </w:t>
      </w:r>
      <w:r>
        <w:rPr>
          <w:rFonts w:ascii="MS PGothic" w:cs="MS PGothic" w:eastAsia="MS PGothic" w:hAnsi="MS PGothic"/>
          <w:sz w:val="17"/>
          <w:szCs w:val="17"/>
          <w:color w:val="auto"/>
        </w:rPr>
        <w:t>☒</w:t>
      </w:r>
    </w:p>
    <w:p>
      <w:pPr>
        <w:spacing w:after="0" w:line="219"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 (b)( 1): </w:t>
      </w:r>
      <w:r>
        <w:rPr>
          <w:rFonts w:ascii="MS PGothic" w:cs="MS PGothic" w:eastAsia="MS PGothic" w:hAnsi="MS PGothic"/>
          <w:sz w:val="18"/>
          <w:szCs w:val="18"/>
          <w:color w:val="auto"/>
        </w:rPr>
        <w:t>☐</w:t>
      </w:r>
    </w:p>
    <w:p>
      <w:pPr>
        <w:spacing w:after="0" w:line="246" w:lineRule="exact"/>
        <w:rPr>
          <w:sz w:val="24"/>
          <w:szCs w:val="24"/>
          <w:color w:val="auto"/>
        </w:rPr>
      </w:pPr>
    </w:p>
    <w:p>
      <w:pPr>
        <w:jc w:val="both"/>
        <w:spacing w:after="0" w:line="278" w:lineRule="auto"/>
        <w:rPr>
          <w:sz w:val="20"/>
          <w:szCs w:val="20"/>
          <w:color w:val="auto"/>
        </w:rPr>
      </w:pPr>
      <w:r>
        <w:rPr>
          <w:rFonts w:ascii="Times New Roman" w:cs="Times New Roman" w:eastAsia="Times New Roman" w:hAnsi="Times New Roman"/>
          <w:sz w:val="18"/>
          <w:szCs w:val="18"/>
          <w:b w:val="1"/>
          <w:bCs w:val="1"/>
          <w:color w:val="auto"/>
        </w:rPr>
        <w:t xml:space="preserve">Note: </w:t>
      </w:r>
      <w:r>
        <w:rPr>
          <w:rFonts w:ascii="Times New Roman" w:cs="Times New Roman" w:eastAsia="Times New Roman" w:hAnsi="Times New Roman"/>
          <w:sz w:val="18"/>
          <w:szCs w:val="18"/>
          <w:color w:val="auto"/>
        </w:rPr>
        <w:t>Regulation S-T Rule 101 (b)( 1) only permits the submission in paper of a Form 6-K if submitted solely to provide an attached annual report to security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holders.</w:t>
      </w:r>
    </w:p>
    <w:p>
      <w:pPr>
        <w:spacing w:after="0" w:line="134"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 (b)(7): </w:t>
      </w:r>
      <w:r>
        <w:rPr>
          <w:rFonts w:ascii="MS PGothic" w:cs="MS PGothic" w:eastAsia="MS PGothic" w:hAnsi="MS PGothic"/>
          <w:sz w:val="18"/>
          <w:szCs w:val="18"/>
          <w:color w:val="auto"/>
        </w:rPr>
        <w:t>☐</w:t>
      </w:r>
    </w:p>
    <w:p>
      <w:pPr>
        <w:spacing w:after="0" w:line="246" w:lineRule="exact"/>
        <w:rPr>
          <w:sz w:val="24"/>
          <w:szCs w:val="24"/>
          <w:color w:val="auto"/>
        </w:rPr>
      </w:pPr>
    </w:p>
    <w:p>
      <w:pPr>
        <w:jc w:val="both"/>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Note: </w:t>
      </w:r>
      <w:r>
        <w:rPr>
          <w:rFonts w:ascii="Times New Roman" w:cs="Times New Roman" w:eastAsia="Times New Roman" w:hAnsi="Times New Roman"/>
          <w:sz w:val="18"/>
          <w:szCs w:val="18"/>
          <w:color w:val="auto"/>
        </w:rPr>
        <w:t>Regulation S-T Rule 101(b)(7) only permits the submission in paper of a Form 6-K if submitted to furnish a report or other document that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2" w:lineRule="exact"/>
        <w:rPr>
          <w:sz w:val="24"/>
          <w:szCs w:val="24"/>
          <w:color w:val="auto"/>
        </w:rPr>
      </w:pPr>
    </w:p>
    <w:p>
      <w:pPr>
        <w:jc w:val="both"/>
        <w:spacing w:after="0" w:line="232"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7" w:lineRule="exact"/>
        <w:rPr>
          <w:sz w:val="24"/>
          <w:szCs w:val="24"/>
          <w:color w:val="auto"/>
        </w:rPr>
      </w:pPr>
    </w:p>
    <w:p>
      <w:pPr>
        <w:spacing w:after="0"/>
        <w:tabs>
          <w:tab w:leader="none" w:pos="8920" w:val="left"/>
        </w:tabs>
        <w:rPr>
          <w:sz w:val="20"/>
          <w:szCs w:val="20"/>
          <w:color w:val="auto"/>
        </w:rPr>
      </w:pPr>
      <w:r>
        <w:rPr>
          <w:rFonts w:ascii="Times New Roman" w:cs="Times New Roman" w:eastAsia="Times New Roman" w:hAnsi="Times New Roman"/>
          <w:sz w:val="18"/>
          <w:szCs w:val="18"/>
          <w:color w:val="auto"/>
        </w:rPr>
        <w:t>If “Yes” is marked, indicate below the file number assigned to the registrant in connection with Rule 12g3-2(b): 82-</w:t>
      </w:r>
      <w:r>
        <w:rPr>
          <w:sz w:val="20"/>
          <w:szCs w:val="20"/>
          <w:color w:val="auto"/>
        </w:rPr>
        <w:tab/>
      </w:r>
      <w:r>
        <w:rPr>
          <w:rFonts w:ascii="Times New Roman" w:cs="Times New Roman" w:eastAsia="Times New Roman" w:hAnsi="Times New Roman"/>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151130</wp:posOffset>
            </wp:positionV>
            <wp:extent cx="713422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4225" cy="1714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184785</wp:posOffset>
            </wp:positionV>
            <wp:extent cx="71342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599440</wp:posOffset>
            </wp:positionV>
            <wp:extent cx="71342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5226685</wp:posOffset>
            </wp:positionH>
            <wp:positionV relativeFrom="paragraph">
              <wp:posOffset>-8890</wp:posOffset>
            </wp:positionV>
            <wp:extent cx="4514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1485" cy="8255"/>
                    </a:xfrm>
                    <a:prstGeom prst="rect">
                      <a:avLst/>
                    </a:prstGeom>
                    <a:noFill/>
                  </pic:spPr>
                </pic:pic>
              </a:graphicData>
            </a:graphic>
          </wp:anchor>
        </w:drawing>
      </w:r>
    </w:p>
    <w:p>
      <w:pPr>
        <w:sectPr>
          <w:pgSz w:w="11900" w:h="16838" w:orient="portrait"/>
          <w:cols w:equalWidth="0" w:num="1">
            <w:col w:w="11240"/>
          </w:cols>
          <w:pgMar w:left="320" w:top="506"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4"/>
        </w:trPr>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660" w:type="dxa"/>
            <w:vAlign w:val="bottom"/>
            <w:gridSpan w:val="2"/>
          </w:tcPr>
          <w:p>
            <w:pPr>
              <w:jc w:val="center"/>
              <w:ind w:right="1560"/>
              <w:spacing w:after="0"/>
              <w:rPr>
                <w:sz w:val="20"/>
                <w:szCs w:val="20"/>
                <w:color w:val="auto"/>
              </w:rPr>
            </w:pPr>
            <w:r>
              <w:rPr>
                <w:rFonts w:ascii="Times New Roman" w:cs="Times New Roman" w:eastAsia="Times New Roman" w:hAnsi="Times New Roman"/>
                <w:sz w:val="18"/>
                <w:szCs w:val="18"/>
                <w:b w:val="1"/>
                <w:bCs w:val="1"/>
                <w:color w:val="auto"/>
                <w:w w:val="98"/>
              </w:rPr>
              <w:t>EXHIBITS</w:t>
            </w:r>
          </w:p>
        </w:tc>
      </w:tr>
      <w:tr>
        <w:trPr>
          <w:trHeight w:val="213"/>
        </w:trPr>
        <w:tc>
          <w:tcPr>
            <w:tcW w:w="6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180" w:type="dxa"/>
            <w:vAlign w:val="bottom"/>
            <w:tcBorders>
              <w:bottom w:val="single" w:sz="8" w:color="auto"/>
            </w:tcBorders>
          </w:tcPr>
          <w:p>
            <w:pPr>
              <w:spacing w:after="0"/>
              <w:rPr>
                <w:sz w:val="18"/>
                <w:szCs w:val="18"/>
                <w:color w:val="auto"/>
              </w:rPr>
            </w:pPr>
          </w:p>
        </w:tc>
        <w:tc>
          <w:tcPr>
            <w:tcW w:w="3480" w:type="dxa"/>
            <w:vAlign w:val="bottom"/>
            <w:tcBorders>
              <w:bottom w:val="single" w:sz="8" w:color="auto"/>
            </w:tcBorders>
          </w:tcPr>
          <w:p>
            <w:pPr>
              <w:spacing w:after="0"/>
              <w:rPr>
                <w:sz w:val="18"/>
                <w:szCs w:val="18"/>
                <w:color w:val="auto"/>
              </w:rPr>
            </w:pPr>
          </w:p>
        </w:tc>
      </w:tr>
      <w:tr>
        <w:trPr>
          <w:trHeight w:val="207"/>
        </w:trPr>
        <w:tc>
          <w:tcPr>
            <w:tcW w:w="1500" w:type="dxa"/>
            <w:vAlign w:val="bottom"/>
            <w:tcBorders>
              <w:left w:val="single" w:sz="8" w:color="auto"/>
              <w:bottom w:val="single" w:sz="8" w:color="auto"/>
              <w:right w:val="single" w:sz="8" w:color="auto"/>
            </w:tcBorders>
            <w:gridSpan w:val="3"/>
          </w:tcPr>
          <w:p>
            <w:pPr>
              <w:jc w:val="right"/>
              <w:ind w:right="560"/>
              <w:spacing w:after="0"/>
              <w:rPr>
                <w:sz w:val="20"/>
                <w:szCs w:val="20"/>
                <w:color w:val="auto"/>
              </w:rPr>
            </w:pPr>
            <w:r>
              <w:rPr>
                <w:rFonts w:ascii="Times New Roman" w:cs="Times New Roman" w:eastAsia="Times New Roman" w:hAnsi="Times New Roman"/>
                <w:sz w:val="18"/>
                <w:szCs w:val="18"/>
                <w:color w:val="auto"/>
              </w:rPr>
              <w:t>Exhibit No.</w:t>
            </w:r>
          </w:p>
        </w:tc>
        <w:tc>
          <w:tcPr>
            <w:tcW w:w="80" w:type="dxa"/>
            <w:vAlign w:val="bottom"/>
            <w:tcBorders>
              <w:bottom w:val="single" w:sz="8" w:color="auto"/>
            </w:tcBorders>
          </w:tcPr>
          <w:p>
            <w:pPr>
              <w:spacing w:after="0"/>
              <w:rPr>
                <w:sz w:val="17"/>
                <w:szCs w:val="17"/>
                <w:color w:val="auto"/>
              </w:rPr>
            </w:pPr>
          </w:p>
        </w:tc>
        <w:tc>
          <w:tcPr>
            <w:tcW w:w="966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Exhibit Description</w:t>
            </w:r>
          </w:p>
        </w:tc>
      </w:tr>
      <w:tr>
        <w:trPr>
          <w:trHeight w:val="167"/>
        </w:trPr>
        <w:tc>
          <w:tcPr>
            <w:tcW w:w="1500" w:type="dxa"/>
            <w:vAlign w:val="bottom"/>
            <w:tcBorders>
              <w:left w:val="single" w:sz="8" w:color="auto"/>
              <w:right w:val="single" w:sz="8" w:color="auto"/>
            </w:tcBorders>
            <w:gridSpan w:val="3"/>
          </w:tcPr>
          <w:p>
            <w:pPr>
              <w:jc w:val="right"/>
              <w:ind w:right="600"/>
              <w:spacing w:after="0" w:line="167" w:lineRule="exact"/>
              <w:rPr>
                <w:sz w:val="20"/>
                <w:szCs w:val="20"/>
                <w:color w:val="auto"/>
              </w:rPr>
            </w:pPr>
            <w:r>
              <w:rPr>
                <w:rFonts w:ascii="Times New Roman" w:cs="Times New Roman" w:eastAsia="Times New Roman" w:hAnsi="Times New Roman"/>
                <w:sz w:val="18"/>
                <w:szCs w:val="18"/>
                <w:color w:val="0000EE"/>
              </w:rPr>
              <w:t>99.</w:t>
            </w:r>
            <w:r>
              <w:rPr>
                <w:rFonts w:ascii="Times New Roman" w:cs="Times New Roman" w:eastAsia="Times New Roman" w:hAnsi="Times New Roman"/>
                <w:sz w:val="18"/>
                <w:szCs w:val="18"/>
                <w:u w:val="single" w:color="auto"/>
                <w:color w:val="0000EE"/>
              </w:rPr>
              <w:t>1</w:t>
            </w:r>
          </w:p>
        </w:tc>
        <w:tc>
          <w:tcPr>
            <w:tcW w:w="80" w:type="dxa"/>
            <w:vAlign w:val="bottom"/>
          </w:tcPr>
          <w:p>
            <w:pPr>
              <w:spacing w:after="0"/>
              <w:rPr>
                <w:sz w:val="14"/>
                <w:szCs w:val="14"/>
                <w:color w:val="auto"/>
              </w:rPr>
            </w:pPr>
          </w:p>
        </w:tc>
        <w:tc>
          <w:tcPr>
            <w:tcW w:w="9660" w:type="dxa"/>
            <w:vAlign w:val="bottom"/>
            <w:tcBorders>
              <w:right w:val="single" w:sz="8" w:color="auto"/>
            </w:tcBorders>
            <w:gridSpan w:val="2"/>
          </w:tcPr>
          <w:p>
            <w:pPr>
              <w:spacing w:after="0" w:line="167" w:lineRule="exact"/>
              <w:rPr>
                <w:sz w:val="20"/>
                <w:szCs w:val="20"/>
                <w:color w:val="auto"/>
              </w:rPr>
            </w:pPr>
            <w:r>
              <w:rPr>
                <w:rFonts w:ascii="Times New Roman" w:cs="Times New Roman" w:eastAsia="Times New Roman" w:hAnsi="Times New Roman"/>
                <w:sz w:val="18"/>
                <w:szCs w:val="18"/>
                <w:color w:val="0000EE"/>
              </w:rPr>
              <w:t>Press Release dated April 29, 2022 announcing the Corporation’s Election of Directors</w:t>
            </w:r>
          </w:p>
        </w:tc>
      </w:tr>
      <w:tr>
        <w:trPr>
          <w:trHeight w:val="20"/>
        </w:trPr>
        <w:tc>
          <w:tcPr>
            <w:tcW w:w="60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top w:val="single" w:sz="8" w:color="0000EE"/>
              <w:bottom w:val="single" w:sz="8" w:color="auto"/>
            </w:tcBorders>
          </w:tcPr>
          <w:p>
            <w:pPr>
              <w:spacing w:after="0" w:line="20" w:lineRule="exact"/>
              <w:rPr>
                <w:sz w:val="1"/>
                <w:szCs w:val="1"/>
                <w:color w:val="auto"/>
              </w:rPr>
            </w:pPr>
          </w:p>
        </w:tc>
        <w:tc>
          <w:tcPr>
            <w:tcW w:w="60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180" w:type="dxa"/>
            <w:vAlign w:val="bottom"/>
            <w:tcBorders>
              <w:top w:val="single" w:sz="8" w:color="0000EE"/>
              <w:bottom w:val="single" w:sz="8" w:color="auto"/>
            </w:tcBorders>
          </w:tcPr>
          <w:p>
            <w:pPr>
              <w:spacing w:after="0" w:line="20" w:lineRule="exact"/>
              <w:rPr>
                <w:sz w:val="1"/>
                <w:szCs w:val="1"/>
                <w:color w:val="auto"/>
              </w:rPr>
            </w:pPr>
          </w:p>
        </w:tc>
        <w:tc>
          <w:tcPr>
            <w:tcW w:w="3480" w:type="dxa"/>
            <w:vAlign w:val="bottom"/>
            <w:tcBorders>
              <w:bottom w:val="single" w:sz="8" w:color="auto"/>
              <w:right w:val="single" w:sz="8" w:color="auto"/>
            </w:tcBorders>
          </w:tcPr>
          <w:p>
            <w:pPr>
              <w:spacing w:after="0" w:line="20" w:lineRule="exact"/>
              <w:rPr>
                <w:sz w:val="1"/>
                <w:szCs w:val="1"/>
                <w:color w:val="auto"/>
              </w:rPr>
            </w:pPr>
          </w:p>
        </w:tc>
      </w:tr>
      <w:tr>
        <w:trPr>
          <w:trHeight w:val="633"/>
        </w:trPr>
        <w:tc>
          <w:tcPr>
            <w:tcW w:w="6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6260" w:type="dxa"/>
            <w:vAlign w:val="bottom"/>
            <w:tcBorders>
              <w:bottom w:val="single" w:sz="8" w:color="auto"/>
            </w:tcBorders>
            <w:gridSpan w:val="2"/>
          </w:tcPr>
          <w:p>
            <w:pPr>
              <w:jc w:val="right"/>
              <w:ind w:right="1991"/>
              <w:spacing w:after="0"/>
              <w:rPr>
                <w:sz w:val="20"/>
                <w:szCs w:val="20"/>
                <w:color w:val="auto"/>
              </w:rPr>
            </w:pPr>
            <w:r>
              <w:rPr>
                <w:rFonts w:ascii="Times New Roman" w:cs="Times New Roman" w:eastAsia="Times New Roman" w:hAnsi="Times New Roman"/>
                <w:sz w:val="18"/>
                <w:szCs w:val="18"/>
                <w:color w:val="auto"/>
              </w:rPr>
              <w:t>2</w:t>
            </w:r>
          </w:p>
        </w:tc>
        <w:tc>
          <w:tcPr>
            <w:tcW w:w="3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92"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1" w:lineRule="exact"/>
        <w:rPr>
          <w:sz w:val="20"/>
          <w:szCs w:val="20"/>
          <w:color w:val="auto"/>
        </w:rPr>
      </w:pPr>
    </w:p>
    <w:p>
      <w:pPr>
        <w:ind w:firstLine="320"/>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20" w:type="dxa"/>
            <w:vAlign w:val="bottom"/>
          </w:tcPr>
          <w:p>
            <w:pPr>
              <w:spacing w:after="0"/>
              <w:rPr>
                <w:sz w:val="17"/>
                <w:szCs w:val="17"/>
                <w:color w:val="auto"/>
              </w:rPr>
            </w:pPr>
          </w:p>
        </w:tc>
        <w:tc>
          <w:tcPr>
            <w:tcW w:w="2220" w:type="dxa"/>
            <w:vAlign w:val="bottom"/>
          </w:tcPr>
          <w:p>
            <w:pPr>
              <w:spacing w:after="0"/>
              <w:rPr>
                <w:sz w:val="17"/>
                <w:szCs w:val="17"/>
                <w:color w:val="auto"/>
              </w:rPr>
            </w:pPr>
          </w:p>
        </w:tc>
        <w:tc>
          <w:tcPr>
            <w:tcW w:w="26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w w:val="97"/>
              </w:rPr>
              <w:t>AGNICO EAGLE MINES LIMITED</w:t>
            </w:r>
          </w:p>
        </w:tc>
        <w:tc>
          <w:tcPr>
            <w:tcW w:w="2920" w:type="dxa"/>
            <w:vAlign w:val="bottom"/>
          </w:tcPr>
          <w:p>
            <w:pPr>
              <w:spacing w:after="0"/>
              <w:rPr>
                <w:sz w:val="17"/>
                <w:szCs w:val="17"/>
                <w:color w:val="auto"/>
              </w:rPr>
            </w:pPr>
          </w:p>
        </w:tc>
      </w:tr>
      <w:tr>
        <w:trPr>
          <w:trHeight w:val="234"/>
        </w:trPr>
        <w:tc>
          <w:tcPr>
            <w:tcW w:w="342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56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                    (Registrant)</w:t>
            </w:r>
          </w:p>
        </w:tc>
      </w:tr>
      <w:tr>
        <w:trPr>
          <w:trHeight w:val="639"/>
        </w:trPr>
        <w:tc>
          <w:tcPr>
            <w:tcW w:w="3420" w:type="dxa"/>
            <w:vAlign w:val="bottom"/>
          </w:tcPr>
          <w:p>
            <w:pPr>
              <w:spacing w:after="0"/>
              <w:rPr>
                <w:sz w:val="20"/>
                <w:szCs w:val="20"/>
                <w:color w:val="auto"/>
              </w:rPr>
            </w:pPr>
            <w:r>
              <w:rPr>
                <w:rFonts w:ascii="Times New Roman" w:cs="Times New Roman" w:eastAsia="Times New Roman" w:hAnsi="Times New Roman"/>
                <w:sz w:val="18"/>
                <w:szCs w:val="18"/>
                <w:color w:val="auto"/>
              </w:rPr>
              <w:t>Date: 05/02/2022</w:t>
            </w:r>
          </w:p>
        </w:tc>
        <w:tc>
          <w:tcPr>
            <w:tcW w:w="2220" w:type="dxa"/>
            <w:vAlign w:val="bottom"/>
          </w:tcPr>
          <w:p>
            <w:pPr>
              <w:spacing w:after="0"/>
              <w:rPr>
                <w:sz w:val="24"/>
                <w:szCs w:val="24"/>
                <w:color w:val="auto"/>
              </w:rPr>
            </w:pPr>
          </w:p>
        </w:tc>
        <w:tc>
          <w:tcPr>
            <w:tcW w:w="5600" w:type="dxa"/>
            <w:vAlign w:val="bottom"/>
            <w:gridSpan w:val="3"/>
          </w:tcPr>
          <w:p>
            <w:pPr>
              <w:spacing w:after="0"/>
              <w:rPr>
                <w:sz w:val="20"/>
                <w:szCs w:val="20"/>
                <w:color w:val="auto"/>
              </w:rPr>
            </w:pPr>
            <w:r>
              <w:rPr>
                <w:rFonts w:ascii="Times New Roman" w:cs="Times New Roman" w:eastAsia="Times New Roman" w:hAnsi="Times New Roman"/>
                <w:sz w:val="18"/>
                <w:szCs w:val="18"/>
                <w:color w:val="auto"/>
                <w:w w:val="96"/>
              </w:rPr>
              <w:t>By:/s/ Chris Vollmershausen</w:t>
            </w:r>
          </w:p>
        </w:tc>
      </w:tr>
      <w:tr>
        <w:trPr>
          <w:trHeight w:val="188"/>
        </w:trPr>
        <w:tc>
          <w:tcPr>
            <w:tcW w:w="3420" w:type="dxa"/>
            <w:vAlign w:val="bottom"/>
          </w:tcPr>
          <w:p>
            <w:pPr>
              <w:spacing w:after="0"/>
              <w:rPr>
                <w:sz w:val="16"/>
                <w:szCs w:val="16"/>
                <w:color w:val="auto"/>
              </w:rPr>
            </w:pPr>
          </w:p>
        </w:tc>
        <w:tc>
          <w:tcPr>
            <w:tcW w:w="22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040" w:type="dxa"/>
            <w:vAlign w:val="bottom"/>
            <w:tcBorders>
              <w:top w:val="single" w:sz="8" w:color="auto"/>
            </w:tcBorders>
            <w:gridSpan w:val="2"/>
          </w:tcPr>
          <w:p>
            <w:pPr>
              <w:spacing w:after="0" w:line="189" w:lineRule="exact"/>
              <w:rPr>
                <w:sz w:val="20"/>
                <w:szCs w:val="20"/>
                <w:color w:val="auto"/>
              </w:rPr>
            </w:pPr>
            <w:r>
              <w:rPr>
                <w:rFonts w:ascii="Times New Roman" w:cs="Times New Roman" w:eastAsia="Times New Roman" w:hAnsi="Times New Roman"/>
                <w:sz w:val="18"/>
                <w:szCs w:val="18"/>
                <w:color w:val="auto"/>
              </w:rPr>
              <w:t>Chris Vollmershausen</w:t>
            </w:r>
          </w:p>
        </w:tc>
      </w:tr>
      <w:tr>
        <w:trPr>
          <w:trHeight w:val="213"/>
        </w:trPr>
        <w:tc>
          <w:tcPr>
            <w:tcW w:w="342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0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Executive Vice-President, Legal, General Counsel &amp; Corporate</w:t>
            </w:r>
          </w:p>
        </w:tc>
      </w:tr>
      <w:tr>
        <w:trPr>
          <w:trHeight w:val="232"/>
        </w:trPr>
        <w:tc>
          <w:tcPr>
            <w:tcW w:w="342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0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Secretary</w:t>
            </w:r>
          </w:p>
        </w:tc>
      </w:tr>
      <w:tr>
        <w:trPr>
          <w:trHeight w:val="639"/>
        </w:trPr>
        <w:tc>
          <w:tcPr>
            <w:tcW w:w="34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2"/>
          </w:tcPr>
          <w:p>
            <w:pPr>
              <w:jc w:val="right"/>
              <w:ind w:right="469"/>
              <w:spacing w:after="0"/>
              <w:rPr>
                <w:sz w:val="20"/>
                <w:szCs w:val="20"/>
                <w:color w:val="auto"/>
              </w:rPr>
            </w:pPr>
            <w:r>
              <w:rPr>
                <w:rFonts w:ascii="Times New Roman" w:cs="Times New Roman" w:eastAsia="Times New Roman" w:hAnsi="Times New Roman"/>
                <w:sz w:val="18"/>
                <w:szCs w:val="18"/>
                <w:color w:val="auto"/>
              </w:rPr>
              <w:t>3</w:t>
            </w:r>
          </w:p>
        </w:tc>
        <w:tc>
          <w:tcPr>
            <w:tcW w:w="212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92"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1"/>
          <w:szCs w:val="21"/>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171450</wp:posOffset>
            </wp:positionV>
            <wp:extent cx="7196455" cy="14471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96455" cy="14471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AGNICO EAGLE ANNOUNCES ELECTION OF DIRECTORS</w:t>
      </w:r>
    </w:p>
    <w:p>
      <w:pPr>
        <w:spacing w:after="0" w:line="219" w:lineRule="exact"/>
        <w:rPr>
          <w:sz w:val="20"/>
          <w:szCs w:val="20"/>
          <w:color w:val="auto"/>
        </w:rPr>
      </w:pPr>
    </w:p>
    <w:p>
      <w:pPr>
        <w:jc w:val="both"/>
        <w:spacing w:after="0" w:line="263" w:lineRule="auto"/>
        <w:rPr>
          <w:sz w:val="20"/>
          <w:szCs w:val="20"/>
          <w:color w:val="auto"/>
        </w:rPr>
      </w:pPr>
      <w:r>
        <w:rPr>
          <w:rFonts w:ascii="Times New Roman" w:cs="Times New Roman" w:eastAsia="Times New Roman" w:hAnsi="Times New Roman"/>
          <w:sz w:val="18"/>
          <w:szCs w:val="18"/>
          <w:b w:val="1"/>
          <w:bCs w:val="1"/>
          <w:color w:val="auto"/>
        </w:rPr>
        <w:t xml:space="preserve">Toronto (April 29, 2022) – Agnico Eagle Mines Limited (NYSE:AEM, TSX:AEM) </w:t>
      </w:r>
      <w:r>
        <w:rPr>
          <w:rFonts w:ascii="Times New Roman" w:cs="Times New Roman" w:eastAsia="Times New Roman" w:hAnsi="Times New Roman"/>
          <w:sz w:val="18"/>
          <w:szCs w:val="18"/>
          <w:color w:val="auto"/>
        </w:rPr>
        <w:t>("Agnico Eagle") today announced that, at the annual and special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meeting of shareholders held on April 29, 2022, each of the 12 nominees listed in the management information circular dated March 21, 2022, were elected as directors of Agnico Eagle.</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Detailed results of the vote are set out below:</w:t>
            </w:r>
          </w:p>
        </w:tc>
        <w:tc>
          <w:tcPr>
            <w:tcW w:w="12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405"/>
        </w:trPr>
        <w:tc>
          <w:tcPr>
            <w:tcW w:w="3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6"/>
              </w:rPr>
              <w:t>Percentage</w:t>
            </w:r>
          </w:p>
        </w:tc>
        <w:tc>
          <w:tcPr>
            <w:tcW w:w="138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6"/>
              </w:rPr>
              <w:t>Percentage</w:t>
            </w:r>
          </w:p>
        </w:tc>
      </w:tr>
      <w:tr>
        <w:trPr>
          <w:trHeight w:val="213"/>
        </w:trPr>
        <w:tc>
          <w:tcPr>
            <w:tcW w:w="3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60" w:type="dxa"/>
            <w:vAlign w:val="bottom"/>
            <w:gridSpan w:val="2"/>
          </w:tcPr>
          <w:p>
            <w:pPr>
              <w:ind w:left="400"/>
              <w:spacing w:after="0"/>
              <w:rPr>
                <w:sz w:val="20"/>
                <w:szCs w:val="20"/>
                <w:color w:val="auto"/>
              </w:rPr>
            </w:pPr>
            <w:r>
              <w:rPr>
                <w:rFonts w:ascii="Times New Roman" w:cs="Times New Roman" w:eastAsia="Times New Roman" w:hAnsi="Times New Roman"/>
                <w:sz w:val="18"/>
                <w:szCs w:val="18"/>
                <w:b w:val="1"/>
                <w:bCs w:val="1"/>
                <w:color w:val="auto"/>
              </w:rPr>
              <w:t>Votes</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18"/>
                <w:szCs w:val="18"/>
                <w:b w:val="1"/>
                <w:bCs w:val="1"/>
                <w:color w:val="auto"/>
              </w:rPr>
              <w:t>Total Votes</w:t>
            </w:r>
          </w:p>
        </w:tc>
        <w:tc>
          <w:tcPr>
            <w:tcW w:w="1600" w:type="dxa"/>
            <w:vAlign w:val="bottom"/>
            <w:gridSpan w:val="2"/>
          </w:tcPr>
          <w:p>
            <w:pPr>
              <w:jc w:val="center"/>
              <w:ind w:right="440"/>
              <w:spacing w:after="0"/>
              <w:rPr>
                <w:sz w:val="20"/>
                <w:szCs w:val="20"/>
                <w:color w:val="auto"/>
              </w:rPr>
            </w:pPr>
            <w:r>
              <w:rPr>
                <w:rFonts w:ascii="Times New Roman" w:cs="Times New Roman" w:eastAsia="Times New Roman" w:hAnsi="Times New Roman"/>
                <w:sz w:val="18"/>
                <w:szCs w:val="18"/>
                <w:b w:val="1"/>
                <w:bCs w:val="1"/>
                <w:color w:val="auto"/>
                <w:w w:val="95"/>
              </w:rPr>
              <w:t>of Votes</w:t>
            </w:r>
          </w:p>
        </w:tc>
        <w:tc>
          <w:tcPr>
            <w:tcW w:w="138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5"/>
              </w:rPr>
              <w:t>of Votes</w:t>
            </w:r>
          </w:p>
        </w:tc>
      </w:tr>
      <w:tr>
        <w:trPr>
          <w:trHeight w:val="234"/>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Nominee</w:t>
            </w:r>
          </w:p>
        </w:tc>
        <w:tc>
          <w:tcPr>
            <w:tcW w:w="220" w:type="dxa"/>
            <w:vAlign w:val="bottom"/>
            <w:tcBorders>
              <w:bottom w:val="single" w:sz="8" w:color="CCEEFF"/>
            </w:tcBorders>
          </w:tcPr>
          <w:p>
            <w:pPr>
              <w:spacing w:after="0"/>
              <w:rPr>
                <w:sz w:val="20"/>
                <w:szCs w:val="20"/>
                <w:color w:val="auto"/>
              </w:rPr>
            </w:pPr>
          </w:p>
        </w:tc>
        <w:tc>
          <w:tcPr>
            <w:tcW w:w="1240" w:type="dxa"/>
            <w:vAlign w:val="bottom"/>
            <w:tcBorders>
              <w:bottom w:val="single" w:sz="8" w:color="auto"/>
            </w:tcBorders>
          </w:tcPr>
          <w:p>
            <w:pPr>
              <w:jc w:val="right"/>
              <w:ind w:right="171"/>
              <w:spacing w:after="0"/>
              <w:rPr>
                <w:sz w:val="20"/>
                <w:szCs w:val="20"/>
                <w:color w:val="auto"/>
              </w:rPr>
            </w:pPr>
            <w:r>
              <w:rPr>
                <w:rFonts w:ascii="Times New Roman" w:cs="Times New Roman" w:eastAsia="Times New Roman" w:hAnsi="Times New Roman"/>
                <w:sz w:val="18"/>
                <w:szCs w:val="18"/>
                <w:b w:val="1"/>
                <w:bCs w:val="1"/>
                <w:color w:val="auto"/>
              </w:rPr>
              <w:t>Votes For</w:t>
            </w:r>
          </w:p>
        </w:tc>
        <w:tc>
          <w:tcPr>
            <w:tcW w:w="320" w:type="dxa"/>
            <w:vAlign w:val="bottom"/>
            <w:tcBorders>
              <w:bottom w:val="single" w:sz="8" w:color="CCEEFF"/>
            </w:tcBorders>
          </w:tcPr>
          <w:p>
            <w:pPr>
              <w:spacing w:after="0"/>
              <w:rPr>
                <w:sz w:val="20"/>
                <w:szCs w:val="20"/>
                <w:color w:val="auto"/>
              </w:rPr>
            </w:pPr>
          </w:p>
        </w:tc>
        <w:tc>
          <w:tcPr>
            <w:tcW w:w="1240" w:type="dxa"/>
            <w:vAlign w:val="bottom"/>
            <w:tcBorders>
              <w:bottom w:val="single" w:sz="8" w:color="auto"/>
            </w:tcBorders>
          </w:tcPr>
          <w:p>
            <w:pPr>
              <w:jc w:val="right"/>
              <w:ind w:right="171"/>
              <w:spacing w:after="0"/>
              <w:rPr>
                <w:sz w:val="20"/>
                <w:szCs w:val="20"/>
                <w:color w:val="auto"/>
              </w:rPr>
            </w:pPr>
            <w:r>
              <w:rPr>
                <w:rFonts w:ascii="Times New Roman" w:cs="Times New Roman" w:eastAsia="Times New Roman" w:hAnsi="Times New Roman"/>
                <w:sz w:val="18"/>
                <w:szCs w:val="18"/>
                <w:b w:val="1"/>
                <w:bCs w:val="1"/>
                <w:color w:val="auto"/>
              </w:rPr>
              <w:t>Withheld</w:t>
            </w:r>
          </w:p>
        </w:tc>
        <w:tc>
          <w:tcPr>
            <w:tcW w:w="320" w:type="dxa"/>
            <w:vAlign w:val="bottom"/>
            <w:tcBorders>
              <w:bottom w:val="single" w:sz="8" w:color="CCEEFF"/>
            </w:tcBorders>
          </w:tcPr>
          <w:p>
            <w:pPr>
              <w:spacing w:after="0"/>
              <w:rPr>
                <w:sz w:val="20"/>
                <w:szCs w:val="20"/>
                <w:color w:val="auto"/>
              </w:rPr>
            </w:pPr>
          </w:p>
        </w:tc>
        <w:tc>
          <w:tcPr>
            <w:tcW w:w="122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8"/>
                <w:szCs w:val="18"/>
                <w:b w:val="1"/>
                <w:bCs w:val="1"/>
                <w:color w:val="auto"/>
              </w:rPr>
              <w:t>Cast</w:t>
            </w:r>
          </w:p>
        </w:tc>
        <w:tc>
          <w:tcPr>
            <w:tcW w:w="320" w:type="dxa"/>
            <w:vAlign w:val="bottom"/>
            <w:tcBorders>
              <w:bottom w:val="single" w:sz="8" w:color="CCEEFF"/>
            </w:tcBorders>
          </w:tcPr>
          <w:p>
            <w:pPr>
              <w:spacing w:after="0"/>
              <w:rPr>
                <w:sz w:val="20"/>
                <w:szCs w:val="20"/>
                <w:color w:val="auto"/>
              </w:rPr>
            </w:pPr>
          </w:p>
        </w:tc>
        <w:tc>
          <w:tcPr>
            <w:tcW w:w="12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2"/>
              </w:rPr>
              <w:t>For</w:t>
            </w:r>
          </w:p>
        </w:tc>
        <w:tc>
          <w:tcPr>
            <w:tcW w:w="380" w:type="dxa"/>
            <w:vAlign w:val="bottom"/>
            <w:tcBorders>
              <w:bottom w:val="single" w:sz="8" w:color="CCEEFF"/>
            </w:tcBorders>
          </w:tcPr>
          <w:p>
            <w:pPr>
              <w:spacing w:after="0"/>
              <w:rPr>
                <w:sz w:val="20"/>
                <w:szCs w:val="20"/>
                <w:color w:val="auto"/>
              </w:rPr>
            </w:pPr>
          </w:p>
        </w:tc>
        <w:tc>
          <w:tcPr>
            <w:tcW w:w="12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Withheld</w:t>
            </w:r>
          </w:p>
        </w:tc>
        <w:tc>
          <w:tcPr>
            <w:tcW w:w="160" w:type="dxa"/>
            <w:vAlign w:val="bottom"/>
            <w:tcBorders>
              <w:bottom w:val="single" w:sz="8" w:color="CCEEFF"/>
            </w:tcBorders>
          </w:tcPr>
          <w:p>
            <w:pPr>
              <w:spacing w:after="0"/>
              <w:rPr>
                <w:sz w:val="20"/>
                <w:szCs w:val="20"/>
                <w:color w:val="auto"/>
              </w:rPr>
            </w:pPr>
          </w:p>
        </w:tc>
      </w:tr>
      <w:tr>
        <w:trPr>
          <w:trHeight w:val="207"/>
        </w:trPr>
        <w:tc>
          <w:tcPr>
            <w:tcW w:w="3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Leona Aglukkaq</w:t>
            </w:r>
          </w:p>
        </w:tc>
        <w:tc>
          <w:tcPr>
            <w:tcW w:w="2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321,210,494</w:t>
            </w:r>
          </w:p>
        </w:tc>
        <w:tc>
          <w:tcPr>
            <w:tcW w:w="3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2,156,401</w:t>
            </w: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shd w:val="clear" w:color="auto" w:fill="CCEEFF"/>
          </w:tcPr>
          <w:p>
            <w:pPr>
              <w:spacing w:after="0"/>
              <w:rPr>
                <w:sz w:val="17"/>
                <w:szCs w:val="17"/>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99.33%</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0.67%</w:t>
            </w:r>
          </w:p>
        </w:tc>
      </w:tr>
      <w:tr>
        <w:trPr>
          <w:trHeight w:val="213"/>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Ammar Al-Joundi</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322,087,020</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1,279,875</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tcPr>
          <w:p>
            <w:pPr>
              <w:spacing w:after="0"/>
              <w:rPr>
                <w:sz w:val="18"/>
                <w:szCs w:val="18"/>
                <w:color w:val="auto"/>
              </w:rPr>
            </w:pPr>
          </w:p>
        </w:tc>
        <w:tc>
          <w:tcPr>
            <w:tcW w:w="16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99.60%</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0.40%</w:t>
            </w:r>
          </w:p>
        </w:tc>
      </w:tr>
      <w:tr>
        <w:trPr>
          <w:trHeight w:val="213"/>
        </w:trPr>
        <w:tc>
          <w:tcPr>
            <w:tcW w:w="3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Sean Boyd</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286,047,557</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37,319,338</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88.46%</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11.54%</w:t>
            </w:r>
          </w:p>
        </w:tc>
      </w:tr>
      <w:tr>
        <w:trPr>
          <w:trHeight w:val="213"/>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Martine A. Celej</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287,100,262</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36,266,633</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tcPr>
          <w:p>
            <w:pPr>
              <w:spacing w:after="0"/>
              <w:rPr>
                <w:sz w:val="18"/>
                <w:szCs w:val="18"/>
                <w:color w:val="auto"/>
              </w:rPr>
            </w:pPr>
          </w:p>
        </w:tc>
        <w:tc>
          <w:tcPr>
            <w:tcW w:w="16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88.78%</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11.22%</w:t>
            </w:r>
          </w:p>
        </w:tc>
      </w:tr>
      <w:tr>
        <w:trPr>
          <w:trHeight w:val="213"/>
        </w:trPr>
        <w:tc>
          <w:tcPr>
            <w:tcW w:w="3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Robert J. Gemmell</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273,396,372</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49,970,524</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84.55%</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15.45%</w:t>
            </w:r>
          </w:p>
        </w:tc>
      </w:tr>
      <w:tr>
        <w:trPr>
          <w:trHeight w:val="213"/>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Jonathan Gill</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314,060,333</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9,306,562</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tcPr>
          <w:p>
            <w:pPr>
              <w:spacing w:after="0"/>
              <w:rPr>
                <w:sz w:val="18"/>
                <w:szCs w:val="18"/>
                <w:color w:val="auto"/>
              </w:rPr>
            </w:pPr>
          </w:p>
        </w:tc>
        <w:tc>
          <w:tcPr>
            <w:tcW w:w="16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97.12%</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2.88%</w:t>
            </w:r>
          </w:p>
        </w:tc>
      </w:tr>
      <w:tr>
        <w:trPr>
          <w:trHeight w:val="213"/>
        </w:trPr>
        <w:tc>
          <w:tcPr>
            <w:tcW w:w="3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Peter Grosskopf</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311,362,240</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12,004,655</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96.29%</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3.71%</w:t>
            </w:r>
          </w:p>
        </w:tc>
      </w:tr>
      <w:tr>
        <w:trPr>
          <w:trHeight w:val="213"/>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Elizabeth Lewis-Gray</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314,533,666</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8,833,229</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tcPr>
          <w:p>
            <w:pPr>
              <w:spacing w:after="0"/>
              <w:rPr>
                <w:sz w:val="18"/>
                <w:szCs w:val="18"/>
                <w:color w:val="auto"/>
              </w:rPr>
            </w:pPr>
          </w:p>
        </w:tc>
        <w:tc>
          <w:tcPr>
            <w:tcW w:w="16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97.27%</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2.73%</w:t>
            </w:r>
          </w:p>
        </w:tc>
      </w:tr>
      <w:tr>
        <w:trPr>
          <w:trHeight w:val="213"/>
        </w:trPr>
        <w:tc>
          <w:tcPr>
            <w:tcW w:w="3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Deborah McCombe</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322,826,938</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539,957</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99.83%</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0.17%</w:t>
            </w:r>
          </w:p>
        </w:tc>
      </w:tr>
      <w:tr>
        <w:trPr>
          <w:trHeight w:val="213"/>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Jeffrey Parr</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311,508,266</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11,858,629</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tcPr>
          <w:p>
            <w:pPr>
              <w:spacing w:after="0"/>
              <w:rPr>
                <w:sz w:val="18"/>
                <w:szCs w:val="18"/>
                <w:color w:val="auto"/>
              </w:rPr>
            </w:pPr>
          </w:p>
        </w:tc>
        <w:tc>
          <w:tcPr>
            <w:tcW w:w="16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96.33%</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3.67%</w:t>
            </w:r>
          </w:p>
        </w:tc>
      </w:tr>
      <w:tr>
        <w:trPr>
          <w:trHeight w:val="213"/>
        </w:trPr>
        <w:tc>
          <w:tcPr>
            <w:tcW w:w="3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 Merfyn Roberts</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316,358,848</w:t>
            </w:r>
          </w:p>
        </w:tc>
        <w:tc>
          <w:tcPr>
            <w:tcW w:w="15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7,008,047</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97.83%</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2.17%</w:t>
            </w:r>
          </w:p>
        </w:tc>
      </w:tr>
      <w:tr>
        <w:trPr>
          <w:trHeight w:val="232"/>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Jamie C. Sokalsky</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285,284,510</w:t>
            </w:r>
          </w:p>
        </w:tc>
        <w:tc>
          <w:tcPr>
            <w:tcW w:w="15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38,082,385</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323,366,895</w:t>
            </w:r>
          </w:p>
        </w:tc>
        <w:tc>
          <w:tcPr>
            <w:tcW w:w="320" w:type="dxa"/>
            <w:vAlign w:val="bottom"/>
          </w:tcPr>
          <w:p>
            <w:pPr>
              <w:spacing w:after="0"/>
              <w:rPr>
                <w:sz w:val="20"/>
                <w:szCs w:val="20"/>
                <w:color w:val="auto"/>
              </w:rPr>
            </w:pPr>
          </w:p>
        </w:tc>
        <w:tc>
          <w:tcPr>
            <w:tcW w:w="16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88.22%</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11.78%</w:t>
            </w:r>
          </w:p>
        </w:tc>
      </w:tr>
    </w:tbl>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Biographical information on all directors is available at </w:t>
      </w:r>
      <w:r>
        <w:rPr>
          <w:rFonts w:ascii="Times New Roman" w:cs="Times New Roman" w:eastAsia="Times New Roman" w:hAnsi="Times New Roman"/>
          <w:sz w:val="18"/>
          <w:szCs w:val="18"/>
          <w:u w:val="single" w:color="auto"/>
          <w:color w:val="auto"/>
        </w:rPr>
        <w:t>www.agnicoeagle.com</w:t>
      </w:r>
      <w:r>
        <w:rPr>
          <w:rFonts w:ascii="Times New Roman" w:cs="Times New Roman" w:eastAsia="Times New Roman" w:hAnsi="Times New Roman"/>
          <w:sz w:val="18"/>
          <w:szCs w:val="18"/>
          <w:color w:val="auto"/>
        </w:rPr>
        <w:t>.</w:t>
      </w: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Agnico Eagle</w:t>
      </w:r>
    </w:p>
    <w:p>
      <w:pPr>
        <w:spacing w:after="0" w:line="22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Agnico Eagle is a senior Canadian gold mining company, producing precious metals from operations in Canada, Australia, Finland and Mexico. It has a pipeline of high-quality exploration and development projects in these countries as well as in the United States and Colombia. Agnico Eagle is a partner of choice within the mining industry, recognized globally for its leading environmental, social and governance practices. Agnico Eagle was founded in 1957 and has consistently created value for its shareholders, declaring a cash dividend every year since 1983.</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Further Information</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For further information regarding Agnico Eagle, contact Investor Relations at </w:t>
      </w:r>
      <w:r>
        <w:rPr>
          <w:rFonts w:ascii="Times New Roman" w:cs="Times New Roman" w:eastAsia="Times New Roman" w:hAnsi="Times New Roman"/>
          <w:sz w:val="18"/>
          <w:szCs w:val="18"/>
          <w:u w:val="single" w:color="auto"/>
          <w:color w:val="auto"/>
        </w:rPr>
        <w:t>investor.relations@agnicoeagle.com</w:t>
      </w:r>
      <w:r>
        <w:rPr>
          <w:rFonts w:ascii="Times New Roman" w:cs="Times New Roman" w:eastAsia="Times New Roman" w:hAnsi="Times New Roman"/>
          <w:sz w:val="18"/>
          <w:szCs w:val="18"/>
          <w:color w:val="auto"/>
        </w:rPr>
        <w:t xml:space="preserve"> or call (416) 947-1212.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286385</wp:posOffset>
            </wp:positionV>
            <wp:extent cx="713422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sectPr>
      <w:pgSz w:w="11900" w:h="16838" w:orient="portrait"/>
      <w:cols w:equalWidth="0" w:num="1">
        <w:col w:w="11240"/>
      </w:cols>
      <w:pgMar w:left="320" w:top="1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2022-05-02T12:47:20Z</dcterms:created>
  <dcterms:modified xsi:type="dcterms:W3CDTF">2022-05-02T12:47:20Z</dcterms:modified>
</cp:coreProperties>
</file>