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6-K</w:t>
      </w:r>
    </w:p>
    <w:p>
      <w:pPr>
        <w:spacing w:after="0" w:line="2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FOREIGN PRIVATE ISSUER PURSUANT TO RULE 13a-16 OR 15d-16 UNDER THE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 the month of February, 2022</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 001-13422</w:t>
      </w:r>
    </w:p>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25"/>
          <w:szCs w:val="25"/>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92" w:lineRule="exact"/>
        <w:rPr>
          <w:sz w:val="24"/>
          <w:szCs w:val="24"/>
          <w:color w:val="auto"/>
        </w:rPr>
      </w:pPr>
    </w:p>
    <w:p>
      <w:pPr>
        <w:spacing w:after="0" w:line="207" w:lineRule="exact"/>
        <w:tabs>
          <w:tab w:leader="none" w:pos="114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_____</w:t>
      </w:r>
    </w:p>
    <w:p>
      <w:pPr>
        <w:spacing w:after="0" w:line="221" w:lineRule="exact"/>
        <w:rPr>
          <w:sz w:val="24"/>
          <w:szCs w:val="24"/>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w:t>
      </w:r>
      <w:r>
        <w:rPr>
          <w:rFonts w:ascii="Arial" w:cs="Arial" w:eastAsia="Arial" w:hAnsi="Arial"/>
          <w:sz w:val="18"/>
          <w:szCs w:val="18"/>
          <w:b w:val="1"/>
          <w:bCs w:val="1"/>
          <w:color w:val="auto"/>
        </w:rPr>
        <w:t xml:space="preserve"> </w:t>
      </w:r>
      <w:r>
        <w:rPr>
          <w:rFonts w:ascii="Arial" w:cs="Arial" w:eastAsia="Arial" w:hAnsi="Arial"/>
          <w:sz w:val="18"/>
          <w:szCs w:val="18"/>
          <w:color w:val="auto"/>
        </w:rPr>
        <w:t>security 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_____</w:t>
      </w:r>
    </w:p>
    <w:p>
      <w:pPr>
        <w:spacing w:after="0" w:line="221" w:lineRule="exact"/>
        <w:rPr>
          <w:sz w:val="24"/>
          <w:szCs w:val="24"/>
          <w:color w:val="auto"/>
        </w:rPr>
      </w:pPr>
    </w:p>
    <w:p>
      <w:pPr>
        <w:jc w:val="both"/>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w:t>
      </w:r>
      <w:r>
        <w:rPr>
          <w:rFonts w:ascii="Arial" w:cs="Arial" w:eastAsia="Arial" w:hAnsi="Arial"/>
          <w:sz w:val="17"/>
          <w:szCs w:val="17"/>
          <w:b w:val="1"/>
          <w:bCs w:val="1"/>
          <w:color w:val="auto"/>
        </w:rPr>
        <w:t xml:space="preserve"> </w:t>
      </w:r>
      <w:r>
        <w:rPr>
          <w:rFonts w:ascii="Arial" w:cs="Arial" w:eastAsia="Arial" w:hAnsi="Arial"/>
          <w:sz w:val="17"/>
          <w:szCs w:val="17"/>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If “Yes” is marked, indicate below the file number assigned to the registrant in connection with Rule 12g3-2(b): 82-_____.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203200</wp:posOffset>
            </wp:positionV>
            <wp:extent cx="713232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666115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EXHIBITS</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1500" w:type="dxa"/>
            <w:vAlign w:val="bottom"/>
            <w:tcBorders>
              <w:top w:val="single" w:sz="8" w:color="auto"/>
              <w:left w:val="single" w:sz="8" w:color="auto"/>
              <w:bottom w:val="single" w:sz="8" w:color="auto"/>
              <w:right w:val="single" w:sz="8" w:color="auto"/>
            </w:tcBorders>
            <w:gridSpan w:val="3"/>
          </w:tcPr>
          <w:p>
            <w:pPr>
              <w:jc w:val="right"/>
              <w:ind w:right="540"/>
              <w:spacing w:after="0"/>
              <w:rPr>
                <w:sz w:val="20"/>
                <w:szCs w:val="20"/>
                <w:color w:val="auto"/>
              </w:rPr>
            </w:pPr>
            <w:r>
              <w:rPr>
                <w:rFonts w:ascii="Arial" w:cs="Arial" w:eastAsia="Arial" w:hAnsi="Arial"/>
                <w:sz w:val="18"/>
                <w:szCs w:val="18"/>
                <w:color w:val="auto"/>
              </w:rPr>
              <w:t>Exhibit No.</w:t>
            </w:r>
          </w:p>
        </w:tc>
        <w:tc>
          <w:tcPr>
            <w:tcW w:w="9740" w:type="dxa"/>
            <w:vAlign w:val="bottom"/>
            <w:tcBorders>
              <w:top w:val="single" w:sz="8" w:color="auto"/>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Exhibit Description</w:t>
            </w:r>
          </w:p>
        </w:tc>
      </w:tr>
      <w:tr>
        <w:trPr>
          <w:trHeight w:val="169"/>
        </w:trPr>
        <w:tc>
          <w:tcPr>
            <w:tcW w:w="1500" w:type="dxa"/>
            <w:vAlign w:val="bottom"/>
            <w:tcBorders>
              <w:left w:val="single" w:sz="8" w:color="auto"/>
              <w:right w:val="single" w:sz="8" w:color="auto"/>
            </w:tcBorders>
            <w:gridSpan w:val="3"/>
          </w:tcPr>
          <w:p>
            <w:pPr>
              <w:jc w:val="right"/>
              <w:ind w:right="600"/>
              <w:spacing w:after="0" w:line="169" w:lineRule="exact"/>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9740" w:type="dxa"/>
            <w:vAlign w:val="bottom"/>
            <w:tcBorders>
              <w:right w:val="single" w:sz="8" w:color="auto"/>
            </w:tcBorders>
            <w:gridSpan w:val="3"/>
          </w:tcPr>
          <w:p>
            <w:pPr>
              <w:ind w:left="100"/>
              <w:spacing w:after="0" w:line="169" w:lineRule="exact"/>
              <w:rPr>
                <w:rFonts w:ascii="Arial" w:cs="Arial" w:eastAsia="Arial" w:hAnsi="Arial"/>
                <w:sz w:val="18"/>
                <w:szCs w:val="18"/>
                <w:color w:val="0000EE"/>
              </w:rPr>
            </w:pPr>
            <w:hyperlink w:anchor="page4">
              <w:r>
                <w:rPr>
                  <w:rFonts w:ascii="Arial" w:cs="Arial" w:eastAsia="Arial" w:hAnsi="Arial"/>
                  <w:sz w:val="18"/>
                  <w:szCs w:val="18"/>
                  <w:color w:val="0000EE"/>
                </w:rPr>
                <w:t>Material Change Report dated February 8, 2022</w:t>
              </w:r>
            </w:hyperlink>
          </w:p>
        </w:tc>
      </w:tr>
      <w:tr>
        <w:trPr>
          <w:trHeight w:val="21"/>
        </w:trPr>
        <w:tc>
          <w:tcPr>
            <w:tcW w:w="60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top w:val="single" w:sz="8" w:color="0000EE"/>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40" w:type="dxa"/>
            <w:vAlign w:val="bottom"/>
            <w:tcBorders>
              <w:top w:val="single" w:sz="8" w:color="0000EE"/>
              <w:bottom w:val="single" w:sz="8" w:color="auto"/>
            </w:tcBorders>
          </w:tcPr>
          <w:p>
            <w:pPr>
              <w:spacing w:after="0" w:line="20" w:lineRule="exact"/>
              <w:rPr>
                <w:sz w:val="1"/>
                <w:szCs w:val="1"/>
                <w:color w:val="auto"/>
              </w:rPr>
            </w:pPr>
          </w:p>
        </w:tc>
        <w:tc>
          <w:tcPr>
            <w:tcW w:w="6200" w:type="dxa"/>
            <w:vAlign w:val="bottom"/>
            <w:tcBorders>
              <w:bottom w:val="single" w:sz="8" w:color="auto"/>
              <w:right w:val="single" w:sz="8" w:color="auto"/>
            </w:tcBorders>
          </w:tcPr>
          <w:p>
            <w:pPr>
              <w:spacing w:after="0" w:line="20" w:lineRule="exact"/>
              <w:rPr>
                <w:sz w:val="1"/>
                <w:szCs w:val="1"/>
                <w:color w:val="auto"/>
              </w:rPr>
            </w:pPr>
          </w:p>
        </w:tc>
      </w:tr>
      <w:tr>
        <w:trPr>
          <w:trHeight w:val="668"/>
        </w:trPr>
        <w:tc>
          <w:tcPr>
            <w:tcW w:w="6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40" w:type="dxa"/>
            <w:vAlign w:val="bottom"/>
            <w:tcBorders>
              <w:bottom w:val="single" w:sz="8" w:color="auto"/>
            </w:tcBorders>
          </w:tcPr>
          <w:p>
            <w:pPr>
              <w:spacing w:after="0"/>
              <w:rPr>
                <w:sz w:val="24"/>
                <w:szCs w:val="24"/>
                <w:color w:val="auto"/>
              </w:rPr>
            </w:pPr>
          </w:p>
        </w:tc>
        <w:tc>
          <w:tcPr>
            <w:tcW w:w="62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4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54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r>
      <w:tr>
        <w:trPr>
          <w:trHeight w:val="237"/>
        </w:trPr>
        <w:tc>
          <w:tcPr>
            <w:tcW w:w="344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2480" w:type="dxa"/>
            <w:vAlign w:val="bottom"/>
            <w:tcBorders>
              <w:top w:val="single" w:sz="8" w:color="auto"/>
            </w:tcBorders>
          </w:tcPr>
          <w:p>
            <w:pPr>
              <w:ind w:left="400"/>
              <w:spacing w:after="0"/>
              <w:rPr>
                <w:sz w:val="20"/>
                <w:szCs w:val="20"/>
                <w:color w:val="auto"/>
              </w:rPr>
            </w:pPr>
            <w:r>
              <w:rPr>
                <w:rFonts w:ascii="Arial" w:cs="Arial" w:eastAsia="Arial" w:hAnsi="Arial"/>
                <w:sz w:val="18"/>
                <w:szCs w:val="18"/>
                <w:color w:val="auto"/>
              </w:rPr>
              <w:t>(Registrant)</w:t>
            </w:r>
          </w:p>
        </w:tc>
        <w:tc>
          <w:tcPr>
            <w:tcW w:w="2680" w:type="dxa"/>
            <w:vAlign w:val="bottom"/>
          </w:tcPr>
          <w:p>
            <w:pPr>
              <w:spacing w:after="0"/>
              <w:rPr>
                <w:sz w:val="20"/>
                <w:szCs w:val="20"/>
                <w:color w:val="auto"/>
              </w:rPr>
            </w:pPr>
          </w:p>
        </w:tc>
      </w:tr>
      <w:tr>
        <w:trPr>
          <w:trHeight w:val="432"/>
        </w:trPr>
        <w:tc>
          <w:tcPr>
            <w:tcW w:w="3440" w:type="dxa"/>
            <w:vAlign w:val="bottom"/>
          </w:tcPr>
          <w:p>
            <w:pPr>
              <w:spacing w:after="0"/>
              <w:rPr>
                <w:sz w:val="20"/>
                <w:szCs w:val="20"/>
                <w:color w:val="auto"/>
              </w:rPr>
            </w:pPr>
            <w:r>
              <w:rPr>
                <w:rFonts w:ascii="Arial" w:cs="Arial" w:eastAsia="Arial" w:hAnsi="Arial"/>
                <w:sz w:val="18"/>
                <w:szCs w:val="18"/>
                <w:color w:val="auto"/>
              </w:rPr>
              <w:t>Date: 02/10/2022</w:t>
            </w:r>
          </w:p>
        </w:tc>
        <w:tc>
          <w:tcPr>
            <w:tcW w:w="7800" w:type="dxa"/>
            <w:vAlign w:val="bottom"/>
            <w:gridSpan w:val="4"/>
          </w:tcPr>
          <w:p>
            <w:pPr>
              <w:ind w:left="2200"/>
              <w:spacing w:after="0"/>
              <w:rPr>
                <w:sz w:val="20"/>
                <w:szCs w:val="20"/>
                <w:color w:val="auto"/>
              </w:rPr>
            </w:pPr>
            <w:r>
              <w:rPr>
                <w:rFonts w:ascii="Arial" w:cs="Arial" w:eastAsia="Arial" w:hAnsi="Arial"/>
                <w:sz w:val="18"/>
                <w:szCs w:val="18"/>
                <w:color w:val="auto"/>
              </w:rPr>
              <w:t>By:  /s/ Chris Vollmershausen</w:t>
            </w:r>
          </w:p>
        </w:tc>
      </w:tr>
      <w:tr>
        <w:trPr>
          <w:trHeight w:val="195"/>
        </w:trPr>
        <w:tc>
          <w:tcPr>
            <w:tcW w:w="344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16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Chris Vollmershausen</w:t>
            </w:r>
          </w:p>
        </w:tc>
      </w:tr>
      <w:tr>
        <w:trPr>
          <w:trHeight w:val="230"/>
        </w:trPr>
        <w:tc>
          <w:tcPr>
            <w:tcW w:w="344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160" w:type="dxa"/>
            <w:vAlign w:val="bottom"/>
            <w:gridSpan w:val="2"/>
          </w:tcPr>
          <w:p>
            <w:pPr>
              <w:spacing w:after="0"/>
              <w:rPr>
                <w:sz w:val="20"/>
                <w:szCs w:val="20"/>
                <w:color w:val="auto"/>
              </w:rPr>
            </w:pPr>
            <w:r>
              <w:rPr>
                <w:rFonts w:ascii="Arial" w:cs="Arial" w:eastAsia="Arial" w:hAnsi="Arial"/>
                <w:sz w:val="18"/>
                <w:szCs w:val="18"/>
                <w:color w:val="auto"/>
                <w:w w:val="92"/>
              </w:rPr>
              <w:t>Senior Vice-President, Legal, General Counsel &amp; Corporate Secretary</w:t>
            </w:r>
          </w:p>
        </w:tc>
      </w:tr>
    </w:tbl>
    <w:p>
      <w:pPr>
        <w:spacing w:after="0" w:line="202" w:lineRule="exact"/>
        <w:rPr>
          <w:sz w:val="20"/>
          <w:szCs w:val="20"/>
          <w:color w:val="auto"/>
        </w:rPr>
      </w:pPr>
    </w:p>
    <w:p>
      <w:pPr>
        <w:ind w:right="380"/>
        <w:spacing w:after="0" w:line="308" w:lineRule="auto"/>
        <w:rPr>
          <w:rFonts w:ascii="Arial" w:cs="Arial" w:eastAsia="Arial" w:hAnsi="Arial"/>
          <w:sz w:val="17"/>
          <w:szCs w:val="17"/>
          <w:color w:val="0000EE"/>
        </w:rPr>
      </w:pPr>
      <w:r>
        <w:rPr>
          <w:rFonts w:ascii="Arial" w:cs="Arial" w:eastAsia="Arial" w:hAnsi="Arial"/>
          <w:sz w:val="17"/>
          <w:szCs w:val="17"/>
          <w:color w:val="auto"/>
        </w:rPr>
        <w:t xml:space="preserve">Exhibit Number 99.1 submitted with this Form 6-K is hereby incorporated by reference into Agnico Eagle Mines Limited's Registration Statements on </w:t>
      </w:r>
      <w:hyperlink r:id="rId15">
        <w:r>
          <w:rPr>
            <w:rFonts w:ascii="Arial" w:cs="Arial" w:eastAsia="Arial" w:hAnsi="Arial"/>
            <w:sz w:val="17"/>
            <w:szCs w:val="17"/>
            <w:u w:val="single" w:color="auto"/>
            <w:color w:val="0000EE"/>
          </w:rPr>
          <w:t>Form F-10 (Reg. No. 333-234778)</w:t>
        </w:r>
      </w:hyperlink>
      <w:r>
        <w:rPr>
          <w:rFonts w:ascii="Arial" w:cs="Arial" w:eastAsia="Arial" w:hAnsi="Arial"/>
          <w:sz w:val="17"/>
          <w:szCs w:val="17"/>
          <w:color w:val="000000"/>
        </w:rPr>
        <w:t>,</w:t>
      </w:r>
      <w:r>
        <w:rPr>
          <w:rFonts w:ascii="Arial" w:cs="Arial" w:eastAsia="Arial" w:hAnsi="Arial"/>
          <w:sz w:val="17"/>
          <w:szCs w:val="17"/>
          <w:color w:val="0000EE"/>
        </w:rPr>
        <w:t xml:space="preserve"> </w:t>
      </w:r>
      <w:r>
        <w:rPr>
          <w:rFonts w:ascii="Arial" w:cs="Arial" w:eastAsia="Arial" w:hAnsi="Arial"/>
          <w:sz w:val="17"/>
          <w:szCs w:val="17"/>
          <w:color w:val="000000"/>
        </w:rPr>
        <w:t>Form</w:t>
      </w:r>
      <w:r>
        <w:rPr>
          <w:rFonts w:ascii="Arial" w:cs="Arial" w:eastAsia="Arial" w:hAnsi="Arial"/>
          <w:sz w:val="17"/>
          <w:szCs w:val="17"/>
          <w:color w:val="0000EE"/>
        </w:rPr>
        <w:t xml:space="preserve"> </w:t>
      </w:r>
      <w:hyperlink r:id="rId16">
        <w:r>
          <w:rPr>
            <w:rFonts w:ascii="Arial" w:cs="Arial" w:eastAsia="Arial" w:hAnsi="Arial"/>
            <w:sz w:val="17"/>
            <w:szCs w:val="17"/>
            <w:u w:val="single" w:color="auto"/>
            <w:color w:val="0000EE"/>
          </w:rPr>
          <w:t xml:space="preserve">F-3D (Reg. No. 333-249203) </w:t>
        </w:r>
      </w:hyperlink>
      <w:r>
        <w:rPr>
          <w:rFonts w:ascii="Arial" w:cs="Arial" w:eastAsia="Arial" w:hAnsi="Arial"/>
          <w:sz w:val="17"/>
          <w:szCs w:val="17"/>
          <w:color w:val="000000"/>
        </w:rPr>
        <w:t>and</w:t>
      </w:r>
      <w:r>
        <w:rPr>
          <w:rFonts w:ascii="Arial" w:cs="Arial" w:eastAsia="Arial" w:hAnsi="Arial"/>
          <w:sz w:val="17"/>
          <w:szCs w:val="17"/>
          <w:color w:val="0000EE"/>
        </w:rPr>
        <w:t xml:space="preserve"> </w:t>
      </w:r>
      <w:r>
        <w:rPr>
          <w:rFonts w:ascii="Arial" w:cs="Arial" w:eastAsia="Arial" w:hAnsi="Arial"/>
          <w:sz w:val="17"/>
          <w:szCs w:val="17"/>
          <w:color w:val="000000"/>
        </w:rPr>
        <w:t>Form S-8 (Reg. Nos.</w:t>
      </w:r>
      <w:r>
        <w:rPr>
          <w:rFonts w:ascii="Arial" w:cs="Arial" w:eastAsia="Arial" w:hAnsi="Arial"/>
          <w:sz w:val="17"/>
          <w:szCs w:val="17"/>
          <w:color w:val="0000EE"/>
        </w:rPr>
        <w:t xml:space="preserve"> </w:t>
      </w:r>
      <w:hyperlink r:id="rId17">
        <w:r>
          <w:rPr>
            <w:rFonts w:ascii="Arial" w:cs="Arial" w:eastAsia="Arial" w:hAnsi="Arial"/>
            <w:sz w:val="17"/>
            <w:szCs w:val="17"/>
            <w:u w:val="single" w:color="auto"/>
            <w:color w:val="0000EE"/>
          </w:rPr>
          <w:t xml:space="preserve">333-130339 </w:t>
        </w:r>
      </w:hyperlink>
      <w:r>
        <w:rPr>
          <w:rFonts w:ascii="Arial" w:cs="Arial" w:eastAsia="Arial" w:hAnsi="Arial"/>
          <w:sz w:val="17"/>
          <w:szCs w:val="17"/>
          <w:color w:val="000000"/>
        </w:rPr>
        <w:t>and</w:t>
      </w:r>
      <w:r>
        <w:rPr>
          <w:rFonts w:ascii="Arial" w:cs="Arial" w:eastAsia="Arial" w:hAnsi="Arial"/>
          <w:sz w:val="17"/>
          <w:szCs w:val="17"/>
          <w:color w:val="0000EE"/>
        </w:rPr>
        <w:t xml:space="preserve"> </w:t>
      </w:r>
      <w:hyperlink r:id="rId18">
        <w:r>
          <w:rPr>
            <w:rFonts w:ascii="Arial" w:cs="Arial" w:eastAsia="Arial" w:hAnsi="Arial"/>
            <w:sz w:val="17"/>
            <w:szCs w:val="17"/>
            <w:u w:val="single" w:color="auto"/>
            <w:color w:val="0000EE"/>
          </w:rPr>
          <w:t>333-152004</w:t>
        </w:r>
      </w:hyperlink>
      <w:r>
        <w:rPr>
          <w:rFonts w:ascii="Arial" w:cs="Arial" w:eastAsia="Arial" w:hAnsi="Arial"/>
          <w:sz w:val="17"/>
          <w:szCs w:val="17"/>
          <w:color w:val="000000"/>
        </w:rPr>
        <w:t>)</w:t>
      </w:r>
    </w:p>
    <w:p>
      <w:pPr>
        <w:spacing w:after="0" w:line="20" w:lineRule="exact"/>
        <w:rPr>
          <w:rFonts w:ascii="Arial" w:cs="Arial" w:eastAsia="Arial" w:hAnsi="Arial"/>
          <w:sz w:val="17"/>
          <w:szCs w:val="17"/>
          <w:color w:val="0000EE"/>
        </w:rPr>
      </w:pPr>
      <w:r>
        <w:rPr>
          <w:rFonts w:ascii="Arial" w:cs="Arial" w:eastAsia="Arial" w:hAnsi="Arial"/>
          <w:sz w:val="17"/>
          <w:szCs w:val="17"/>
          <w:color w:val="0000EE"/>
        </w:rPr>
        <w:drawing>
          <wp:anchor simplePos="0" relativeHeight="251657728" behindDoc="1" locked="0" layoutInCell="0" allowOverlap="1">
            <wp:simplePos x="0" y="0"/>
            <wp:positionH relativeFrom="column">
              <wp:posOffset>5080</wp:posOffset>
            </wp:positionH>
            <wp:positionV relativeFrom="paragraph">
              <wp:posOffset>393700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51-102F3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MATERIAL CHANGE REPORT</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6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10280" w:type="dxa"/>
            <w:vAlign w:val="bottom"/>
          </w:tcPr>
          <w:p>
            <w:pPr>
              <w:ind w:left="340"/>
              <w:spacing w:after="0"/>
              <w:rPr>
                <w:sz w:val="20"/>
                <w:szCs w:val="20"/>
                <w:color w:val="auto"/>
              </w:rPr>
            </w:pPr>
            <w:r>
              <w:rPr>
                <w:rFonts w:ascii="Arial" w:cs="Arial" w:eastAsia="Arial" w:hAnsi="Arial"/>
                <w:sz w:val="18"/>
                <w:szCs w:val="18"/>
                <w:b w:val="1"/>
                <w:bCs w:val="1"/>
                <w:color w:val="auto"/>
              </w:rPr>
              <w:t>Name and Address of Company</w:t>
            </w:r>
          </w:p>
        </w:tc>
      </w:tr>
      <w:tr>
        <w:trPr>
          <w:trHeight w:val="418"/>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Agnico Eagle Mines Limited (“</w:t>
            </w:r>
            <w:r>
              <w:rPr>
                <w:rFonts w:ascii="Arial" w:cs="Arial" w:eastAsia="Arial" w:hAnsi="Arial"/>
                <w:sz w:val="18"/>
                <w:szCs w:val="18"/>
                <w:b w:val="1"/>
                <w:bCs w:val="1"/>
                <w:color w:val="auto"/>
              </w:rPr>
              <w:t>Agnico Eagle</w:t>
            </w:r>
            <w:r>
              <w:rPr>
                <w:rFonts w:ascii="Arial" w:cs="Arial" w:eastAsia="Arial" w:hAnsi="Arial"/>
                <w:sz w:val="18"/>
                <w:szCs w:val="18"/>
                <w:color w:val="auto"/>
              </w:rPr>
              <w:t>” or the “</w:t>
            </w:r>
            <w:r>
              <w:rPr>
                <w:rFonts w:ascii="Arial" w:cs="Arial" w:eastAsia="Arial" w:hAnsi="Arial"/>
                <w:sz w:val="18"/>
                <w:szCs w:val="18"/>
                <w:b w:val="1"/>
                <w:bCs w:val="1"/>
                <w:color w:val="auto"/>
              </w:rPr>
              <w:t>Company</w:t>
            </w:r>
            <w:r>
              <w:rPr>
                <w:rFonts w:ascii="Arial" w:cs="Arial" w:eastAsia="Arial" w:hAnsi="Arial"/>
                <w:sz w:val="18"/>
                <w:szCs w:val="18"/>
                <w:color w:val="auto"/>
              </w:rPr>
              <w:t>”)</w:t>
            </w:r>
          </w:p>
        </w:tc>
      </w:tr>
      <w:tr>
        <w:trPr>
          <w:trHeight w:val="216"/>
        </w:trPr>
        <w:tc>
          <w:tcPr>
            <w:tcW w:w="960" w:type="dxa"/>
            <w:vAlign w:val="bottom"/>
          </w:tcPr>
          <w:p>
            <w:pPr>
              <w:spacing w:after="0"/>
              <w:rPr>
                <w:sz w:val="18"/>
                <w:szCs w:val="18"/>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145 King Street East, Suite 400</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Toronto, Ontario M5C 2Y7</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2</w:t>
            </w:r>
          </w:p>
        </w:tc>
        <w:tc>
          <w:tcPr>
            <w:tcW w:w="10280" w:type="dxa"/>
            <w:vAlign w:val="bottom"/>
          </w:tcPr>
          <w:p>
            <w:pPr>
              <w:ind w:left="340"/>
              <w:spacing w:after="0"/>
              <w:rPr>
                <w:sz w:val="20"/>
                <w:szCs w:val="20"/>
                <w:color w:val="auto"/>
              </w:rPr>
            </w:pPr>
            <w:r>
              <w:rPr>
                <w:rFonts w:ascii="Arial" w:cs="Arial" w:eastAsia="Arial" w:hAnsi="Arial"/>
                <w:sz w:val="18"/>
                <w:szCs w:val="18"/>
                <w:b w:val="1"/>
                <w:bCs w:val="1"/>
                <w:color w:val="auto"/>
              </w:rPr>
              <w:t>Date of Material Change</w:t>
            </w:r>
          </w:p>
        </w:tc>
      </w:tr>
      <w:tr>
        <w:trPr>
          <w:trHeight w:val="432"/>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February 8, 2022</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3</w:t>
            </w:r>
          </w:p>
        </w:tc>
        <w:tc>
          <w:tcPr>
            <w:tcW w:w="10280" w:type="dxa"/>
            <w:vAlign w:val="bottom"/>
          </w:tcPr>
          <w:p>
            <w:pPr>
              <w:ind w:left="340"/>
              <w:spacing w:after="0"/>
              <w:rPr>
                <w:sz w:val="20"/>
                <w:szCs w:val="20"/>
                <w:color w:val="auto"/>
              </w:rPr>
            </w:pPr>
            <w:r>
              <w:rPr>
                <w:rFonts w:ascii="Arial" w:cs="Arial" w:eastAsia="Arial" w:hAnsi="Arial"/>
                <w:sz w:val="18"/>
                <w:szCs w:val="18"/>
                <w:b w:val="1"/>
                <w:bCs w:val="1"/>
                <w:color w:val="auto"/>
              </w:rPr>
              <w:t>News Release</w:t>
            </w:r>
          </w:p>
        </w:tc>
      </w:tr>
      <w:tr>
        <w:trPr>
          <w:trHeight w:val="414"/>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2"/>
              </w:rPr>
              <w:t>A joint news release setting out information concerning the material changes described in this material change report was issued by the</w:t>
            </w:r>
          </w:p>
        </w:tc>
      </w:tr>
      <w:tr>
        <w:trPr>
          <w:trHeight w:val="220"/>
        </w:trPr>
        <w:tc>
          <w:tcPr>
            <w:tcW w:w="960" w:type="dxa"/>
            <w:vAlign w:val="bottom"/>
          </w:tcPr>
          <w:p>
            <w:pPr>
              <w:spacing w:after="0"/>
              <w:rPr>
                <w:sz w:val="19"/>
                <w:szCs w:val="19"/>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4"/>
              </w:rPr>
              <w:t>Company and Kirkland Lake Gold Ltd. (“</w:t>
            </w:r>
            <w:r>
              <w:rPr>
                <w:rFonts w:ascii="Arial" w:cs="Arial" w:eastAsia="Arial" w:hAnsi="Arial"/>
                <w:sz w:val="18"/>
                <w:szCs w:val="18"/>
                <w:b w:val="1"/>
                <w:bCs w:val="1"/>
                <w:color w:val="auto"/>
                <w:w w:val="94"/>
              </w:rPr>
              <w:t>Kirkland</w:t>
            </w:r>
            <w:r>
              <w:rPr>
                <w:rFonts w:ascii="Arial" w:cs="Arial" w:eastAsia="Arial" w:hAnsi="Arial"/>
                <w:sz w:val="18"/>
                <w:szCs w:val="18"/>
                <w:color w:val="auto"/>
                <w:w w:val="94"/>
              </w:rPr>
              <w:t>”) and disseminated through PR Newswire on February 8, 2022. The news release</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was subsequently filed on the SEDAR and EDGAR profile of the Company.</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4</w:t>
            </w:r>
          </w:p>
        </w:tc>
        <w:tc>
          <w:tcPr>
            <w:tcW w:w="10280" w:type="dxa"/>
            <w:vAlign w:val="bottom"/>
          </w:tcPr>
          <w:p>
            <w:pPr>
              <w:ind w:left="340"/>
              <w:spacing w:after="0"/>
              <w:rPr>
                <w:sz w:val="20"/>
                <w:szCs w:val="20"/>
                <w:color w:val="auto"/>
              </w:rPr>
            </w:pPr>
            <w:r>
              <w:rPr>
                <w:rFonts w:ascii="Arial" w:cs="Arial" w:eastAsia="Arial" w:hAnsi="Arial"/>
                <w:sz w:val="18"/>
                <w:szCs w:val="18"/>
                <w:b w:val="1"/>
                <w:bCs w:val="1"/>
                <w:color w:val="auto"/>
              </w:rPr>
              <w:t>Summary of Material Change</w:t>
            </w:r>
          </w:p>
        </w:tc>
      </w:tr>
      <w:tr>
        <w:trPr>
          <w:trHeight w:val="418"/>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6"/>
              </w:rPr>
              <w:t>On February 8, 2022, Agnico Eagle completed the previously announced merger transaction with Kirkland whereby Agnico Eagle</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acquired all of the issued and outstanding shares of Kirkland.</w:t>
            </w:r>
          </w:p>
        </w:tc>
      </w:tr>
      <w:tr>
        <w:trPr>
          <w:trHeight w:val="418"/>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8"/>
              </w:rPr>
              <w:t>As a result of the completion of the transaction, Kirkland became a wholly-owned subsidiary of Agnico Eagle. Agnico Eagle will</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continue as Agnico Eagle Mines Limited and headquartered at Agnico Eagle’s existing head office.</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5</w:t>
            </w:r>
          </w:p>
        </w:tc>
        <w:tc>
          <w:tcPr>
            <w:tcW w:w="10280" w:type="dxa"/>
            <w:vAlign w:val="bottom"/>
          </w:tcPr>
          <w:p>
            <w:pPr>
              <w:ind w:left="340"/>
              <w:spacing w:after="0"/>
              <w:rPr>
                <w:sz w:val="20"/>
                <w:szCs w:val="20"/>
                <w:color w:val="auto"/>
              </w:rPr>
            </w:pPr>
            <w:r>
              <w:rPr>
                <w:rFonts w:ascii="Arial" w:cs="Arial" w:eastAsia="Arial" w:hAnsi="Arial"/>
                <w:sz w:val="18"/>
                <w:szCs w:val="18"/>
                <w:b w:val="1"/>
                <w:bCs w:val="1"/>
                <w:color w:val="auto"/>
              </w:rPr>
              <w:t>Full Description of Material Change</w:t>
            </w:r>
          </w:p>
        </w:tc>
      </w:tr>
      <w:tr>
        <w:trPr>
          <w:trHeight w:val="414"/>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3"/>
              </w:rPr>
              <w:t>On February 8, 2022, Agnico Eagle completed the previously announced merger transaction with Kirkland by way of a court-approved</w:t>
            </w:r>
          </w:p>
        </w:tc>
      </w:tr>
      <w:tr>
        <w:trPr>
          <w:trHeight w:val="220"/>
        </w:trPr>
        <w:tc>
          <w:tcPr>
            <w:tcW w:w="960" w:type="dxa"/>
            <w:vAlign w:val="bottom"/>
          </w:tcPr>
          <w:p>
            <w:pPr>
              <w:spacing w:after="0"/>
              <w:rPr>
                <w:sz w:val="19"/>
                <w:szCs w:val="19"/>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4"/>
              </w:rPr>
              <w:t>plan of arrangement of Kirkland (the “</w:t>
            </w:r>
            <w:r>
              <w:rPr>
                <w:rFonts w:ascii="Arial" w:cs="Arial" w:eastAsia="Arial" w:hAnsi="Arial"/>
                <w:sz w:val="18"/>
                <w:szCs w:val="18"/>
                <w:b w:val="1"/>
                <w:bCs w:val="1"/>
                <w:color w:val="auto"/>
                <w:w w:val="94"/>
              </w:rPr>
              <w:t>Arrangement</w:t>
            </w:r>
            <w:r>
              <w:rPr>
                <w:rFonts w:ascii="Arial" w:cs="Arial" w:eastAsia="Arial" w:hAnsi="Arial"/>
                <w:sz w:val="18"/>
                <w:szCs w:val="18"/>
                <w:color w:val="auto"/>
                <w:w w:val="94"/>
              </w:rPr>
              <w:t xml:space="preserve">”) under Section 182 of the </w:t>
            </w:r>
            <w:r>
              <w:rPr>
                <w:rFonts w:ascii="Arial" w:cs="Arial" w:eastAsia="Arial" w:hAnsi="Arial"/>
                <w:sz w:val="18"/>
                <w:szCs w:val="18"/>
                <w:i w:val="1"/>
                <w:iCs w:val="1"/>
                <w:color w:val="auto"/>
                <w:w w:val="94"/>
              </w:rPr>
              <w:t>Business Corporations Act</w:t>
            </w:r>
            <w:r>
              <w:rPr>
                <w:rFonts w:ascii="Arial" w:cs="Arial" w:eastAsia="Arial" w:hAnsi="Arial"/>
                <w:sz w:val="18"/>
                <w:szCs w:val="18"/>
                <w:color w:val="auto"/>
                <w:w w:val="94"/>
              </w:rPr>
              <w:t xml:space="preserve"> (Ontario), pursuant to the</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6"/>
              </w:rPr>
              <w:t>terms of a merger agreement dated September 28, 2021, as amended on October 27, 2021, between Kirkland and Agnico Eagle.</w:t>
            </w:r>
          </w:p>
        </w:tc>
      </w:tr>
      <w:tr>
        <w:trPr>
          <w:trHeight w:val="414"/>
        </w:trPr>
        <w:tc>
          <w:tcPr>
            <w:tcW w:w="960" w:type="dxa"/>
            <w:vAlign w:val="bottom"/>
          </w:tcPr>
          <w:p>
            <w:pPr>
              <w:spacing w:after="0"/>
              <w:rPr>
                <w:sz w:val="24"/>
                <w:szCs w:val="24"/>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1"/>
              </w:rPr>
              <w:t>Pursuant to the Arrangement, Agnico Eagle acquired all of the issued and outstanding common shares of Kirkland (including all Kirkland</w:t>
            </w:r>
          </w:p>
        </w:tc>
      </w:tr>
      <w:tr>
        <w:trPr>
          <w:trHeight w:val="216"/>
        </w:trPr>
        <w:tc>
          <w:tcPr>
            <w:tcW w:w="960" w:type="dxa"/>
            <w:vAlign w:val="bottom"/>
          </w:tcPr>
          <w:p>
            <w:pPr>
              <w:spacing w:after="0"/>
              <w:rPr>
                <w:sz w:val="18"/>
                <w:szCs w:val="18"/>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5"/>
              </w:rPr>
              <w:t>CHESS Depositary Interests (“</w:t>
            </w:r>
            <w:r>
              <w:rPr>
                <w:rFonts w:ascii="Arial" w:cs="Arial" w:eastAsia="Arial" w:hAnsi="Arial"/>
                <w:sz w:val="18"/>
                <w:szCs w:val="18"/>
                <w:b w:val="1"/>
                <w:bCs w:val="1"/>
                <w:color w:val="auto"/>
                <w:w w:val="95"/>
              </w:rPr>
              <w:t>Kirkland CDIs</w:t>
            </w:r>
            <w:r>
              <w:rPr>
                <w:rFonts w:ascii="Arial" w:cs="Arial" w:eastAsia="Arial" w:hAnsi="Arial"/>
                <w:sz w:val="18"/>
                <w:szCs w:val="18"/>
                <w:color w:val="auto"/>
                <w:w w:val="95"/>
              </w:rPr>
              <w:t>”)) (collectively, the “</w:t>
            </w:r>
            <w:r>
              <w:rPr>
                <w:rFonts w:ascii="Arial" w:cs="Arial" w:eastAsia="Arial" w:hAnsi="Arial"/>
                <w:sz w:val="18"/>
                <w:szCs w:val="18"/>
                <w:b w:val="1"/>
                <w:bCs w:val="1"/>
                <w:color w:val="auto"/>
                <w:w w:val="95"/>
              </w:rPr>
              <w:t>Kirkland Shares</w:t>
            </w:r>
            <w:r>
              <w:rPr>
                <w:rFonts w:ascii="Arial" w:cs="Arial" w:eastAsia="Arial" w:hAnsi="Arial"/>
                <w:sz w:val="18"/>
                <w:szCs w:val="18"/>
                <w:color w:val="auto"/>
                <w:w w:val="95"/>
              </w:rPr>
              <w:t>”) and, in consideration therefor, former holders</w:t>
            </w:r>
          </w:p>
        </w:tc>
      </w:tr>
      <w:tr>
        <w:trPr>
          <w:trHeight w:val="216"/>
        </w:trPr>
        <w:tc>
          <w:tcPr>
            <w:tcW w:w="960" w:type="dxa"/>
            <w:vAlign w:val="bottom"/>
          </w:tcPr>
          <w:p>
            <w:pPr>
              <w:spacing w:after="0"/>
              <w:rPr>
                <w:sz w:val="18"/>
                <w:szCs w:val="18"/>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b w:val="1"/>
                <w:bCs w:val="1"/>
                <w:color w:val="auto"/>
                <w:w w:val="95"/>
              </w:rPr>
              <w:t>Kirkland Shareholders</w:t>
            </w:r>
            <w:r>
              <w:rPr>
                <w:rFonts w:ascii="Arial" w:cs="Arial" w:eastAsia="Arial" w:hAnsi="Arial"/>
                <w:sz w:val="18"/>
                <w:szCs w:val="18"/>
                <w:color w:val="auto"/>
                <w:w w:val="95"/>
              </w:rPr>
              <w:t>”) of Kirkland Shares received 0.7935 (the “</w:t>
            </w:r>
            <w:r>
              <w:rPr>
                <w:rFonts w:ascii="Arial" w:cs="Arial" w:eastAsia="Arial" w:hAnsi="Arial"/>
                <w:sz w:val="18"/>
                <w:szCs w:val="18"/>
                <w:b w:val="1"/>
                <w:bCs w:val="1"/>
                <w:color w:val="auto"/>
                <w:w w:val="95"/>
              </w:rPr>
              <w:t>Exchange Ratio</w:t>
            </w:r>
            <w:r>
              <w:rPr>
                <w:rFonts w:ascii="Arial" w:cs="Arial" w:eastAsia="Arial" w:hAnsi="Arial"/>
                <w:sz w:val="18"/>
                <w:szCs w:val="18"/>
                <w:color w:val="auto"/>
                <w:w w:val="95"/>
              </w:rPr>
              <w:t>”) of a common share of Agnico Eagle (each</w:t>
            </w:r>
          </w:p>
        </w:tc>
      </w:tr>
      <w:tr>
        <w:trPr>
          <w:trHeight w:val="220"/>
        </w:trPr>
        <w:tc>
          <w:tcPr>
            <w:tcW w:w="960" w:type="dxa"/>
            <w:vAlign w:val="bottom"/>
          </w:tcPr>
          <w:p>
            <w:pPr>
              <w:spacing w:after="0"/>
              <w:rPr>
                <w:sz w:val="19"/>
                <w:szCs w:val="19"/>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2"/>
              </w:rPr>
              <w:t>whole share, an “</w:t>
            </w:r>
            <w:r>
              <w:rPr>
                <w:rFonts w:ascii="Arial" w:cs="Arial" w:eastAsia="Arial" w:hAnsi="Arial"/>
                <w:sz w:val="18"/>
                <w:szCs w:val="18"/>
                <w:b w:val="1"/>
                <w:bCs w:val="1"/>
                <w:color w:val="auto"/>
                <w:w w:val="92"/>
              </w:rPr>
              <w:t>Agnico Share</w:t>
            </w:r>
            <w:r>
              <w:rPr>
                <w:rFonts w:ascii="Arial" w:cs="Arial" w:eastAsia="Arial" w:hAnsi="Arial"/>
                <w:sz w:val="18"/>
                <w:szCs w:val="18"/>
                <w:color w:val="auto"/>
                <w:w w:val="92"/>
              </w:rPr>
              <w:t>”) for each Kirkland Share held immediately prior to the effective time of the Arrangement. No fractional</w:t>
            </w:r>
          </w:p>
        </w:tc>
      </w:tr>
      <w:tr>
        <w:trPr>
          <w:trHeight w:val="216"/>
        </w:trPr>
        <w:tc>
          <w:tcPr>
            <w:tcW w:w="960" w:type="dxa"/>
            <w:vAlign w:val="bottom"/>
          </w:tcPr>
          <w:p>
            <w:pPr>
              <w:spacing w:after="0"/>
              <w:rPr>
                <w:sz w:val="18"/>
                <w:szCs w:val="18"/>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3"/>
              </w:rPr>
              <w:t>Agnico Shares were issued to Kirkland Shareholders in connection with the Arrangement and the number of Agnico Shares issued in</w:t>
            </w:r>
          </w:p>
        </w:tc>
      </w:tr>
      <w:tr>
        <w:trPr>
          <w:trHeight w:val="216"/>
        </w:trPr>
        <w:tc>
          <w:tcPr>
            <w:tcW w:w="960" w:type="dxa"/>
            <w:vAlign w:val="bottom"/>
          </w:tcPr>
          <w:p>
            <w:pPr>
              <w:spacing w:after="0"/>
              <w:rPr>
                <w:sz w:val="18"/>
                <w:szCs w:val="18"/>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w w:val="92"/>
              </w:rPr>
              <w:t>connection with the Arrangement was rounded down to the nearest whole Agnico Share in the event that any Kirkland Shareholder was</w:t>
            </w:r>
          </w:p>
        </w:tc>
      </w:tr>
      <w:tr>
        <w:trPr>
          <w:trHeight w:val="230"/>
        </w:trPr>
        <w:tc>
          <w:tcPr>
            <w:tcW w:w="960" w:type="dxa"/>
            <w:vAlign w:val="bottom"/>
          </w:tcPr>
          <w:p>
            <w:pPr>
              <w:spacing w:after="0"/>
              <w:rPr>
                <w:sz w:val="20"/>
                <w:szCs w:val="20"/>
                <w:color w:val="auto"/>
              </w:rPr>
            </w:pPr>
          </w:p>
        </w:tc>
        <w:tc>
          <w:tcPr>
            <w:tcW w:w="10280" w:type="dxa"/>
            <w:vAlign w:val="bottom"/>
          </w:tcPr>
          <w:p>
            <w:pPr>
              <w:ind w:left="340"/>
              <w:spacing w:after="0"/>
              <w:rPr>
                <w:sz w:val="20"/>
                <w:szCs w:val="20"/>
                <w:color w:val="auto"/>
              </w:rPr>
            </w:pPr>
            <w:r>
              <w:rPr>
                <w:rFonts w:ascii="Arial" w:cs="Arial" w:eastAsia="Arial" w:hAnsi="Arial"/>
                <w:sz w:val="18"/>
                <w:szCs w:val="18"/>
                <w:color w:val="auto"/>
              </w:rPr>
              <w:t>otherwise entitled to a fractional share representing less than a whole Agnico Share.</w:t>
            </w:r>
          </w:p>
        </w:tc>
      </w:tr>
      <w:tr>
        <w:trPr>
          <w:trHeight w:val="675"/>
        </w:trPr>
        <w:tc>
          <w:tcPr>
            <w:tcW w:w="960" w:type="dxa"/>
            <w:vAlign w:val="bottom"/>
            <w:tcBorders>
              <w:bottom w:val="single" w:sz="8" w:color="auto"/>
            </w:tcBorders>
          </w:tcPr>
          <w:p>
            <w:pPr>
              <w:spacing w:after="0"/>
              <w:rPr>
                <w:sz w:val="24"/>
                <w:szCs w:val="24"/>
                <w:color w:val="auto"/>
              </w:rPr>
            </w:pPr>
          </w:p>
        </w:tc>
        <w:tc>
          <w:tcPr>
            <w:tcW w:w="10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55"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color w:val="auto"/>
        </w:rPr>
        <w:t xml:space="preserve">- </w:t>
      </w:r>
      <w:r>
        <w:rPr>
          <w:rFonts w:ascii="Arial" w:cs="Arial" w:eastAsia="Arial" w:hAnsi="Arial"/>
          <w:sz w:val="17"/>
          <w:szCs w:val="17"/>
          <w:color w:val="auto"/>
        </w:rPr>
        <w:t>2</w:t>
      </w:r>
      <w:r>
        <w:rPr>
          <w:rFonts w:ascii="Arial" w:cs="Arial" w:eastAsia="Arial" w:hAnsi="Arial"/>
          <w:sz w:val="22"/>
          <w:szCs w:val="22"/>
          <w:color w:val="auto"/>
        </w:rPr>
        <w:t xml:space="preserve"> -</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18"/>
                <w:szCs w:val="18"/>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7"/>
              </w:rPr>
              <w:t>As a result of the completion of the Arrangement, Kirkland became a wholly-owned subsidiary of Agnico Eagle. Agnico Eagle will</w:t>
            </w:r>
          </w:p>
        </w:tc>
      </w:tr>
      <w:tr>
        <w:trPr>
          <w:trHeight w:val="212"/>
        </w:trPr>
        <w:tc>
          <w:tcPr>
            <w:tcW w:w="1040" w:type="dxa"/>
            <w:vAlign w:val="bottom"/>
          </w:tcPr>
          <w:p>
            <w:pPr>
              <w:spacing w:after="0"/>
              <w:rPr>
                <w:sz w:val="18"/>
                <w:szCs w:val="18"/>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3"/>
              </w:rPr>
              <w:t>continue as Agnico Eagle Mines Limited, headquartered at Agnico Eagle’s existing head office and will remain listed for trading on the</w:t>
            </w:r>
          </w:p>
        </w:tc>
      </w:tr>
      <w:tr>
        <w:trPr>
          <w:trHeight w:val="220"/>
        </w:trPr>
        <w:tc>
          <w:tcPr>
            <w:tcW w:w="1040" w:type="dxa"/>
            <w:vAlign w:val="bottom"/>
          </w:tcPr>
          <w:p>
            <w:pPr>
              <w:spacing w:after="0"/>
              <w:rPr>
                <w:sz w:val="19"/>
                <w:szCs w:val="19"/>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3"/>
              </w:rPr>
              <w:t>Toronto Stock Exchange (“</w:t>
            </w:r>
            <w:r>
              <w:rPr>
                <w:rFonts w:ascii="Arial" w:cs="Arial" w:eastAsia="Arial" w:hAnsi="Arial"/>
                <w:sz w:val="18"/>
                <w:szCs w:val="18"/>
                <w:b w:val="1"/>
                <w:bCs w:val="1"/>
                <w:color w:val="auto"/>
                <w:w w:val="93"/>
              </w:rPr>
              <w:t>TSX</w:t>
            </w:r>
            <w:r>
              <w:rPr>
                <w:rFonts w:ascii="Arial" w:cs="Arial" w:eastAsia="Arial" w:hAnsi="Arial"/>
                <w:sz w:val="18"/>
                <w:szCs w:val="18"/>
                <w:color w:val="auto"/>
                <w:w w:val="93"/>
              </w:rPr>
              <w:t>”) and New York Stock Exchange (“</w:t>
            </w:r>
            <w:r>
              <w:rPr>
                <w:rFonts w:ascii="Arial" w:cs="Arial" w:eastAsia="Arial" w:hAnsi="Arial"/>
                <w:sz w:val="18"/>
                <w:szCs w:val="18"/>
                <w:b w:val="1"/>
                <w:bCs w:val="1"/>
                <w:color w:val="auto"/>
                <w:w w:val="93"/>
              </w:rPr>
              <w:t>NYSE</w:t>
            </w:r>
            <w:r>
              <w:rPr>
                <w:rFonts w:ascii="Arial" w:cs="Arial" w:eastAsia="Arial" w:hAnsi="Arial"/>
                <w:sz w:val="18"/>
                <w:szCs w:val="18"/>
                <w:color w:val="auto"/>
                <w:w w:val="93"/>
              </w:rPr>
              <w:t>”) under the ticker “AEM”. In aggregate, Agnico Eagle issued</w:t>
            </w:r>
          </w:p>
        </w:tc>
      </w:tr>
      <w:tr>
        <w:trPr>
          <w:trHeight w:val="216"/>
        </w:trPr>
        <w:tc>
          <w:tcPr>
            <w:tcW w:w="1040" w:type="dxa"/>
            <w:vAlign w:val="bottom"/>
          </w:tcPr>
          <w:p>
            <w:pPr>
              <w:spacing w:after="0"/>
              <w:rPr>
                <w:sz w:val="18"/>
                <w:szCs w:val="18"/>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3"/>
              </w:rPr>
              <w:t>approximately 209,274,263 Agnico Shares under the Arrangement to former Kirkland Shareholders as consideration for their Kirkland</w:t>
            </w:r>
          </w:p>
        </w:tc>
      </w:tr>
      <w:tr>
        <w:trPr>
          <w:trHeight w:val="230"/>
        </w:trPr>
        <w:tc>
          <w:tcPr>
            <w:tcW w:w="1040" w:type="dxa"/>
            <w:vAlign w:val="bottom"/>
          </w:tcPr>
          <w:p>
            <w:pPr>
              <w:spacing w:after="0"/>
              <w:rPr>
                <w:sz w:val="20"/>
                <w:szCs w:val="20"/>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Shares.</w:t>
            </w:r>
          </w:p>
        </w:tc>
      </w:tr>
      <w:tr>
        <w:trPr>
          <w:trHeight w:val="418"/>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5"/>
              </w:rPr>
              <w:t>Effective on closing of the Arrangement, the board of directors of Agnico Eagle consists of: Leona Aglukkaq, Sean Boyd (Executive</w:t>
            </w:r>
          </w:p>
        </w:tc>
      </w:tr>
      <w:tr>
        <w:trPr>
          <w:trHeight w:val="216"/>
        </w:trPr>
        <w:tc>
          <w:tcPr>
            <w:tcW w:w="1040" w:type="dxa"/>
            <w:vAlign w:val="bottom"/>
          </w:tcPr>
          <w:p>
            <w:pPr>
              <w:spacing w:after="0"/>
              <w:rPr>
                <w:sz w:val="18"/>
                <w:szCs w:val="18"/>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2"/>
              </w:rPr>
              <w:t>Chair), Martine Celej, Robert Gemmell, Jonathan Gill, Peter Grosskopf, Arnold Klassen, Elizabeth Lewis-Gray, Anthony Makuch (Chief</w:t>
            </w:r>
          </w:p>
        </w:tc>
      </w:tr>
      <w:tr>
        <w:trPr>
          <w:trHeight w:val="230"/>
        </w:trPr>
        <w:tc>
          <w:tcPr>
            <w:tcW w:w="1040" w:type="dxa"/>
            <w:vAlign w:val="bottom"/>
          </w:tcPr>
          <w:p>
            <w:pPr>
              <w:spacing w:after="0"/>
              <w:rPr>
                <w:sz w:val="20"/>
                <w:szCs w:val="20"/>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Executive Officer), Deborah McCombe, Jeffrey Parr (Vice-Chair), J. Merfyn Roberts and Jamie Sokalsky (Lead Director).</w:t>
            </w:r>
          </w:p>
        </w:tc>
      </w:tr>
      <w:tr>
        <w:trPr>
          <w:trHeight w:val="418"/>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4"/>
              </w:rPr>
              <w:t>In addition, effective on closing of the Arrangement, Agnico Eagle’s executive management team includes Sean Boyd, as Executive</w:t>
            </w:r>
          </w:p>
        </w:tc>
      </w:tr>
      <w:tr>
        <w:trPr>
          <w:trHeight w:val="230"/>
        </w:trPr>
        <w:tc>
          <w:tcPr>
            <w:tcW w:w="1040" w:type="dxa"/>
            <w:vAlign w:val="bottom"/>
          </w:tcPr>
          <w:p>
            <w:pPr>
              <w:spacing w:after="0"/>
              <w:rPr>
                <w:sz w:val="20"/>
                <w:szCs w:val="20"/>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Chair, Anthony Makuch, as Chief Executive Officer and Ammar Al-Joundi, as President.</w:t>
            </w:r>
          </w:p>
        </w:tc>
      </w:tr>
      <w:tr>
        <w:trPr>
          <w:trHeight w:val="418"/>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w w:val="93"/>
              </w:rPr>
              <w:t>Full details of the Arrangement and certain other matters are set out in the joint management information circular of Agnico Eagle and</w:t>
            </w:r>
          </w:p>
        </w:tc>
      </w:tr>
      <w:tr>
        <w:trPr>
          <w:trHeight w:val="190"/>
        </w:trPr>
        <w:tc>
          <w:tcPr>
            <w:tcW w:w="1040" w:type="dxa"/>
            <w:vAlign w:val="bottom"/>
          </w:tcPr>
          <w:p>
            <w:pPr>
              <w:spacing w:after="0"/>
              <w:rPr>
                <w:sz w:val="16"/>
                <w:szCs w:val="16"/>
                <w:color w:val="auto"/>
              </w:rPr>
            </w:pPr>
          </w:p>
        </w:tc>
        <w:tc>
          <w:tcPr>
            <w:tcW w:w="10200" w:type="dxa"/>
            <w:vAlign w:val="bottom"/>
            <w:gridSpan w:val="5"/>
          </w:tcPr>
          <w:p>
            <w:pPr>
              <w:ind w:left="260"/>
              <w:spacing w:after="0" w:line="190" w:lineRule="exact"/>
              <w:rPr>
                <w:sz w:val="20"/>
                <w:szCs w:val="20"/>
                <w:color w:val="auto"/>
              </w:rPr>
            </w:pPr>
            <w:r>
              <w:rPr>
                <w:rFonts w:ascii="Arial" w:cs="Arial" w:eastAsia="Arial" w:hAnsi="Arial"/>
                <w:sz w:val="18"/>
                <w:szCs w:val="18"/>
                <w:color w:val="auto"/>
                <w:w w:val="92"/>
              </w:rPr>
              <w:t>Kirkland dated October 29, 2021, a copy of which has been filed under Agnico Eagle’s issuer profile on SEDAR at www.sedar.com and</w:t>
            </w:r>
          </w:p>
        </w:tc>
      </w:tr>
      <w:tr>
        <w:trPr>
          <w:trHeight w:val="196"/>
        </w:trPr>
        <w:tc>
          <w:tcPr>
            <w:tcW w:w="1040" w:type="dxa"/>
            <w:vAlign w:val="bottom"/>
          </w:tcPr>
          <w:p>
            <w:pPr>
              <w:spacing w:after="0"/>
              <w:rPr>
                <w:sz w:val="17"/>
                <w:szCs w:val="17"/>
                <w:color w:val="auto"/>
              </w:rPr>
            </w:pPr>
          </w:p>
        </w:tc>
        <w:tc>
          <w:tcPr>
            <w:tcW w:w="8740" w:type="dxa"/>
            <w:vAlign w:val="bottom"/>
            <w:gridSpan w:val="3"/>
          </w:tcPr>
          <w:p>
            <w:pPr>
              <w:ind w:left="260"/>
              <w:spacing w:after="0" w:line="196" w:lineRule="exact"/>
              <w:rPr>
                <w:sz w:val="20"/>
                <w:szCs w:val="20"/>
                <w:color w:val="auto"/>
              </w:rPr>
            </w:pPr>
            <w:r>
              <w:rPr>
                <w:rFonts w:ascii="Arial" w:cs="Arial" w:eastAsia="Arial" w:hAnsi="Arial"/>
                <w:sz w:val="18"/>
                <w:szCs w:val="18"/>
                <w:color w:val="auto"/>
              </w:rPr>
              <w:t>EDGAR at www.sec.gov.</w:t>
            </w:r>
          </w:p>
        </w:tc>
        <w:tc>
          <w:tcPr>
            <w:tcW w:w="1140" w:type="dxa"/>
            <w:vAlign w:val="bottom"/>
            <w:tcBorders>
              <w:top w:val="single" w:sz="8" w:color="auto"/>
            </w:tcBorders>
          </w:tcPr>
          <w:p>
            <w:pPr>
              <w:spacing w:after="0"/>
              <w:rPr>
                <w:sz w:val="17"/>
                <w:szCs w:val="17"/>
                <w:color w:val="auto"/>
              </w:rPr>
            </w:pPr>
          </w:p>
        </w:tc>
        <w:tc>
          <w:tcPr>
            <w:tcW w:w="320" w:type="dxa"/>
            <w:vAlign w:val="bottom"/>
          </w:tcPr>
          <w:p>
            <w:pPr>
              <w:spacing w:after="0"/>
              <w:rPr>
                <w:sz w:val="17"/>
                <w:szCs w:val="17"/>
                <w:color w:val="auto"/>
              </w:rPr>
            </w:pPr>
          </w:p>
        </w:tc>
      </w:tr>
      <w:tr>
        <w:trPr>
          <w:trHeight w:val="20"/>
        </w:trPr>
        <w:tc>
          <w:tcPr>
            <w:tcW w:w="10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8120" w:type="dxa"/>
            <w:vAlign w:val="bottom"/>
            <w:gridSpan w:val="3"/>
          </w:tcPr>
          <w:p>
            <w:pPr>
              <w:spacing w:after="0" w:line="20" w:lineRule="exact"/>
              <w:rPr>
                <w:sz w:val="1"/>
                <w:szCs w:val="1"/>
                <w:color w:val="auto"/>
              </w:rPr>
            </w:pPr>
          </w:p>
        </w:tc>
      </w:tr>
      <w:tr>
        <w:trPr>
          <w:trHeight w:val="453"/>
        </w:trPr>
        <w:tc>
          <w:tcPr>
            <w:tcW w:w="1040" w:type="dxa"/>
            <w:vAlign w:val="bottom"/>
          </w:tcPr>
          <w:p>
            <w:pPr>
              <w:spacing w:after="0"/>
              <w:rPr>
                <w:sz w:val="20"/>
                <w:szCs w:val="20"/>
                <w:color w:val="auto"/>
              </w:rPr>
            </w:pPr>
            <w:r>
              <w:rPr>
                <w:rFonts w:ascii="Arial" w:cs="Arial" w:eastAsia="Arial" w:hAnsi="Arial"/>
                <w:sz w:val="18"/>
                <w:szCs w:val="18"/>
                <w:b w:val="1"/>
                <w:bCs w:val="1"/>
                <w:color w:val="auto"/>
              </w:rPr>
              <w:t>ITEM 5.2</w:t>
            </w:r>
          </w:p>
        </w:tc>
        <w:tc>
          <w:tcPr>
            <w:tcW w:w="10200" w:type="dxa"/>
            <w:vAlign w:val="bottom"/>
            <w:gridSpan w:val="5"/>
          </w:tcPr>
          <w:p>
            <w:pPr>
              <w:ind w:left="260"/>
              <w:spacing w:after="0"/>
              <w:rPr>
                <w:sz w:val="20"/>
                <w:szCs w:val="20"/>
                <w:color w:val="auto"/>
              </w:rPr>
            </w:pPr>
            <w:r>
              <w:rPr>
                <w:rFonts w:ascii="Arial" w:cs="Arial" w:eastAsia="Arial" w:hAnsi="Arial"/>
                <w:sz w:val="18"/>
                <w:szCs w:val="18"/>
                <w:b w:val="1"/>
                <w:bCs w:val="1"/>
                <w:color w:val="auto"/>
              </w:rPr>
              <w:t>Disclosure for Restructuring Transactions</w:t>
            </w:r>
          </w:p>
        </w:tc>
      </w:tr>
      <w:tr>
        <w:trPr>
          <w:trHeight w:val="432"/>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Not applicable.</w:t>
            </w:r>
          </w:p>
        </w:tc>
      </w:tr>
      <w:tr>
        <w:trPr>
          <w:trHeight w:val="432"/>
        </w:trPr>
        <w:tc>
          <w:tcPr>
            <w:tcW w:w="104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10200" w:type="dxa"/>
            <w:vAlign w:val="bottom"/>
            <w:gridSpan w:val="5"/>
          </w:tcPr>
          <w:p>
            <w:pPr>
              <w:ind w:left="260"/>
              <w:spacing w:after="0"/>
              <w:rPr>
                <w:sz w:val="20"/>
                <w:szCs w:val="20"/>
                <w:color w:val="auto"/>
              </w:rPr>
            </w:pPr>
            <w:r>
              <w:rPr>
                <w:rFonts w:ascii="Arial" w:cs="Arial" w:eastAsia="Arial" w:hAnsi="Arial"/>
                <w:sz w:val="18"/>
                <w:szCs w:val="18"/>
                <w:b w:val="1"/>
                <w:bCs w:val="1"/>
                <w:color w:val="auto"/>
              </w:rPr>
              <w:t>Reliance on subsection 7.1(2) of National Instrument 51-102</w:t>
            </w:r>
          </w:p>
        </w:tc>
      </w:tr>
      <w:tr>
        <w:trPr>
          <w:trHeight w:val="432"/>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Not applicable.</w:t>
            </w:r>
          </w:p>
        </w:tc>
      </w:tr>
      <w:tr>
        <w:trPr>
          <w:trHeight w:val="432"/>
        </w:trPr>
        <w:tc>
          <w:tcPr>
            <w:tcW w:w="104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10200" w:type="dxa"/>
            <w:vAlign w:val="bottom"/>
            <w:gridSpan w:val="5"/>
          </w:tcPr>
          <w:p>
            <w:pPr>
              <w:ind w:left="260"/>
              <w:spacing w:after="0"/>
              <w:rPr>
                <w:sz w:val="20"/>
                <w:szCs w:val="20"/>
                <w:color w:val="auto"/>
              </w:rPr>
            </w:pPr>
            <w:r>
              <w:rPr>
                <w:rFonts w:ascii="Arial" w:cs="Arial" w:eastAsia="Arial" w:hAnsi="Arial"/>
                <w:sz w:val="18"/>
                <w:szCs w:val="18"/>
                <w:b w:val="1"/>
                <w:bCs w:val="1"/>
                <w:color w:val="auto"/>
              </w:rPr>
              <w:t>Omitted Information</w:t>
            </w:r>
          </w:p>
        </w:tc>
      </w:tr>
      <w:tr>
        <w:trPr>
          <w:trHeight w:val="432"/>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None.</w:t>
            </w:r>
          </w:p>
        </w:tc>
      </w:tr>
      <w:tr>
        <w:trPr>
          <w:trHeight w:val="432"/>
        </w:trPr>
        <w:tc>
          <w:tcPr>
            <w:tcW w:w="104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10200" w:type="dxa"/>
            <w:vAlign w:val="bottom"/>
            <w:gridSpan w:val="5"/>
          </w:tcPr>
          <w:p>
            <w:pPr>
              <w:ind w:left="260"/>
              <w:spacing w:after="0"/>
              <w:rPr>
                <w:sz w:val="20"/>
                <w:szCs w:val="20"/>
                <w:color w:val="auto"/>
              </w:rPr>
            </w:pPr>
            <w:r>
              <w:rPr>
                <w:rFonts w:ascii="Arial" w:cs="Arial" w:eastAsia="Arial" w:hAnsi="Arial"/>
                <w:sz w:val="18"/>
                <w:szCs w:val="18"/>
                <w:b w:val="1"/>
                <w:bCs w:val="1"/>
                <w:color w:val="auto"/>
              </w:rPr>
              <w:t>Executive Officer</w:t>
            </w:r>
          </w:p>
        </w:tc>
      </w:tr>
      <w:tr>
        <w:trPr>
          <w:trHeight w:val="432"/>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For further information, please contact:</w:t>
            </w:r>
          </w:p>
        </w:tc>
      </w:tr>
      <w:tr>
        <w:trPr>
          <w:trHeight w:val="418"/>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Chris Vollmershausen,</w:t>
            </w:r>
          </w:p>
        </w:tc>
      </w:tr>
      <w:tr>
        <w:trPr>
          <w:trHeight w:val="216"/>
        </w:trPr>
        <w:tc>
          <w:tcPr>
            <w:tcW w:w="1040" w:type="dxa"/>
            <w:vAlign w:val="bottom"/>
          </w:tcPr>
          <w:p>
            <w:pPr>
              <w:spacing w:after="0"/>
              <w:rPr>
                <w:sz w:val="18"/>
                <w:szCs w:val="18"/>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Senior Vice President, Legal, General Counsel &amp; Corporate Secretary</w:t>
            </w:r>
          </w:p>
        </w:tc>
      </w:tr>
      <w:tr>
        <w:trPr>
          <w:trHeight w:val="230"/>
        </w:trPr>
        <w:tc>
          <w:tcPr>
            <w:tcW w:w="1040" w:type="dxa"/>
            <w:vAlign w:val="bottom"/>
          </w:tcPr>
          <w:p>
            <w:pPr>
              <w:spacing w:after="0"/>
              <w:rPr>
                <w:sz w:val="20"/>
                <w:szCs w:val="20"/>
                <w:color w:val="auto"/>
              </w:rPr>
            </w:pPr>
          </w:p>
        </w:tc>
        <w:tc>
          <w:tcPr>
            <w:tcW w:w="2080" w:type="dxa"/>
            <w:vAlign w:val="bottom"/>
            <w:gridSpan w:val="2"/>
          </w:tcPr>
          <w:p>
            <w:pPr>
              <w:ind w:left="260"/>
              <w:spacing w:after="0"/>
              <w:rPr>
                <w:sz w:val="20"/>
                <w:szCs w:val="20"/>
                <w:color w:val="auto"/>
              </w:rPr>
            </w:pPr>
            <w:r>
              <w:rPr>
                <w:rFonts w:ascii="Arial" w:cs="Arial" w:eastAsia="Arial" w:hAnsi="Arial"/>
                <w:sz w:val="18"/>
                <w:szCs w:val="18"/>
                <w:color w:val="auto"/>
              </w:rPr>
              <w:t>(416) 947-1212</w:t>
            </w:r>
          </w:p>
        </w:tc>
        <w:tc>
          <w:tcPr>
            <w:tcW w:w="66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r>
      <w:tr>
        <w:trPr>
          <w:trHeight w:val="432"/>
        </w:trPr>
        <w:tc>
          <w:tcPr>
            <w:tcW w:w="1040" w:type="dxa"/>
            <w:vAlign w:val="bottom"/>
          </w:tcPr>
          <w:p>
            <w:pPr>
              <w:spacing w:after="0"/>
              <w:rPr>
                <w:sz w:val="20"/>
                <w:szCs w:val="20"/>
                <w:color w:val="auto"/>
              </w:rPr>
            </w:pPr>
            <w:r>
              <w:rPr>
                <w:rFonts w:ascii="Arial" w:cs="Arial" w:eastAsia="Arial" w:hAnsi="Arial"/>
                <w:sz w:val="18"/>
                <w:szCs w:val="18"/>
                <w:b w:val="1"/>
                <w:bCs w:val="1"/>
                <w:color w:val="auto"/>
              </w:rPr>
              <w:t>ITEM 9</w:t>
            </w:r>
          </w:p>
        </w:tc>
        <w:tc>
          <w:tcPr>
            <w:tcW w:w="10200" w:type="dxa"/>
            <w:vAlign w:val="bottom"/>
            <w:gridSpan w:val="5"/>
          </w:tcPr>
          <w:p>
            <w:pPr>
              <w:ind w:left="260"/>
              <w:spacing w:after="0"/>
              <w:rPr>
                <w:sz w:val="20"/>
                <w:szCs w:val="20"/>
                <w:color w:val="auto"/>
              </w:rPr>
            </w:pPr>
            <w:r>
              <w:rPr>
                <w:rFonts w:ascii="Arial" w:cs="Arial" w:eastAsia="Arial" w:hAnsi="Arial"/>
                <w:sz w:val="18"/>
                <w:szCs w:val="18"/>
                <w:b w:val="1"/>
                <w:bCs w:val="1"/>
                <w:color w:val="auto"/>
              </w:rPr>
              <w:t>Date of Report</w:t>
            </w:r>
          </w:p>
        </w:tc>
      </w:tr>
      <w:tr>
        <w:trPr>
          <w:trHeight w:val="432"/>
        </w:trPr>
        <w:tc>
          <w:tcPr>
            <w:tcW w:w="1040" w:type="dxa"/>
            <w:vAlign w:val="bottom"/>
          </w:tcPr>
          <w:p>
            <w:pPr>
              <w:spacing w:after="0"/>
              <w:rPr>
                <w:sz w:val="24"/>
                <w:szCs w:val="24"/>
                <w:color w:val="auto"/>
              </w:rPr>
            </w:pPr>
          </w:p>
        </w:tc>
        <w:tc>
          <w:tcPr>
            <w:tcW w:w="10200" w:type="dxa"/>
            <w:vAlign w:val="bottom"/>
            <w:gridSpan w:val="5"/>
          </w:tcPr>
          <w:p>
            <w:pPr>
              <w:ind w:left="260"/>
              <w:spacing w:after="0"/>
              <w:rPr>
                <w:sz w:val="20"/>
                <w:szCs w:val="20"/>
                <w:color w:val="auto"/>
              </w:rPr>
            </w:pPr>
            <w:r>
              <w:rPr>
                <w:rFonts w:ascii="Arial" w:cs="Arial" w:eastAsia="Arial" w:hAnsi="Arial"/>
                <w:sz w:val="18"/>
                <w:szCs w:val="18"/>
                <w:color w:val="auto"/>
              </w:rPr>
              <w:t>February 8, 2022.</w:t>
            </w:r>
          </w:p>
        </w:tc>
      </w:tr>
      <w:tr>
        <w:trPr>
          <w:trHeight w:val="675"/>
        </w:trPr>
        <w:tc>
          <w:tcPr>
            <w:tcW w:w="10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66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22"/>
          <w:szCs w:val="22"/>
          <w:color w:val="auto"/>
        </w:rPr>
        <w:t xml:space="preserve">- </w:t>
      </w:r>
      <w:r>
        <w:rPr>
          <w:rFonts w:ascii="Arial" w:cs="Arial" w:eastAsia="Arial" w:hAnsi="Arial"/>
          <w:sz w:val="17"/>
          <w:szCs w:val="17"/>
          <w:color w:val="auto"/>
        </w:rPr>
        <w:t>3</w:t>
      </w:r>
      <w:r>
        <w:rPr>
          <w:rFonts w:ascii="Arial" w:cs="Arial" w:eastAsia="Arial" w:hAnsi="Arial"/>
          <w:sz w:val="22"/>
          <w:szCs w:val="22"/>
          <w:color w:val="auto"/>
        </w:rPr>
        <w:t xml:space="preserve"> -</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The information in this material change report has been prepared as at February 8, 2022. Certain statements in this material change report, referred to herein as “forward-looking statements”, may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“anticipate”, “could”, “expect”, “may”, “would” or the negative of such terms and similar expressions.</w:t>
      </w:r>
    </w:p>
    <w:p>
      <w:pPr>
        <w:spacing w:after="0" w:line="17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i w:val="1"/>
          <w:iCs w:val="1"/>
          <w:color w:val="auto"/>
        </w:rPr>
        <w:t>Forward-looking statements are necessarily based upon a number of factors and assumptions that, while considered reasonable by Agnico Eagle as of the date of such statements, are inherently subject to significant business, economic, operational, and other risks, uncertainties, contingencies and other factors, including those described below, which could cause actual results, performance or achievements of Agnico Eagle to be materially different from results, performance or achievements expressed or implied by such forward-looking statements and, as such, undue reliance must not be placed on them. Forward-looking statements are also based on numerous material factors and assumptions. Many factors, known and unknown, could cause actual results to be materially different from those expressed or implied by such forward-looking statements. Such risks include, but are not limited to, the risk factors set out in the joint management information circular of Agnico Eagle and Kirkland dated October 29, 2021, including under the heading “Risk Factors”. Readers are cautioned not to place undue reliance on these forward-looking statements, which speak only as of the date made. Other than as required by law, Agnico Eagle does not intend, and does not assume any obligation, to update these forward-looking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22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15" Type="http://schemas.openxmlformats.org/officeDocument/2006/relationships/hyperlink" Target="http://www.sec.gov/Archives/edgar/data/2809/000104746919006399/a2240119zf-10.htm" TargetMode="External"/><Relationship Id="rId16" Type="http://schemas.openxmlformats.org/officeDocument/2006/relationships/hyperlink" Target="http://www.sec.gov/Archives/edgar/data/2809/000110465920110869/tm2031780d1_f3.htm" TargetMode="External"/><Relationship Id="rId17" Type="http://schemas.openxmlformats.org/officeDocument/2006/relationships/hyperlink" Target="http://www.sec.gov/Archives/edgar/data/2809/000110465921059117/tm2114502d1_s8pos.htm" TargetMode="External"/><Relationship Id="rId18" Type="http://schemas.openxmlformats.org/officeDocument/2006/relationships/hyperlink" Target="http://www.sec.gov/Archives/edgar/data/2809/000110465921059122/tm2114502d2_s8pos.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2022-02-11T23:19:54Z</dcterms:created>
  <dcterms:modified xsi:type="dcterms:W3CDTF">2022-02-11T23:19:54Z</dcterms:modified>
</cp:coreProperties>
</file>