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the month ; November, 2012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Commission File Number</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Form 20-F x Form 40-F o</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26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EXHIBITS</w:t>
      </w:r>
    </w:p>
    <w:p>
      <w:pPr>
        <w:spacing w:after="0" w:line="221" w:lineRule="exact"/>
        <w:rPr>
          <w:sz w:val="24"/>
          <w:szCs w:val="24"/>
          <w:color w:val="auto"/>
        </w:rPr>
      </w:pPr>
    </w:p>
    <w:p>
      <w:pPr>
        <w:spacing w:after="0"/>
        <w:tabs>
          <w:tab w:leader="none" w:pos="5840" w:val="left"/>
        </w:tabs>
        <w:rPr>
          <w:sz w:val="20"/>
          <w:szCs w:val="20"/>
          <w:color w:val="auto"/>
        </w:rPr>
      </w:pPr>
      <w:r>
        <w:rPr>
          <w:rFonts w:ascii="Arial" w:cs="Arial" w:eastAsia="Arial" w:hAnsi="Arial"/>
          <w:sz w:val="14"/>
          <w:szCs w:val="14"/>
          <w:b w:val="1"/>
          <w:bCs w:val="1"/>
          <w:color w:val="auto"/>
        </w:rPr>
        <w:t>Exhibit No.</w:t>
      </w:r>
      <w:r>
        <w:rPr>
          <w:sz w:val="20"/>
          <w:szCs w:val="20"/>
          <w:color w:val="auto"/>
        </w:rPr>
        <w:tab/>
      </w:r>
      <w:r>
        <w:rPr>
          <w:rFonts w:ascii="Arial" w:cs="Arial" w:eastAsia="Arial" w:hAnsi="Arial"/>
          <w:sz w:val="13"/>
          <w:szCs w:val="13"/>
          <w:b w:val="1"/>
          <w:bCs w:val="1"/>
          <w:color w:val="auto"/>
        </w:rPr>
        <w:t>Exhibit Description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5" w:lineRule="exact"/>
        <w:rPr>
          <w:sz w:val="24"/>
          <w:szCs w:val="24"/>
          <w:color w:val="auto"/>
        </w:rPr>
      </w:pPr>
    </w:p>
    <w:p>
      <w:pPr>
        <w:ind w:left="1520" w:hanging="922"/>
        <w:spacing w:after="0"/>
        <w:tabs>
          <w:tab w:leader="none" w:pos="15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Press Release dated November 1, 2012 announcing that the Corporation files Technical Report on Goldex Mine project.</w:t>
      </w:r>
    </w:p>
    <w:p>
      <w:pPr>
        <w:spacing w:after="0" w:line="8" w:lineRule="exact"/>
        <w:rPr>
          <w:sz w:val="24"/>
          <w:szCs w:val="24"/>
          <w:color w:val="auto"/>
        </w:rPr>
      </w:pPr>
    </w:p>
    <w:p>
      <w:pPr>
        <w:ind w:left="1520" w:hanging="922"/>
        <w:spacing w:after="0"/>
        <w:tabs>
          <w:tab w:leader="none" w:pos="1520" w:val="left"/>
        </w:tabs>
        <w:numPr>
          <w:ilvl w:val="0"/>
          <w:numId w:val="2"/>
        </w:numPr>
        <w:rPr>
          <w:rFonts w:ascii="Arial" w:cs="Arial" w:eastAsia="Arial" w:hAnsi="Arial"/>
          <w:sz w:val="18"/>
          <w:szCs w:val="18"/>
          <w:color w:val="auto"/>
        </w:rPr>
      </w:pPr>
      <w:r>
        <w:rPr>
          <w:rFonts w:ascii="Arial" w:cs="Arial" w:eastAsia="Arial" w:hAnsi="Arial"/>
          <w:sz w:val="18"/>
          <w:szCs w:val="18"/>
          <w:color w:val="auto"/>
        </w:rPr>
        <w:t>Press Release dated November 2, 2012 announcing the Corporation’s Quarterly Dividend of $0.20 per share.</w:t>
      </w:r>
    </w:p>
    <w:p>
      <w:pPr>
        <w:spacing w:after="0" w:line="206" w:lineRule="exact"/>
        <w:rPr>
          <w:rFonts w:ascii="Arial" w:cs="Arial" w:eastAsia="Arial" w:hAnsi="Arial"/>
          <w:sz w:val="18"/>
          <w:szCs w:val="18"/>
          <w:color w:val="auto"/>
        </w:rPr>
      </w:pPr>
    </w:p>
    <w:p>
      <w:pPr>
        <w:ind w:left="5140"/>
        <w:spacing w:after="0"/>
        <w:rPr>
          <w:rFonts w:ascii="Arial" w:cs="Arial" w:eastAsia="Arial" w:hAnsi="Arial"/>
          <w:sz w:val="18"/>
          <w:szCs w:val="18"/>
          <w:color w:val="auto"/>
        </w:rPr>
      </w:pPr>
      <w:r>
        <w:rPr>
          <w:rFonts w:ascii="Arial" w:cs="Arial" w:eastAsia="Arial" w:hAnsi="Arial"/>
          <w:sz w:val="18"/>
          <w:szCs w:val="18"/>
          <w:b w:val="1"/>
          <w:bCs w:val="1"/>
          <w:color w:val="auto"/>
        </w:rPr>
        <w:t>SIGNATURES</w:t>
      </w:r>
    </w:p>
    <w:p>
      <w:pPr>
        <w:spacing w:after="0" w:line="229"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72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5720" w:type="dxa"/>
            <w:vAlign w:val="bottom"/>
            <w:gridSpan w:val="3"/>
          </w:tcPr>
          <w:p>
            <w:pPr>
              <w:spacing w:after="0"/>
              <w:rPr>
                <w:sz w:val="20"/>
                <w:szCs w:val="20"/>
                <w:color w:val="auto"/>
              </w:rPr>
            </w:pPr>
            <w:r>
              <w:rPr>
                <w:rFonts w:ascii="Arial" w:cs="Arial" w:eastAsia="Arial" w:hAnsi="Arial"/>
                <w:sz w:val="18"/>
                <w:szCs w:val="18"/>
                <w:color w:val="auto"/>
              </w:rPr>
              <w:t>AGNICO-EAGLE MINES LIMITED</w:t>
            </w:r>
          </w:p>
        </w:tc>
        <w:tc>
          <w:tcPr>
            <w:tcW w:w="40" w:type="dxa"/>
            <w:vAlign w:val="bottom"/>
          </w:tcPr>
          <w:p>
            <w:pPr>
              <w:spacing w:after="0"/>
              <w:rPr>
                <w:sz w:val="18"/>
                <w:szCs w:val="18"/>
                <w:color w:val="auto"/>
              </w:rPr>
            </w:pPr>
          </w:p>
        </w:tc>
      </w:tr>
      <w:tr>
        <w:trPr>
          <w:trHeight w:val="237"/>
        </w:trPr>
        <w:tc>
          <w:tcPr>
            <w:tcW w:w="372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520" w:type="dxa"/>
            <w:vAlign w:val="bottom"/>
            <w:tcBorders>
              <w:top w:val="single" w:sz="8" w:color="auto"/>
            </w:tcBorders>
          </w:tcPr>
          <w:p>
            <w:pPr>
              <w:spacing w:after="0"/>
              <w:rPr>
                <w:sz w:val="20"/>
                <w:szCs w:val="20"/>
                <w:color w:val="auto"/>
              </w:rPr>
            </w:pPr>
          </w:p>
        </w:tc>
        <w:tc>
          <w:tcPr>
            <w:tcW w:w="222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720" w:type="dxa"/>
            <w:vAlign w:val="bottom"/>
          </w:tcPr>
          <w:p>
            <w:pPr>
              <w:spacing w:after="0"/>
              <w:rPr>
                <w:sz w:val="20"/>
                <w:szCs w:val="20"/>
                <w:color w:val="auto"/>
              </w:rPr>
            </w:pPr>
            <w:r>
              <w:rPr>
                <w:rFonts w:ascii="Arial" w:cs="Arial" w:eastAsia="Arial" w:hAnsi="Arial"/>
                <w:sz w:val="18"/>
                <w:szCs w:val="18"/>
                <w:color w:val="auto"/>
              </w:rPr>
              <w:t>Date: November 2, 2012</w:t>
            </w:r>
          </w:p>
        </w:tc>
        <w:tc>
          <w:tcPr>
            <w:tcW w:w="7700" w:type="dxa"/>
            <w:vAlign w:val="bottom"/>
            <w:gridSpan w:val="4"/>
          </w:tcPr>
          <w:p>
            <w:pPr>
              <w:ind w:left="1980"/>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720" w:type="dxa"/>
            <w:vAlign w:val="bottom"/>
          </w:tcPr>
          <w:p>
            <w:pPr>
              <w:spacing w:after="0"/>
              <w:rPr>
                <w:sz w:val="16"/>
                <w:szCs w:val="16"/>
                <w:color w:val="auto"/>
              </w:rPr>
            </w:pPr>
          </w:p>
        </w:tc>
        <w:tc>
          <w:tcPr>
            <w:tcW w:w="19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20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72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0" w:type="dxa"/>
            <w:vAlign w:val="bottom"/>
            <w:gridSpan w:val="2"/>
          </w:tcPr>
          <w:p>
            <w:pPr>
              <w:spacing w:after="0"/>
              <w:rPr>
                <w:sz w:val="20"/>
                <w:szCs w:val="20"/>
                <w:color w:val="auto"/>
              </w:rPr>
            </w:pPr>
            <w:r>
              <w:rPr>
                <w:rFonts w:ascii="Arial" w:cs="Arial" w:eastAsia="Arial" w:hAnsi="Arial"/>
                <w:sz w:val="18"/>
                <w:szCs w:val="18"/>
                <w:color w:val="auto"/>
              </w:rPr>
              <w:t>General Counsel, Sr. Vice President, Legal</w:t>
            </w:r>
          </w:p>
        </w:tc>
        <w:tc>
          <w:tcPr>
            <w:tcW w:w="40" w:type="dxa"/>
            <w:vAlign w:val="bottom"/>
          </w:tcPr>
          <w:p>
            <w:pPr>
              <w:spacing w:after="0"/>
              <w:rPr>
                <w:sz w:val="18"/>
                <w:szCs w:val="18"/>
                <w:color w:val="auto"/>
              </w:rPr>
            </w:pPr>
          </w:p>
        </w:tc>
      </w:tr>
      <w:tr>
        <w:trPr>
          <w:trHeight w:val="230"/>
        </w:trPr>
        <w:tc>
          <w:tcPr>
            <w:tcW w:w="372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20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720" w:type="dxa"/>
            <w:vAlign w:val="bottom"/>
          </w:tcPr>
          <w:p>
            <w:pPr>
              <w:spacing w:after="0"/>
              <w:rPr>
                <w:sz w:val="24"/>
                <w:szCs w:val="24"/>
                <w:color w:val="auto"/>
              </w:rPr>
            </w:pPr>
          </w:p>
        </w:tc>
        <w:tc>
          <w:tcPr>
            <w:tcW w:w="2500" w:type="dxa"/>
            <w:vAlign w:val="bottom"/>
            <w:gridSpan w:val="2"/>
          </w:tcPr>
          <w:p>
            <w:pPr>
              <w:jc w:val="right"/>
              <w:ind w:right="370"/>
              <w:spacing w:after="0"/>
              <w:rPr>
                <w:sz w:val="20"/>
                <w:szCs w:val="20"/>
                <w:color w:val="auto"/>
              </w:rPr>
            </w:pPr>
            <w:r>
              <w:rPr>
                <w:rFonts w:ascii="Arial" w:cs="Arial" w:eastAsia="Arial" w:hAnsi="Arial"/>
                <w:sz w:val="18"/>
                <w:szCs w:val="18"/>
                <w:color w:val="auto"/>
              </w:rPr>
              <w:t>2</w:t>
            </w:r>
          </w:p>
        </w:tc>
        <w:tc>
          <w:tcPr>
            <w:tcW w:w="222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720" w:type="dxa"/>
            <w:vAlign w:val="bottom"/>
            <w:tcBorders>
              <w:bottom w:val="single" w:sz="8" w:color="010101"/>
            </w:tcBorders>
          </w:tcPr>
          <w:p>
            <w:pPr>
              <w:spacing w:after="0"/>
              <w:rPr>
                <w:sz w:val="11"/>
                <w:szCs w:val="11"/>
                <w:color w:val="auto"/>
              </w:rPr>
            </w:pPr>
          </w:p>
        </w:tc>
        <w:tc>
          <w:tcPr>
            <w:tcW w:w="1980" w:type="dxa"/>
            <w:vAlign w:val="bottom"/>
            <w:tcBorders>
              <w:bottom w:val="single" w:sz="8" w:color="010101"/>
            </w:tcBorders>
          </w:tcPr>
          <w:p>
            <w:pPr>
              <w:spacing w:after="0"/>
              <w:rPr>
                <w:sz w:val="11"/>
                <w:szCs w:val="11"/>
                <w:color w:val="auto"/>
              </w:rPr>
            </w:pPr>
          </w:p>
        </w:tc>
        <w:tc>
          <w:tcPr>
            <w:tcW w:w="520" w:type="dxa"/>
            <w:vAlign w:val="bottom"/>
            <w:tcBorders>
              <w:bottom w:val="single" w:sz="8" w:color="010101"/>
            </w:tcBorders>
          </w:tcPr>
          <w:p>
            <w:pPr>
              <w:spacing w:after="0"/>
              <w:rPr>
                <w:sz w:val="11"/>
                <w:szCs w:val="11"/>
                <w:color w:val="auto"/>
              </w:rPr>
            </w:pPr>
          </w:p>
        </w:tc>
        <w:tc>
          <w:tcPr>
            <w:tcW w:w="2220" w:type="dxa"/>
            <w:vAlign w:val="bottom"/>
            <w:tcBorders>
              <w:bottom w:val="single" w:sz="8" w:color="010101"/>
            </w:tcBorders>
          </w:tcPr>
          <w:p>
            <w:pPr>
              <w:spacing w:after="0"/>
              <w:rPr>
                <w:sz w:val="11"/>
                <w:szCs w:val="11"/>
                <w:color w:val="auto"/>
              </w:rPr>
            </w:pPr>
          </w:p>
        </w:tc>
        <w:tc>
          <w:tcPr>
            <w:tcW w:w="29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694"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4236720" cy="643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23672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380" w:type="dxa"/>
            <w:vAlign w:val="bottom"/>
          </w:tcPr>
          <w:p>
            <w:pPr>
              <w:spacing w:after="0"/>
              <w:rPr>
                <w:sz w:val="20"/>
                <w:szCs w:val="20"/>
                <w:color w:val="auto"/>
              </w:rPr>
            </w:pPr>
            <w:r>
              <w:rPr>
                <w:rFonts w:ascii="Arial" w:cs="Arial" w:eastAsia="Arial" w:hAnsi="Arial"/>
                <w:sz w:val="18"/>
                <w:szCs w:val="18"/>
                <w:b w:val="1"/>
                <w:bCs w:val="1"/>
                <w:color w:val="auto"/>
              </w:rPr>
              <w:t>Stock Symbol: AEM (NYSE, TSX)</w:t>
            </w:r>
          </w:p>
        </w:tc>
        <w:tc>
          <w:tcPr>
            <w:tcW w:w="3100" w:type="dxa"/>
            <w:vAlign w:val="bottom"/>
          </w:tcPr>
          <w:p>
            <w:pPr>
              <w:ind w:left="2060"/>
              <w:spacing w:after="0"/>
              <w:rPr>
                <w:sz w:val="20"/>
                <w:szCs w:val="20"/>
                <w:color w:val="auto"/>
              </w:rPr>
            </w:pPr>
            <w:r>
              <w:rPr>
                <w:rFonts w:ascii="Arial" w:cs="Arial" w:eastAsia="Arial" w:hAnsi="Arial"/>
                <w:sz w:val="18"/>
                <w:szCs w:val="18"/>
                <w:b w:val="1"/>
                <w:bCs w:val="1"/>
                <w:color w:val="auto"/>
              </w:rPr>
              <w:t>For further</w:t>
            </w:r>
          </w:p>
        </w:tc>
        <w:tc>
          <w:tcPr>
            <w:tcW w:w="0" w:type="dxa"/>
            <w:vAlign w:val="bottom"/>
          </w:tcPr>
          <w:p>
            <w:pPr>
              <w:spacing w:after="0"/>
              <w:rPr>
                <w:sz w:val="1"/>
                <w:szCs w:val="1"/>
                <w:color w:val="auto"/>
              </w:rPr>
            </w:pPr>
          </w:p>
        </w:tc>
      </w:tr>
      <w:tr>
        <w:trPr>
          <w:trHeight w:val="234"/>
        </w:trPr>
        <w:tc>
          <w:tcPr>
            <w:tcW w:w="4380" w:type="dxa"/>
            <w:vAlign w:val="bottom"/>
          </w:tcPr>
          <w:p>
            <w:pPr>
              <w:spacing w:after="0"/>
              <w:rPr>
                <w:sz w:val="20"/>
                <w:szCs w:val="20"/>
                <w:color w:val="auto"/>
              </w:rPr>
            </w:pPr>
            <w:r>
              <w:rPr>
                <w:rFonts w:ascii="Arial" w:cs="Arial" w:eastAsia="Arial" w:hAnsi="Arial"/>
                <w:sz w:val="18"/>
                <w:szCs w:val="18"/>
                <w:b w:val="1"/>
                <w:bCs w:val="1"/>
                <w:color w:val="auto"/>
              </w:rPr>
              <w:t>information:</w:t>
            </w:r>
          </w:p>
        </w:tc>
        <w:tc>
          <w:tcPr>
            <w:tcW w:w="3100" w:type="dxa"/>
            <w:vAlign w:val="bottom"/>
            <w:vMerge w:val="restart"/>
          </w:tcPr>
          <w:p>
            <w:pPr>
              <w:ind w:left="1700"/>
              <w:spacing w:after="0"/>
              <w:rPr>
                <w:sz w:val="20"/>
                <w:szCs w:val="20"/>
                <w:color w:val="auto"/>
              </w:rPr>
            </w:pPr>
            <w:r>
              <w:rPr>
                <w:rFonts w:ascii="Arial" w:cs="Arial" w:eastAsia="Arial" w:hAnsi="Arial"/>
                <w:sz w:val="18"/>
                <w:szCs w:val="18"/>
                <w:b w:val="1"/>
                <w:bCs w:val="1"/>
                <w:color w:val="auto"/>
                <w:w w:val="88"/>
              </w:rPr>
              <w:t>Investor Relations</w:t>
            </w:r>
          </w:p>
        </w:tc>
        <w:tc>
          <w:tcPr>
            <w:tcW w:w="0" w:type="dxa"/>
            <w:vAlign w:val="bottom"/>
          </w:tcPr>
          <w:p>
            <w:pPr>
              <w:spacing w:after="0"/>
              <w:rPr>
                <w:sz w:val="1"/>
                <w:szCs w:val="1"/>
                <w:color w:val="auto"/>
              </w:rPr>
            </w:pPr>
          </w:p>
        </w:tc>
      </w:tr>
      <w:tr>
        <w:trPr>
          <w:trHeight w:val="198"/>
        </w:trPr>
        <w:tc>
          <w:tcPr>
            <w:tcW w:w="4380" w:type="dxa"/>
            <w:vAlign w:val="bottom"/>
          </w:tcPr>
          <w:p>
            <w:pPr>
              <w:spacing w:after="0"/>
              <w:rPr>
                <w:sz w:val="17"/>
                <w:szCs w:val="17"/>
                <w:color w:val="auto"/>
              </w:rPr>
            </w:pPr>
          </w:p>
        </w:tc>
        <w:tc>
          <w:tcPr>
            <w:tcW w:w="3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380" w:type="dxa"/>
            <w:vAlign w:val="bottom"/>
          </w:tcPr>
          <w:p>
            <w:pPr>
              <w:spacing w:after="0"/>
              <w:rPr>
                <w:sz w:val="20"/>
                <w:szCs w:val="20"/>
                <w:color w:val="auto"/>
              </w:rPr>
            </w:pPr>
          </w:p>
        </w:tc>
        <w:tc>
          <w:tcPr>
            <w:tcW w:w="3100" w:type="dxa"/>
            <w:vAlign w:val="bottom"/>
          </w:tcPr>
          <w:p>
            <w:pPr>
              <w:ind w:left="1700"/>
              <w:spacing w:after="0"/>
              <w:rPr>
                <w:sz w:val="20"/>
                <w:szCs w:val="20"/>
                <w:color w:val="auto"/>
              </w:rPr>
            </w:pPr>
            <w:r>
              <w:rPr>
                <w:rFonts w:ascii="Arial" w:cs="Arial" w:eastAsia="Arial" w:hAnsi="Arial"/>
                <w:sz w:val="18"/>
                <w:szCs w:val="18"/>
                <w:b w:val="1"/>
                <w:bCs w:val="1"/>
                <w:color w:val="auto"/>
              </w:rPr>
              <w:t>(416) 947-1212</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AGNICO-EAGLE FILES TECHNICAL REPORT ON GOLDEX MINE PROJECT</w:t>
      </w:r>
    </w:p>
    <w:p>
      <w:pPr>
        <w:spacing w:after="0" w:line="225" w:lineRule="exact"/>
        <w:rPr>
          <w:sz w:val="20"/>
          <w:szCs w:val="20"/>
          <w:color w:val="auto"/>
        </w:rPr>
      </w:pPr>
    </w:p>
    <w:p>
      <w:pPr>
        <w:ind w:right="260"/>
        <w:spacing w:after="0" w:line="313" w:lineRule="auto"/>
        <w:rPr>
          <w:sz w:val="20"/>
          <w:szCs w:val="20"/>
          <w:color w:val="auto"/>
        </w:rPr>
      </w:pPr>
      <w:r>
        <w:rPr>
          <w:rFonts w:ascii="Arial" w:cs="Arial" w:eastAsia="Arial" w:hAnsi="Arial"/>
          <w:sz w:val="17"/>
          <w:szCs w:val="17"/>
          <w:b w:val="1"/>
          <w:bCs w:val="1"/>
          <w:color w:val="auto"/>
        </w:rPr>
        <w:t xml:space="preserve">TORONTO (November 1, 2012) - Agnico-Eagle Mines Limited </w:t>
      </w:r>
      <w:r>
        <w:rPr>
          <w:rFonts w:ascii="Arial" w:cs="Arial" w:eastAsia="Arial" w:hAnsi="Arial"/>
          <w:sz w:val="17"/>
          <w:szCs w:val="17"/>
          <w:color w:val="auto"/>
        </w:rPr>
        <w:t>(“Agnico-Eagle” or the “Company”) today announced the filing of a technical report in</w:t>
      </w:r>
      <w:r>
        <w:rPr>
          <w:rFonts w:ascii="Arial" w:cs="Arial" w:eastAsia="Arial" w:hAnsi="Arial"/>
          <w:sz w:val="17"/>
          <w:szCs w:val="17"/>
          <w:b w:val="1"/>
          <w:bCs w:val="1"/>
          <w:color w:val="auto"/>
        </w:rPr>
        <w:t xml:space="preserve"> </w:t>
      </w:r>
      <w:r>
        <w:rPr>
          <w:rFonts w:ascii="Arial" w:cs="Arial" w:eastAsia="Arial" w:hAnsi="Arial"/>
          <w:sz w:val="17"/>
          <w:szCs w:val="17"/>
          <w:color w:val="auto"/>
        </w:rPr>
        <w:t>respect of the Goldex mine project. The technical report has an effective date of October 14, 2012, and is available at www.sedar.com.</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Agnico-Eagle</w:t>
      </w:r>
    </w:p>
    <w:p>
      <w:pPr>
        <w:spacing w:after="0" w:line="22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Agnico-Eagle is a long established, Canadian headquartered, gold producer with operations located in Canada, Finland and Mexico, and exploration and development activities in Canada, Finland, Mexico and the United States. The Company has full exposure to higher gold prices consistent with its policy of no forward gold sales and maintains a corporate strategy based on increasing shareholders’ exposure to gold, on a per share basis. It has declared a cash dividend for 30 consecutive years.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www.agnico-eagle.com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154940</wp:posOffset>
            </wp:positionV>
            <wp:extent cx="4236720" cy="643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23672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20" w:type="dxa"/>
            <w:vAlign w:val="bottom"/>
          </w:tcPr>
          <w:p>
            <w:pPr>
              <w:spacing w:after="0"/>
              <w:rPr>
                <w:sz w:val="20"/>
                <w:szCs w:val="20"/>
                <w:color w:val="auto"/>
              </w:rPr>
            </w:pPr>
            <w:r>
              <w:rPr>
                <w:rFonts w:ascii="Arial" w:cs="Arial" w:eastAsia="Arial" w:hAnsi="Arial"/>
                <w:sz w:val="18"/>
                <w:szCs w:val="18"/>
                <w:b w:val="1"/>
                <w:bCs w:val="1"/>
                <w:color w:val="auto"/>
              </w:rPr>
              <w:t>Stock Symbol:</w:t>
            </w:r>
          </w:p>
        </w:tc>
        <w:tc>
          <w:tcPr>
            <w:tcW w:w="6980" w:type="dxa"/>
            <w:vAlign w:val="bottom"/>
          </w:tcPr>
          <w:p>
            <w:pPr>
              <w:ind w:left="3360"/>
              <w:spacing w:after="0"/>
              <w:rPr>
                <w:sz w:val="20"/>
                <w:szCs w:val="20"/>
                <w:color w:val="auto"/>
              </w:rPr>
            </w:pPr>
            <w:r>
              <w:rPr>
                <w:rFonts w:ascii="Arial" w:cs="Arial" w:eastAsia="Arial" w:hAnsi="Arial"/>
                <w:sz w:val="18"/>
                <w:szCs w:val="18"/>
                <w:b w:val="1"/>
                <w:bCs w:val="1"/>
                <w:color w:val="auto"/>
              </w:rPr>
              <w:t>AEM (NYSE and TSX) For</w:t>
            </w:r>
          </w:p>
        </w:tc>
        <w:tc>
          <w:tcPr>
            <w:tcW w:w="0" w:type="dxa"/>
            <w:vAlign w:val="bottom"/>
          </w:tcPr>
          <w:p>
            <w:pPr>
              <w:spacing w:after="0"/>
              <w:rPr>
                <w:sz w:val="1"/>
                <w:szCs w:val="1"/>
                <w:color w:val="auto"/>
              </w:rPr>
            </w:pPr>
          </w:p>
        </w:tc>
      </w:tr>
      <w:tr>
        <w:trPr>
          <w:trHeight w:val="234"/>
        </w:trPr>
        <w:tc>
          <w:tcPr>
            <w:tcW w:w="2020" w:type="dxa"/>
            <w:vAlign w:val="bottom"/>
          </w:tcPr>
          <w:p>
            <w:pPr>
              <w:spacing w:after="0"/>
              <w:rPr>
                <w:sz w:val="20"/>
                <w:szCs w:val="20"/>
                <w:color w:val="auto"/>
              </w:rPr>
            </w:pPr>
            <w:r>
              <w:rPr>
                <w:rFonts w:ascii="Arial" w:cs="Arial" w:eastAsia="Arial" w:hAnsi="Arial"/>
                <w:sz w:val="18"/>
                <w:szCs w:val="18"/>
                <w:b w:val="1"/>
                <w:bCs w:val="1"/>
                <w:color w:val="auto"/>
              </w:rPr>
              <w:t>further information:</w:t>
            </w:r>
          </w:p>
        </w:tc>
        <w:tc>
          <w:tcPr>
            <w:tcW w:w="6980" w:type="dxa"/>
            <w:vAlign w:val="bottom"/>
            <w:vMerge w:val="restart"/>
          </w:tcPr>
          <w:p>
            <w:pPr>
              <w:ind w:left="3360"/>
              <w:spacing w:after="0"/>
              <w:rPr>
                <w:sz w:val="20"/>
                <w:szCs w:val="20"/>
                <w:color w:val="auto"/>
              </w:rPr>
            </w:pPr>
            <w:r>
              <w:rPr>
                <w:rFonts w:ascii="Arial" w:cs="Arial" w:eastAsia="Arial" w:hAnsi="Arial"/>
                <w:sz w:val="18"/>
                <w:szCs w:val="18"/>
                <w:b w:val="1"/>
                <w:bCs w:val="1"/>
                <w:color w:val="auto"/>
              </w:rPr>
              <w:t>Investor Relations</w:t>
            </w:r>
          </w:p>
        </w:tc>
        <w:tc>
          <w:tcPr>
            <w:tcW w:w="0" w:type="dxa"/>
            <w:vAlign w:val="bottom"/>
          </w:tcPr>
          <w:p>
            <w:pPr>
              <w:spacing w:after="0"/>
              <w:rPr>
                <w:sz w:val="1"/>
                <w:szCs w:val="1"/>
                <w:color w:val="auto"/>
              </w:rPr>
            </w:pPr>
          </w:p>
        </w:tc>
      </w:tr>
      <w:tr>
        <w:trPr>
          <w:trHeight w:val="198"/>
        </w:trPr>
        <w:tc>
          <w:tcPr>
            <w:tcW w:w="2020" w:type="dxa"/>
            <w:vAlign w:val="bottom"/>
          </w:tcPr>
          <w:p>
            <w:pPr>
              <w:spacing w:after="0"/>
              <w:rPr>
                <w:sz w:val="17"/>
                <w:szCs w:val="17"/>
                <w:color w:val="auto"/>
              </w:rPr>
            </w:pPr>
          </w:p>
        </w:tc>
        <w:tc>
          <w:tcPr>
            <w:tcW w:w="69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20" w:type="dxa"/>
            <w:vAlign w:val="bottom"/>
          </w:tcPr>
          <w:p>
            <w:pPr>
              <w:spacing w:after="0"/>
              <w:rPr>
                <w:sz w:val="20"/>
                <w:szCs w:val="20"/>
                <w:color w:val="auto"/>
              </w:rPr>
            </w:pPr>
          </w:p>
        </w:tc>
        <w:tc>
          <w:tcPr>
            <w:tcW w:w="6980" w:type="dxa"/>
            <w:vAlign w:val="bottom"/>
          </w:tcPr>
          <w:p>
            <w:pPr>
              <w:jc w:val="right"/>
              <w:ind w:right="2350"/>
              <w:spacing w:after="0"/>
              <w:rPr>
                <w:sz w:val="20"/>
                <w:szCs w:val="20"/>
                <w:color w:val="auto"/>
              </w:rPr>
            </w:pPr>
            <w:r>
              <w:rPr>
                <w:rFonts w:ascii="Arial" w:cs="Arial" w:eastAsia="Arial" w:hAnsi="Arial"/>
                <w:sz w:val="18"/>
                <w:szCs w:val="18"/>
                <w:b w:val="1"/>
                <w:bCs w:val="1"/>
                <w:color w:val="auto"/>
              </w:rPr>
              <w:t>(416) 947-1212</w:t>
            </w:r>
          </w:p>
        </w:tc>
        <w:tc>
          <w:tcPr>
            <w:tcW w:w="0" w:type="dxa"/>
            <w:vAlign w:val="bottom"/>
          </w:tcPr>
          <w:p>
            <w:pPr>
              <w:spacing w:after="0"/>
              <w:rPr>
                <w:sz w:val="1"/>
                <w:szCs w:val="1"/>
                <w:color w:val="auto"/>
              </w:rPr>
            </w:pPr>
          </w:p>
        </w:tc>
      </w:tr>
      <w:tr>
        <w:trPr>
          <w:trHeight w:val="432"/>
        </w:trPr>
        <w:tc>
          <w:tcPr>
            <w:tcW w:w="2020" w:type="dxa"/>
            <w:vAlign w:val="bottom"/>
          </w:tcPr>
          <w:p>
            <w:pPr>
              <w:spacing w:after="0"/>
              <w:rPr>
                <w:sz w:val="24"/>
                <w:szCs w:val="24"/>
                <w:color w:val="auto"/>
              </w:rPr>
            </w:pPr>
          </w:p>
        </w:tc>
        <w:tc>
          <w:tcPr>
            <w:tcW w:w="6980" w:type="dxa"/>
            <w:vAlign w:val="bottom"/>
          </w:tcPr>
          <w:p>
            <w:pPr>
              <w:jc w:val="center"/>
              <w:ind w:left="330"/>
              <w:spacing w:after="0"/>
              <w:rPr>
                <w:sz w:val="20"/>
                <w:szCs w:val="20"/>
                <w:color w:val="auto"/>
              </w:rPr>
            </w:pPr>
            <w:r>
              <w:rPr>
                <w:rFonts w:ascii="Arial" w:cs="Arial" w:eastAsia="Arial" w:hAnsi="Arial"/>
                <w:sz w:val="18"/>
                <w:szCs w:val="18"/>
                <w:b w:val="1"/>
                <w:bCs w:val="1"/>
                <w:color w:val="auto"/>
                <w:w w:val="88"/>
              </w:rPr>
              <w:t>(All amounts expressed in U.S. dollars unless otherwise noted)</w:t>
            </w:r>
          </w:p>
        </w:tc>
        <w:tc>
          <w:tcPr>
            <w:tcW w:w="0" w:type="dxa"/>
            <w:vAlign w:val="bottom"/>
          </w:tcPr>
          <w:p>
            <w:pPr>
              <w:spacing w:after="0"/>
              <w:rPr>
                <w:sz w:val="1"/>
                <w:szCs w:val="1"/>
                <w:color w:val="auto"/>
              </w:rPr>
            </w:pPr>
          </w:p>
        </w:tc>
      </w:tr>
      <w:tr>
        <w:trPr>
          <w:trHeight w:val="432"/>
        </w:trPr>
        <w:tc>
          <w:tcPr>
            <w:tcW w:w="2020" w:type="dxa"/>
            <w:vAlign w:val="bottom"/>
          </w:tcPr>
          <w:p>
            <w:pPr>
              <w:spacing w:after="0"/>
              <w:rPr>
                <w:sz w:val="24"/>
                <w:szCs w:val="24"/>
                <w:color w:val="auto"/>
              </w:rPr>
            </w:pPr>
          </w:p>
        </w:tc>
        <w:tc>
          <w:tcPr>
            <w:tcW w:w="6980" w:type="dxa"/>
            <w:vAlign w:val="bottom"/>
          </w:tcPr>
          <w:p>
            <w:pPr>
              <w:jc w:val="center"/>
              <w:ind w:left="310"/>
              <w:spacing w:after="0"/>
              <w:rPr>
                <w:sz w:val="20"/>
                <w:szCs w:val="20"/>
                <w:color w:val="auto"/>
              </w:rPr>
            </w:pPr>
            <w:r>
              <w:rPr>
                <w:rFonts w:ascii="Arial" w:cs="Arial" w:eastAsia="Arial" w:hAnsi="Arial"/>
                <w:sz w:val="18"/>
                <w:szCs w:val="18"/>
                <w:b w:val="1"/>
                <w:bCs w:val="1"/>
                <w:color w:val="auto"/>
                <w:w w:val="99"/>
              </w:rPr>
              <w:t>AGNICO-EAGLE DECLARES A QUARTERLY DIVIDEND OF $0.20 PER SHARE</w:t>
            </w:r>
          </w:p>
        </w:tc>
        <w:tc>
          <w:tcPr>
            <w:tcW w:w="0" w:type="dxa"/>
            <w:vAlign w:val="bottom"/>
          </w:tcPr>
          <w:p>
            <w:pPr>
              <w:spacing w:after="0"/>
              <w:rPr>
                <w:sz w:val="1"/>
                <w:szCs w:val="1"/>
                <w:color w:val="auto"/>
              </w:rPr>
            </w:pPr>
          </w:p>
        </w:tc>
      </w:tr>
    </w:tbl>
    <w:p>
      <w:pPr>
        <w:spacing w:after="0" w:line="198"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b w:val="1"/>
          <w:bCs w:val="1"/>
          <w:color w:val="auto"/>
        </w:rPr>
        <w:t xml:space="preserve">Toronto (November 2, 2012) — Agnico-Eagle Mines Limited (NYSE:AEM)(TSX:AEM) </w:t>
      </w:r>
      <w:r>
        <w:rPr>
          <w:rFonts w:ascii="Arial" w:cs="Arial" w:eastAsia="Arial" w:hAnsi="Arial"/>
          <w:sz w:val="18"/>
          <w:szCs w:val="18"/>
          <w:color w:val="auto"/>
        </w:rPr>
        <w:t>(“Agnico-Eagle” or the “Company”) is pleased to announce</w:t>
      </w:r>
      <w:r>
        <w:rPr>
          <w:rFonts w:ascii="Arial" w:cs="Arial" w:eastAsia="Arial" w:hAnsi="Arial"/>
          <w:sz w:val="18"/>
          <w:szCs w:val="18"/>
          <w:b w:val="1"/>
          <w:bCs w:val="1"/>
          <w:color w:val="auto"/>
        </w:rPr>
        <w:t xml:space="preserve"> </w:t>
      </w:r>
      <w:r>
        <w:rPr>
          <w:rFonts w:ascii="Arial" w:cs="Arial" w:eastAsia="Arial" w:hAnsi="Arial"/>
          <w:sz w:val="18"/>
          <w:szCs w:val="18"/>
          <w:color w:val="auto"/>
        </w:rPr>
        <w:t>that its Board of Directors has approved the payment of a quarterly cash dividend of $0.20 per common share. The next of these dividends will be paid on December 17, 2012 to shareholders of record as of December 3, 2012. Agnico-Eagle has declared a cash dividend to its shareholders for 30 consecutive years.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Reinvestment Program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follow the link below for information on the Company’s dividend reinvestment program.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Dividend Reinvestment and Share Purchase Plan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Agnico-Eagle</w:t>
      </w:r>
    </w:p>
    <w:p>
      <w:pPr>
        <w:spacing w:after="0" w:line="229"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Agnico-Eagle is a long established, Canadian headquartered, gold producer with operations located in Canada, Finland and Mexico, and exploration and development activities in Canada, Finland, Mexico and the United States. The Company has full exposure to higher gold prices consistent with its policy of no forward gold sales and maintains a corporate strategy based on increasing shareholders’ exposure to gold, on a per share basis. It has declared a cash dividend for 30 consecutive years.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www.agnico-eagle.com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bullet"/>
      <w:start w:val="1"/>
    </w:lvl>
  </w:abstractNum>
  <w:abstractNum w:abstractNumId="1">
    <w:nsid w:val="66334873"/>
    <w:multiLevelType w:val="hybridMultilevel"/>
    <w:lvl w:ilvl="0">
      <w:lvlJc w:val="left"/>
      <w:lvlText w:val="2"/>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2020-01-29T02:47:32Z</dcterms:created>
  <dcterms:modified xsi:type="dcterms:W3CDTF">2020-01-29T02:47:32Z</dcterms:modified>
</cp:coreProperties>
</file>