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3-11076_16k.htm"/>
      <w:bookmarkStart w:id="1" w:name="ksa1311076_16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 PURSUANT TO RULE 13a-16 OR 15d-16 UNDER THE</w:t>
        <w:br/>
        <w:t>SECURITIES EXCHANGE ACT OF 1934</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 the month:  April, 2013</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Commission File Number</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Indicate by check mark whether the registrant files or will file annual reports under cover of Form 20-F or Form 40-F. </w:t>
      </w:r>
    </w:p>
    <w:p>
      <w:pPr>
        <w:pStyle w:val="TextBody"/>
        <w:spacing w:before="0" w:after="0"/>
        <w:ind w:left="0" w:right="0" w:hanging="0"/>
        <w:rPr>
          <w:rFonts w:ascii="Times New Roman" w:hAnsi="Times New Roman"/>
        </w:rPr>
      </w:pPr>
      <w:r>
        <w:rPr>
          <w:rFonts w:ascii="Times New Roman" w:hAnsi="Times New Roman"/>
          <w:sz w:val="17"/>
        </w:rPr>
        <w:t>Form 20-F </w:t>
      </w:r>
      <w:r>
        <w:rPr>
          <w:rFonts w:ascii="Wingdings" w:hAnsi="Wingdings"/>
          <w:sz w:val="17"/>
        </w:rPr>
        <w:t>x</w:t>
      </w:r>
      <w:r>
        <w:rPr>
          <w:rFonts w:ascii="Times New Roman" w:hAnsi="Times New Roman"/>
        </w:rPr>
        <w:t>   </w:t>
      </w:r>
      <w:r>
        <w:rPr>
          <w:rFonts w:ascii="Times New Roman" w:hAnsi="Times New Roman"/>
          <w:sz w:val="17"/>
        </w:rPr>
        <w:t>Form 40-F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(b)( 1):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 (b)( 1) only permits the submission in paper of a Form 6-K if submitted solely to provide an attached annual report to security holders.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(b)(7):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 Yes </w:t>
      </w:r>
      <w:r>
        <w:rPr>
          <w:rFonts w:ascii="Wingdings" w:hAnsi="Wingdings"/>
          <w:sz w:val="17"/>
        </w:rPr>
        <w:t>o</w:t>
      </w:r>
      <w:r>
        <w:rPr>
          <w:rFonts w:ascii="Times New Roman" w:hAnsi="Times New Roman"/>
        </w:rPr>
        <w:t>   </w:t>
      </w:r>
      <w:r>
        <w:rPr>
          <w:rFonts w:ascii="Times New Roman" w:hAnsi="Times New Roman"/>
          <w:sz w:val="17"/>
        </w:rPr>
        <w:t>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443"/>
        <w:gridCol w:w="204"/>
        <w:gridCol w:w="8558"/>
      </w:tblGrid>
      <w:tr>
        <w:trPr/>
        <w:tc>
          <w:tcPr>
            <w:tcW w:w="1443"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855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1443"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99.1</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855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April 26, 2013 announcing the Corporations Election of Directors.</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54"/>
        <w:gridCol w:w="309"/>
        <w:gridCol w:w="4742"/>
      </w:tblGrid>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AGNICO-EAGLE MINES LIMITED</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(Registrant)</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April 29, 2013</w:t>
            </w:r>
          </w:p>
        </w:tc>
        <w:tc>
          <w:tcPr>
            <w:tcW w:w="30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742"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Counsel, Sr. Vice President, Legal</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and Corporate Secretary</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130536_7056"/>
      <w:bookmarkEnd w:id="2"/>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3" w:name="a13-11076_1ex99d1.htm"/>
      <w:bookmarkStart w:id="4" w:name="ksa1311076_1ex99d1"/>
      <w:bookmarkEnd w:id="3"/>
      <w:bookmarkEnd w:id="4"/>
      <w:r>
        <w:rPr>
          <w:rFonts w:ascii="Times New Roman" w:hAnsi="Times New Roman"/>
          <w:b/>
          <w:sz w:val="17"/>
        </w:rPr>
        <w:t>Exhibit 99.1</w:t>
      </w:r>
    </w:p>
    <w:tbl>
      <w:tblPr>
        <w:tblW w:w="10800" w:type="dxa"/>
        <w:jc w:val="left"/>
        <w:tblInd w:w="0" w:type="dxa"/>
        <w:tblCellMar>
          <w:top w:w="0" w:type="dxa"/>
          <w:left w:w="0" w:type="dxa"/>
          <w:bottom w:w="0" w:type="dxa"/>
          <w:right w:w="0" w:type="dxa"/>
        </w:tblCellMar>
      </w:tblPr>
      <w:tblGrid>
        <w:gridCol w:w="10800"/>
      </w:tblGrid>
      <w:tr>
        <w:trPr/>
        <w:tc>
          <w:tcPr>
            <w:tcW w:w="10800" w:type="dxa"/>
            <w:tcBorders/>
            <w:shd w:fill="auto" w:val="clear"/>
          </w:tcPr>
          <w:p>
            <w:pPr>
              <w:pStyle w:val="TableContents"/>
              <w:spacing w:before="0" w:after="0"/>
              <w:ind w:left="0" w:right="0" w:hanging="0"/>
              <w:rPr/>
            </w:pPr>
            <w:r>
              <w:rPr/>
              <w:t> </w:t>
            </w:r>
          </w:p>
        </w:tc>
      </w:tr>
      <w:tr>
        <w:trPr/>
        <w:tc>
          <w:tcPr>
            <w:tcW w:w="10800" w:type="dxa"/>
            <w:tcBorders/>
            <w:shd w:fill="auto" w:val="clear"/>
          </w:tcPr>
          <w:p>
            <w:pPr>
              <w:pStyle w:val="TableContents"/>
              <w:spacing w:before="0" w:after="0"/>
              <w:ind w:left="0" w:right="0" w:hanging="0"/>
              <w:jc w:val="center"/>
              <w:rPr/>
            </w:pPr>
            <w:r>
              <w:rPr/>
              <w:drawing>
                <wp:inline distT="0" distB="0" distL="0" distR="0">
                  <wp:extent cx="6858000" cy="13620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858000" cy="1362075"/>
                          </a:xfrm>
                          <a:prstGeom prst="rect">
                            <a:avLst/>
                          </a:prstGeom>
                        </pic:spPr>
                      </pic:pic>
                    </a:graphicData>
                  </a:graphic>
                </wp:inline>
              </w:drawing>
            </w:r>
          </w:p>
        </w:tc>
      </w:tr>
      <w:tr>
        <w:trPr/>
        <w:tc>
          <w:tcPr>
            <w:tcW w:w="10800"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rFonts w:ascii="Times New Roman" w:hAnsi="Times New Roman"/>
          <w:b/>
          <w:sz w:val="17"/>
        </w:rPr>
      </w:pPr>
      <w:r>
        <w:rPr>
          <w:rFonts w:ascii="Times New Roman" w:hAnsi="Times New Roman"/>
          <w:b/>
          <w:sz w:val="17"/>
        </w:rPr>
        <w:t>AGNICO EAGLE ANNOUNCES ELECTION OF DIRECTORS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Toronto (April 26, 2013)  Agnico Eagle Mines Limited</w:t>
      </w:r>
      <w:r>
        <w:rPr>
          <w:rFonts w:ascii="Times New Roman" w:hAnsi="Times New Roman"/>
        </w:rPr>
        <w:t xml:space="preserve"> </w:t>
      </w:r>
      <w:r>
        <w:rPr>
          <w:rFonts w:ascii="Times New Roman" w:hAnsi="Times New Roman"/>
          <w:b/>
          <w:sz w:val="17"/>
        </w:rPr>
        <w:t>(NYSE:AEM, TSX:AEM)</w:t>
      </w:r>
      <w:r>
        <w:rPr>
          <w:rFonts w:ascii="Times New Roman" w:hAnsi="Times New Roman"/>
        </w:rPr>
        <w:t xml:space="preserve"> </w:t>
      </w:r>
      <w:r>
        <w:rPr>
          <w:rFonts w:ascii="Times New Roman" w:hAnsi="Times New Roman"/>
          <w:sz w:val="17"/>
        </w:rPr>
        <w:t>(Agnico) today announced that, at the annual and special meeting of shareholders held earlier today (the Meeting), each of the thirteen nominees listed in the management information circular dated March 11, 2013 were elected as directors of Agnico.  The detailed results of the vote are set out below.</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633"/>
        <w:gridCol w:w="209"/>
        <w:gridCol w:w="1263"/>
        <w:gridCol w:w="210"/>
        <w:gridCol w:w="1263"/>
        <w:gridCol w:w="209"/>
        <w:gridCol w:w="1263"/>
        <w:gridCol w:w="210"/>
        <w:gridCol w:w="1263"/>
        <w:gridCol w:w="209"/>
        <w:gridCol w:w="1263"/>
        <w:gridCol w:w="210"/>
      </w:tblGrid>
      <w:tr>
        <w:trPr/>
        <w:tc>
          <w:tcPr>
            <w:tcW w:w="2633"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Nominee</w:t>
            </w:r>
          </w:p>
        </w:tc>
        <w:tc>
          <w:tcPr>
            <w:tcW w:w="209" w:type="dxa"/>
            <w:tcBorders/>
            <w:shd w:fill="auto" w:val="clear"/>
            <w:tcMar>
              <w:bottom w:w="0" w:type="dxa"/>
            </w:tcMar>
            <w:vAlign w:val="bottom"/>
          </w:tcPr>
          <w:p>
            <w:pPr>
              <w:pStyle w:val="TableContents"/>
              <w:spacing w:before="0" w:after="0"/>
              <w:ind w:left="0" w:right="0" w:hanging="0"/>
              <w:jc w:val="center"/>
              <w:rPr/>
            </w:pPr>
            <w:r>
              <w:rPr/>
              <w:t> </w:t>
            </w:r>
          </w:p>
        </w:tc>
        <w:tc>
          <w:tcPr>
            <w:tcW w:w="1263" w:type="dxa"/>
            <w:tcBorders>
              <w:bottom w:val="single" w:sz="8" w:space="0" w:color="000000"/>
            </w:tcBorders>
            <w:shd w:fill="auto" w:val="clear"/>
            <w:vAlign w:val="bottom"/>
          </w:tcPr>
          <w:p>
            <w:pPr>
              <w:pStyle w:val="TableContents"/>
              <w:spacing w:before="0" w:after="0"/>
              <w:ind w:left="0" w:right="0" w:hanging="0"/>
              <w:jc w:val="center"/>
              <w:rPr/>
            </w:pPr>
            <w:r>
              <w:rPr>
                <w:rFonts w:ascii="Times New Roman" w:hAnsi="Times New Roman"/>
                <w:b/>
                <w:sz w:val="13"/>
              </w:rPr>
              <w:t>Votes For</w:t>
            </w:r>
            <w:r>
              <w:rPr>
                <w:b/>
                <w:sz w:val="13"/>
              </w:rPr>
              <w:t>*</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c>
          <w:tcPr>
            <w:tcW w:w="1263" w:type="dxa"/>
            <w:tcBorders>
              <w:bottom w:val="single" w:sz="8" w:space="0" w:color="000000"/>
            </w:tcBorders>
            <w:shd w:fill="auto" w:val="clear"/>
            <w:vAlign w:val="bottom"/>
          </w:tcPr>
          <w:p>
            <w:pPr>
              <w:pStyle w:val="TableContents"/>
              <w:spacing w:before="0" w:after="0"/>
              <w:ind w:left="0" w:right="0" w:hanging="0"/>
              <w:jc w:val="center"/>
              <w:rPr/>
            </w:pPr>
            <w:r>
              <w:rPr>
                <w:rFonts w:ascii="Times New Roman" w:hAnsi="Times New Roman"/>
                <w:b/>
                <w:sz w:val="13"/>
              </w:rPr>
              <w:t>Votes</w:t>
              <w:br/>
              <w:t>Withheld</w:t>
            </w:r>
            <w:r>
              <w:rPr>
                <w:b/>
                <w:sz w:val="13"/>
              </w:rPr>
              <w:t>*</w:t>
            </w:r>
          </w:p>
        </w:tc>
        <w:tc>
          <w:tcPr>
            <w:tcW w:w="209" w:type="dxa"/>
            <w:tcBorders/>
            <w:shd w:fill="auto" w:val="clear"/>
            <w:tcMar>
              <w:bottom w:w="0" w:type="dxa"/>
            </w:tcMar>
            <w:vAlign w:val="bottom"/>
          </w:tcPr>
          <w:p>
            <w:pPr>
              <w:pStyle w:val="TableContents"/>
              <w:spacing w:before="0" w:after="0"/>
              <w:ind w:left="0" w:right="0" w:hanging="0"/>
              <w:jc w:val="center"/>
              <w:rPr/>
            </w:pPr>
            <w:r>
              <w:rPr/>
              <w:t> </w:t>
            </w:r>
          </w:p>
        </w:tc>
        <w:tc>
          <w:tcPr>
            <w:tcW w:w="1263" w:type="dxa"/>
            <w:tcBorders>
              <w:bottom w:val="single" w:sz="8" w:space="0" w:color="000000"/>
            </w:tcBorders>
            <w:shd w:fill="auto" w:val="clear"/>
            <w:vAlign w:val="bottom"/>
          </w:tcPr>
          <w:p>
            <w:pPr>
              <w:pStyle w:val="TableContents"/>
              <w:spacing w:before="0" w:after="0"/>
              <w:ind w:left="0" w:right="0" w:hanging="0"/>
              <w:jc w:val="center"/>
              <w:rPr/>
            </w:pPr>
            <w:r>
              <w:rPr>
                <w:rFonts w:ascii="Times New Roman" w:hAnsi="Times New Roman"/>
                <w:b/>
                <w:sz w:val="13"/>
              </w:rPr>
              <w:t>Total Votes</w:t>
              <w:br/>
              <w:t>Cast</w:t>
            </w:r>
            <w:r>
              <w:rPr>
                <w:b/>
                <w:sz w:val="13"/>
              </w:rPr>
              <w:t>*</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c>
          <w:tcPr>
            <w:tcW w:w="126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Percentage</w:t>
              <w:br/>
              <w:t>of Votes</w:t>
              <w:br/>
              <w:t>For</w:t>
            </w:r>
          </w:p>
        </w:tc>
        <w:tc>
          <w:tcPr>
            <w:tcW w:w="209" w:type="dxa"/>
            <w:tcBorders/>
            <w:shd w:fill="auto" w:val="clear"/>
            <w:tcMar>
              <w:bottom w:w="0" w:type="dxa"/>
            </w:tcMar>
            <w:vAlign w:val="bottom"/>
          </w:tcPr>
          <w:p>
            <w:pPr>
              <w:pStyle w:val="TableContents"/>
              <w:spacing w:before="0" w:after="0"/>
              <w:ind w:left="0" w:right="0" w:hanging="0"/>
              <w:jc w:val="center"/>
              <w:rPr/>
            </w:pPr>
            <w:r>
              <w:rPr/>
              <w:t> </w:t>
            </w:r>
          </w:p>
        </w:tc>
        <w:tc>
          <w:tcPr>
            <w:tcW w:w="126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Percentage</w:t>
              <w:br/>
              <w:t>of Votes</w:t>
              <w:br/>
              <w:t>Withheld</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Dr. Leanne M. Baker</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96,177,927</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18,312,171</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84.01</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15.99</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Douglas R. Beaumont</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113,998,441</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491,657</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99.57</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0.43</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Sean Boyd</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114,084,715</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405,383</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99.65</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0.35</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Martine A. Celej</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113,973,697</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516,401</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99.55</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0.45</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Clifford J. Davis</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114,080,430</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409,668</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99.64</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0.36</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Robert J. Gemmell</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100,482,795</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14,007,219</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114,490,014</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87.77</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12.23</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Bernard Kraft</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114,030,133</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459,965</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0.40</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Mel Leiderman</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114,073,167</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416,931</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99.64</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0.36</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James D. Nasso</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112,025,911</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2,464,187</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97.85</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Dr. Sean Riley</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114,066,082</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424,016</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99.63</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0.37</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J. Merfyn Roberts</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108,303,187</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6,186,911</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94.60</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5.40</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Howard R. Stockford</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114,003,580</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486,518</w:t>
            </w:r>
          </w:p>
        </w:tc>
        <w:tc>
          <w:tcPr>
            <w:tcW w:w="209"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99.58</w:t>
            </w:r>
          </w:p>
        </w:tc>
        <w:tc>
          <w:tcPr>
            <w:tcW w:w="209"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0.42</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263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Pertti Voutilainen</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114,066,832</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423,266</w:t>
            </w:r>
          </w:p>
        </w:tc>
        <w:tc>
          <w:tcPr>
            <w:tcW w:w="209"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114,490,098</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99.63</w:t>
            </w:r>
          </w:p>
        </w:tc>
        <w:tc>
          <w:tcPr>
            <w:tcW w:w="209"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63"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0.37</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As a ballot was not required, the number of votes disclosed reflects only the proxies received by management of Agnico in advance of the Meeting.</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 is a long established, Canadian headquartered, gold producer with operations located in Canada, Finland and Mexico, and exploration and development activities in Canada, Finland, Mexico and the United States.  Agnico has full exposure to higher gold prices consistent with its policy of no forward gold sales.  It has declared a cash dividend for 31 consecutive years.  www.agnicoeagle.com</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369"/>
        <w:gridCol w:w="7836"/>
      </w:tblGrid>
      <w:tr>
        <w:trPr/>
        <w:tc>
          <w:tcPr>
            <w:tcW w:w="236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For further information:</w:t>
            </w:r>
          </w:p>
        </w:tc>
        <w:tc>
          <w:tcPr>
            <w:tcW w:w="78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Investor Relations</w:t>
            </w:r>
          </w:p>
        </w:tc>
      </w:tr>
      <w:tr>
        <w:trPr/>
        <w:tc>
          <w:tcPr>
            <w:tcW w:w="2369" w:type="dxa"/>
            <w:tcBorders/>
            <w:shd w:fill="auto" w:val="clear"/>
          </w:tcPr>
          <w:p>
            <w:pPr>
              <w:pStyle w:val="TableContents"/>
              <w:spacing w:before="0" w:after="0"/>
              <w:ind w:left="0" w:right="0" w:hanging="0"/>
              <w:rPr/>
            </w:pPr>
            <w:r>
              <w:rPr/>
              <w:t> </w:t>
            </w:r>
          </w:p>
        </w:tc>
        <w:tc>
          <w:tcPr>
            <w:tcW w:w="78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(416) 947-1212</w:t>
            </w:r>
          </w:p>
        </w:tc>
      </w:tr>
    </w:tbl>
    <w:p>
      <w:pPr>
        <w:pStyle w:val="TextBody"/>
        <w:spacing w:before="0" w:after="0"/>
        <w:ind w:left="0" w:right="0" w:hanging="0"/>
        <w:rPr/>
      </w:pPr>
      <w:r>
        <w:rPr/>
        <w:t> </w:t>
      </w:r>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744</Words>
  <CharactersWithSpaces>4555</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