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bookmarkStart w:id="0" w:name="a2215759zf-10.htm"/>
      <w:bookmarkStart w:id="1" w:name="ksa2215759zf10"/>
      <w:bookmarkEnd w:id="0"/>
      <w:bookmarkEnd w:id="1"/>
      <w:r>
        <w:rPr/>
        <w:br/>
      </w:r>
      <w:hyperlink w:anchor="13ZBV48001_1">
        <w:r>
          <w:rPr>
            <w:rStyle w:val="InternetLink"/>
            <w:sz w:val="24"/>
          </w:rPr>
          <w:t>QuickLinks</w:t>
        </w:r>
      </w:hyperlink>
      <w:r>
        <w:rPr/>
        <w:t xml:space="preserve"> </w:t>
      </w:r>
      <w:r>
        <w:rPr>
          <w:sz w:val="24"/>
        </w:rPr>
        <w:t>-- Click here to rapidly navigate through this document</w:t>
      </w:r>
      <w:r>
        <w:rPr/>
        <w:t xml:space="preserve"> </w:t>
      </w:r>
    </w:p>
    <w:p>
      <w:pPr>
        <w:pStyle w:val="TextBody"/>
        <w:jc w:val="center"/>
        <w:rPr>
          <w:rFonts w:ascii="times" w:hAnsi="times"/>
          <w:b/>
          <w:sz w:val="20"/>
        </w:rPr>
      </w:pPr>
      <w:r>
        <w:rPr>
          <w:rFonts w:ascii="times" w:hAnsi="times"/>
          <w:b/>
          <w:sz w:val="20"/>
        </w:rPr>
        <w:t xml:space="preserve">As filed with the Securities and Exchange Commission on June 28, 2013 </w:t>
      </w:r>
    </w:p>
    <w:p>
      <w:pPr>
        <w:pStyle w:val="TextBody"/>
        <w:jc w:val="right"/>
        <w:rPr>
          <w:rFonts w:ascii="times" w:hAnsi="times"/>
          <w:b/>
          <w:sz w:val="20"/>
        </w:rPr>
      </w:pPr>
      <w:r>
        <w:rPr>
          <w:rFonts w:ascii="times" w:hAnsi="times"/>
          <w:b/>
          <w:sz w:val="20"/>
        </w:rPr>
        <w:t>Registration No. 333-</w:t>
      </w:r>
      <w:r>
        <w:rPr>
          <w:rFonts w:ascii="times" w:hAnsi="times"/>
          <w:b/>
          <w:sz w:val="20"/>
          <w:u w:val="single"/>
        </w:rPr>
        <w:t>                        </w:t>
      </w:r>
      <w:r>
        <w:rPr>
          <w:rFonts w:ascii="times" w:hAnsi="times"/>
          <w:b/>
          <w:sz w:val="20"/>
        </w:rPr>
        <w:t xml:space="preserve"> </w:t>
      </w:r>
    </w:p>
    <w:p>
      <w:pPr>
        <w:pStyle w:val="TextBody"/>
        <w:jc w:val="center"/>
        <w:rPr>
          <w:rFonts w:ascii="times" w:hAnsi="times"/>
        </w:rPr>
      </w:pPr>
      <w:r>
        <w:rPr>
          <w:rFonts w:ascii="times" w:hAnsi="times"/>
          <w:b/>
          <w:sz w:val="20"/>
        </w:rPr>
        <w:t>United States</w:t>
        <w:br/>
      </w:r>
      <w:r>
        <w:rPr>
          <w:rFonts w:ascii="times" w:hAnsi="times"/>
          <w:b/>
          <w:sz w:val="36"/>
        </w:rPr>
        <w:t>SECURITIES AND EXCHANGE COMMISSION</w:t>
        <w:br/>
      </w:r>
      <w:r>
        <w:rPr>
          <w:rFonts w:ascii="times" w:hAnsi="times"/>
          <w:b/>
          <w:sz w:val="20"/>
        </w:rPr>
        <w:t xml:space="preserve">Washington, D.C. 20549 </w:t>
      </w:r>
    </w:p>
    <w:p>
      <w:pPr>
        <w:pStyle w:val="HorizontalLine"/>
        <w:pBdr>
          <w:bottom w:val="single" w:sz="6" w:space="0" w:color="000000"/>
        </w:pBdr>
        <w:ind w:left="3980" w:right="3980" w:hanging="0"/>
        <w:rPr/>
      </w:pPr>
      <w:r>
        <w:rPr/>
      </w:r>
    </w:p>
    <w:p>
      <w:pPr>
        <w:pStyle w:val="TextBody"/>
        <w:rPr>
          <w:b/>
          <w:sz w:val="20"/>
        </w:rPr>
      </w:pPr>
      <w:r>
        <w:rPr>
          <w:b/>
          <w:sz w:val="20"/>
        </w:rPr>
      </w:r>
    </w:p>
    <w:p>
      <w:pPr>
        <w:pStyle w:val="TextBody"/>
        <w:rPr/>
      </w:pPr>
      <w:r>
        <w:rPr/>
      </w:r>
    </w:p>
    <w:p>
      <w:pPr>
        <w:pStyle w:val="TextBody"/>
        <w:jc w:val="center"/>
        <w:rPr>
          <w:rFonts w:ascii="times" w:hAnsi="times"/>
          <w:b/>
          <w:sz w:val="36"/>
        </w:rPr>
      </w:pPr>
      <w:r>
        <w:rPr>
          <w:rFonts w:ascii="times" w:hAnsi="times"/>
          <w:b/>
          <w:sz w:val="36"/>
        </w:rPr>
        <w:t xml:space="preserve">FORM F-10 </w:t>
      </w:r>
    </w:p>
    <w:p>
      <w:pPr>
        <w:pStyle w:val="TextBody"/>
        <w:jc w:val="center"/>
        <w:rPr>
          <w:rFonts w:ascii="times" w:hAnsi="times"/>
          <w:b/>
          <w:sz w:val="24"/>
        </w:rPr>
      </w:pPr>
      <w:r>
        <w:rPr>
          <w:rFonts w:ascii="times" w:hAnsi="times"/>
          <w:b/>
          <w:sz w:val="24"/>
        </w:rPr>
        <w:t>REGISTRATION STATEMENT UNDER</w:t>
        <w:br/>
        <w:t xml:space="preserve">THE SECURITIES ACT OF 1933 </w:t>
      </w:r>
    </w:p>
    <w:p>
      <w:pPr>
        <w:pStyle w:val="HorizontalLine"/>
        <w:pBdr>
          <w:bottom w:val="single" w:sz="6" w:space="0" w:color="000000"/>
        </w:pBdr>
        <w:ind w:left="3980" w:right="3980" w:hanging="0"/>
        <w:rPr/>
      </w:pPr>
      <w:r>
        <w:rPr/>
      </w:r>
    </w:p>
    <w:p>
      <w:pPr>
        <w:pStyle w:val="TextBody"/>
        <w:rPr>
          <w:b/>
          <w:sz w:val="24"/>
        </w:rPr>
      </w:pPr>
      <w:r>
        <w:rPr>
          <w:b/>
          <w:sz w:val="24"/>
        </w:rPr>
      </w:r>
    </w:p>
    <w:p>
      <w:pPr>
        <w:pStyle w:val="TextBody"/>
        <w:jc w:val="center"/>
        <w:rPr>
          <w:rFonts w:ascii="times" w:hAnsi="times"/>
        </w:rPr>
      </w:pPr>
      <w:r>
        <w:rPr>
          <w:rFonts w:ascii="times" w:hAnsi="times"/>
          <w:b/>
          <w:sz w:val="36"/>
        </w:rPr>
        <w:t>AGNICO EAGLE MINES LIMITED</w:t>
        <w:br/>
      </w:r>
      <w:r>
        <w:rPr>
          <w:rFonts w:ascii="times" w:hAnsi="times"/>
          <w:sz w:val="20"/>
        </w:rPr>
        <w:t xml:space="preserve">(Exact name of Registrant as specified in its charter) </w:t>
      </w:r>
    </w:p>
    <w:p>
      <w:pPr>
        <w:pStyle w:val="HorizontalLine"/>
        <w:pBdr>
          <w:bottom w:val="single" w:sz="6" w:space="0" w:color="000000"/>
        </w:pBdr>
        <w:ind w:left="3980" w:right="3980" w:hanging="0"/>
        <w:rPr/>
      </w:pPr>
      <w:r>
        <w:rPr/>
      </w:r>
    </w:p>
    <w:p>
      <w:pPr>
        <w:pStyle w:val="TextBody"/>
        <w:rPr>
          <w:sz w:val="20"/>
        </w:rPr>
      </w:pPr>
      <w:r>
        <w:rPr>
          <w:sz w:val="20"/>
        </w:rPr>
      </w:r>
    </w:p>
    <w:tbl>
      <w:tblPr>
        <w:tblW w:w="5000" w:type="pct"/>
        <w:jc w:val="center"/>
        <w:tblInd w:w="0" w:type="dxa"/>
        <w:tblCellMar>
          <w:top w:w="0" w:type="dxa"/>
          <w:left w:w="0" w:type="dxa"/>
          <w:bottom w:w="0" w:type="dxa"/>
          <w:right w:w="0" w:type="dxa"/>
        </w:tblCellMar>
      </w:tblPr>
      <w:tblGrid>
        <w:gridCol w:w="3361"/>
        <w:gridCol w:w="60"/>
        <w:gridCol w:w="3362"/>
        <w:gridCol w:w="60"/>
        <w:gridCol w:w="3362"/>
      </w:tblGrid>
      <w:tr>
        <w:trPr/>
        <w:tc>
          <w:tcPr>
            <w:tcW w:w="3361"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362"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3362" w:type="dxa"/>
            <w:tcBorders/>
            <w:shd w:fill="auto" w:val="clear"/>
            <w:vAlign w:val="center"/>
          </w:tcPr>
          <w:p>
            <w:pPr>
              <w:pStyle w:val="TableContents"/>
              <w:spacing w:before="0" w:after="283"/>
              <w:rPr>
                <w:sz w:val="4"/>
                <w:szCs w:val="4"/>
              </w:rPr>
            </w:pPr>
            <w:r>
              <w:rPr>
                <w:sz w:val="4"/>
                <w:szCs w:val="4"/>
              </w:rPr>
            </w:r>
          </w:p>
        </w:tc>
      </w:tr>
      <w:tr>
        <w:trPr/>
        <w:tc>
          <w:tcPr>
            <w:tcW w:w="3361" w:type="dxa"/>
            <w:tcBorders/>
            <w:shd w:fill="auto" w:val="clear"/>
          </w:tcPr>
          <w:p>
            <w:pPr>
              <w:pStyle w:val="TableContents"/>
              <w:spacing w:before="0" w:after="283"/>
              <w:jc w:val="center"/>
              <w:rPr>
                <w:rFonts w:ascii="times" w:hAnsi="times"/>
              </w:rPr>
            </w:pPr>
            <w:r>
              <w:rPr>
                <w:rFonts w:ascii="times" w:hAnsi="times"/>
                <w:b/>
                <w:sz w:val="20"/>
              </w:rPr>
              <w:t>Ontario, Canada</w:t>
            </w:r>
            <w:r>
              <w:rPr>
                <w:rFonts w:ascii="times" w:hAnsi="times"/>
                <w:sz w:val="20"/>
              </w:rPr>
              <w:br/>
              <w:t>(Province or other jurisdiction of</w:t>
              <w:br/>
              <w:t>incorporation or organization)</w:t>
            </w:r>
          </w:p>
        </w:tc>
        <w:tc>
          <w:tcPr>
            <w:tcW w:w="60" w:type="dxa"/>
            <w:tcBorders/>
            <w:shd w:fill="auto" w:val="clear"/>
          </w:tcPr>
          <w:p>
            <w:pPr>
              <w:pStyle w:val="TableContents"/>
              <w:spacing w:before="0" w:after="283"/>
              <w:rPr/>
            </w:pPr>
            <w:r>
              <w:rPr/>
              <w:t> </w:t>
            </w:r>
          </w:p>
        </w:tc>
        <w:tc>
          <w:tcPr>
            <w:tcW w:w="3362" w:type="dxa"/>
            <w:tcBorders/>
            <w:shd w:fill="auto" w:val="clear"/>
          </w:tcPr>
          <w:p>
            <w:pPr>
              <w:pStyle w:val="TableContents"/>
              <w:spacing w:before="0" w:after="283"/>
              <w:jc w:val="center"/>
              <w:rPr>
                <w:rFonts w:ascii="times" w:hAnsi="times"/>
              </w:rPr>
            </w:pPr>
            <w:r>
              <w:rPr>
                <w:rFonts w:ascii="times" w:hAnsi="times"/>
                <w:b/>
                <w:sz w:val="20"/>
              </w:rPr>
              <w:t>1041</w:t>
            </w:r>
            <w:r>
              <w:rPr>
                <w:rFonts w:ascii="times" w:hAnsi="times"/>
                <w:sz w:val="20"/>
              </w:rPr>
              <w:br/>
              <w:t>(Primary Standard Industrial</w:t>
              <w:br/>
              <w:t>Classification Code Number)</w:t>
            </w:r>
          </w:p>
        </w:tc>
        <w:tc>
          <w:tcPr>
            <w:tcW w:w="60" w:type="dxa"/>
            <w:tcBorders/>
            <w:shd w:fill="auto" w:val="clear"/>
          </w:tcPr>
          <w:p>
            <w:pPr>
              <w:pStyle w:val="TableContents"/>
              <w:spacing w:before="0" w:after="283"/>
              <w:rPr/>
            </w:pPr>
            <w:r>
              <w:rPr/>
              <w:t> </w:t>
            </w:r>
          </w:p>
        </w:tc>
        <w:tc>
          <w:tcPr>
            <w:tcW w:w="3362" w:type="dxa"/>
            <w:tcBorders/>
            <w:shd w:fill="auto" w:val="clear"/>
          </w:tcPr>
          <w:p>
            <w:pPr>
              <w:pStyle w:val="TableContents"/>
              <w:spacing w:before="0" w:after="283"/>
              <w:jc w:val="center"/>
              <w:rPr>
                <w:rFonts w:ascii="times" w:hAnsi="times"/>
              </w:rPr>
            </w:pPr>
            <w:r>
              <w:rPr>
                <w:rFonts w:ascii="times" w:hAnsi="times"/>
                <w:b/>
                <w:sz w:val="20"/>
              </w:rPr>
              <w:t>Not Applicable</w:t>
            </w:r>
            <w:r>
              <w:rPr>
                <w:rFonts w:ascii="times" w:hAnsi="times"/>
                <w:sz w:val="20"/>
              </w:rPr>
              <w:br/>
              <w:t>(I.R.S. Employer</w:t>
              <w:br/>
              <w:t>Identification No.)</w:t>
            </w:r>
          </w:p>
        </w:tc>
      </w:tr>
    </w:tbl>
    <w:p>
      <w:pPr>
        <w:pStyle w:val="TextBody"/>
        <w:jc w:val="center"/>
        <w:rPr>
          <w:rFonts w:ascii="times" w:hAnsi="times"/>
        </w:rPr>
      </w:pPr>
      <w:r>
        <w:rPr>
          <w:rFonts w:ascii="times" w:hAnsi="times"/>
          <w:b/>
          <w:sz w:val="20"/>
        </w:rPr>
        <w:t>145 King Street East, Suite 400, Toronto, Ontario, Canada M5C 2Y7</w:t>
        <w:br/>
        <w:t>(416) 947-1212</w:t>
      </w:r>
      <w:r>
        <w:rPr>
          <w:rFonts w:ascii="times" w:hAnsi="times"/>
          <w:sz w:val="20"/>
        </w:rPr>
        <w:br/>
        <w:t xml:space="preserve">(Address and telephone number of Registrant's principal executive offices) </w:t>
      </w:r>
    </w:p>
    <w:p>
      <w:pPr>
        <w:pStyle w:val="HorizontalLine"/>
        <w:pBdr>
          <w:bottom w:val="single" w:sz="6" w:space="0" w:color="000000"/>
        </w:pBdr>
        <w:ind w:left="3980" w:right="3980" w:hanging="0"/>
        <w:rPr/>
      </w:pPr>
      <w:r>
        <w:rPr/>
      </w:r>
    </w:p>
    <w:p>
      <w:pPr>
        <w:pStyle w:val="TextBody"/>
        <w:rPr>
          <w:sz w:val="20"/>
        </w:rPr>
      </w:pPr>
      <w:r>
        <w:rPr>
          <w:sz w:val="20"/>
        </w:rPr>
      </w:r>
    </w:p>
    <w:p>
      <w:pPr>
        <w:pStyle w:val="TextBody"/>
        <w:jc w:val="center"/>
        <w:rPr>
          <w:rFonts w:ascii="times" w:hAnsi="times"/>
        </w:rPr>
      </w:pPr>
      <w:r>
        <w:rPr>
          <w:rFonts w:ascii="times" w:hAnsi="times"/>
          <w:b/>
          <w:sz w:val="20"/>
        </w:rPr>
        <w:t>Davies Ward Phillips &amp; Vineberg LLP</w:t>
        <w:br/>
        <w:t>900 Third Avenue, 24</w:t>
      </w:r>
      <w:r>
        <w:rPr>
          <w:rFonts w:ascii="times" w:hAnsi="times"/>
          <w:b/>
          <w:position w:val="7"/>
          <w:sz w:val="16"/>
          <w:sz w:val="20"/>
        </w:rPr>
        <w:t>th</w:t>
      </w:r>
      <w:r>
        <w:rPr>
          <w:rFonts w:ascii="times" w:hAnsi="times"/>
          <w:b/>
          <w:sz w:val="20"/>
        </w:rPr>
        <w:t> Floor</w:t>
        <w:br/>
        <w:t>New York, New York 10022</w:t>
        <w:br/>
        <w:t>(212) 588-5500</w:t>
        <w:br/>
        <w:t>(212) 308-0132 (fax)</w:t>
        <w:br/>
      </w:r>
      <w:r>
        <w:rPr>
          <w:rFonts w:ascii="times" w:hAnsi="times"/>
          <w:sz w:val="20"/>
        </w:rPr>
        <w:t xml:space="preserve">(Name, address (including zip code) and telephone number (including area code) of agent for service in the United States) </w:t>
      </w:r>
    </w:p>
    <w:p>
      <w:pPr>
        <w:pStyle w:val="HorizontalLine"/>
        <w:pBdr>
          <w:bottom w:val="single" w:sz="6" w:space="0" w:color="000000"/>
        </w:pBdr>
        <w:ind w:left="3980" w:right="3980" w:hanging="0"/>
        <w:rPr/>
      </w:pPr>
      <w:r>
        <w:rPr/>
      </w:r>
    </w:p>
    <w:p>
      <w:pPr>
        <w:pStyle w:val="TextBody"/>
        <w:rPr>
          <w:sz w:val="20"/>
        </w:rPr>
      </w:pPr>
      <w:r>
        <w:rPr>
          <w:sz w:val="20"/>
        </w:rPr>
      </w:r>
    </w:p>
    <w:p>
      <w:pPr>
        <w:pStyle w:val="TextBody"/>
        <w:jc w:val="center"/>
        <w:rPr>
          <w:rFonts w:ascii="times" w:hAnsi="times"/>
          <w:sz w:val="20"/>
        </w:rPr>
      </w:pPr>
      <w:r>
        <w:rPr>
          <w:rFonts w:ascii="times" w:hAnsi="times"/>
          <w:sz w:val="20"/>
        </w:rPr>
        <w:t xml:space="preserve">Copies to: </w:t>
      </w:r>
    </w:p>
    <w:tbl>
      <w:tblPr>
        <w:tblW w:w="5000" w:type="pct"/>
        <w:jc w:val="center"/>
        <w:tblInd w:w="0" w:type="dxa"/>
        <w:tblCellMar>
          <w:top w:w="0" w:type="dxa"/>
          <w:left w:w="0" w:type="dxa"/>
          <w:bottom w:w="0" w:type="dxa"/>
          <w:right w:w="0" w:type="dxa"/>
        </w:tblCellMar>
      </w:tblPr>
      <w:tblGrid>
        <w:gridCol w:w="5072"/>
        <w:gridCol w:w="60"/>
        <w:gridCol w:w="5073"/>
      </w:tblGrid>
      <w:tr>
        <w:trPr/>
        <w:tc>
          <w:tcPr>
            <w:tcW w:w="5072"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5073" w:type="dxa"/>
            <w:tcBorders/>
            <w:shd w:fill="auto" w:val="clear"/>
            <w:vAlign w:val="center"/>
          </w:tcPr>
          <w:p>
            <w:pPr>
              <w:pStyle w:val="TableContents"/>
              <w:spacing w:before="0" w:after="283"/>
              <w:rPr>
                <w:sz w:val="4"/>
                <w:szCs w:val="4"/>
              </w:rPr>
            </w:pPr>
            <w:r>
              <w:rPr>
                <w:sz w:val="4"/>
                <w:szCs w:val="4"/>
              </w:rPr>
            </w:r>
          </w:p>
        </w:tc>
      </w:tr>
      <w:tr>
        <w:trPr/>
        <w:tc>
          <w:tcPr>
            <w:tcW w:w="5072" w:type="dxa"/>
            <w:tcBorders/>
            <w:shd w:fill="auto" w:val="clear"/>
          </w:tcPr>
          <w:p>
            <w:pPr>
              <w:pStyle w:val="TableContents"/>
              <w:spacing w:before="0" w:after="283"/>
              <w:jc w:val="center"/>
              <w:rPr>
                <w:rFonts w:ascii="times" w:hAnsi="times"/>
              </w:rPr>
            </w:pPr>
            <w:r>
              <w:rPr>
                <w:rFonts w:ascii="times" w:hAnsi="times"/>
                <w:b/>
                <w:sz w:val="20"/>
              </w:rPr>
              <w:t>Sean Boyd</w:t>
            </w:r>
            <w:r>
              <w:rPr>
                <w:rFonts w:ascii="times" w:hAnsi="times"/>
                <w:sz w:val="20"/>
              </w:rPr>
              <w:br/>
              <w:t>Agnico Eagle Mines Limited</w:t>
              <w:br/>
              <w:t>145 King Street East, Suite 400</w:t>
              <w:br/>
              <w:t>Toronto, Ontario, Canada M5C 2Y7</w:t>
              <w:br/>
              <w:t>(416) 947-1212</w:t>
            </w:r>
          </w:p>
        </w:tc>
        <w:tc>
          <w:tcPr>
            <w:tcW w:w="60" w:type="dxa"/>
            <w:tcBorders/>
            <w:shd w:fill="auto" w:val="clear"/>
          </w:tcPr>
          <w:p>
            <w:pPr>
              <w:pStyle w:val="TableContents"/>
              <w:spacing w:before="0" w:after="283"/>
              <w:rPr/>
            </w:pPr>
            <w:r>
              <w:rPr/>
              <w:t> </w:t>
            </w:r>
          </w:p>
        </w:tc>
        <w:tc>
          <w:tcPr>
            <w:tcW w:w="5073" w:type="dxa"/>
            <w:tcBorders/>
            <w:shd w:fill="auto" w:val="clear"/>
          </w:tcPr>
          <w:p>
            <w:pPr>
              <w:pStyle w:val="TableContents"/>
              <w:spacing w:before="0" w:after="283"/>
              <w:jc w:val="center"/>
              <w:rPr>
                <w:rFonts w:ascii="times" w:hAnsi="times"/>
              </w:rPr>
            </w:pPr>
            <w:r>
              <w:rPr>
                <w:rFonts w:ascii="times" w:hAnsi="times"/>
                <w:b/>
                <w:sz w:val="20"/>
              </w:rPr>
              <w:t>Patricia Olasker, Esq.</w:t>
            </w:r>
            <w:r>
              <w:rPr>
                <w:rFonts w:ascii="times" w:hAnsi="times"/>
                <w:sz w:val="20"/>
              </w:rPr>
              <w:br/>
              <w:t>Davies Ward Phillips &amp; Vineberg LLP</w:t>
              <w:br/>
              <w:t>155 Wellington Street West</w:t>
              <w:br/>
              <w:t>Toronto, Ontario, Canada M5V 3J7</w:t>
              <w:br/>
              <w:t>(416) 863-0900</w:t>
            </w:r>
          </w:p>
        </w:tc>
      </w:tr>
    </w:tbl>
    <w:p>
      <w:pPr>
        <w:pStyle w:val="HorizontalLine"/>
        <w:pBdr>
          <w:bottom w:val="single" w:sz="6" w:space="0" w:color="000000"/>
        </w:pBdr>
        <w:ind w:left="3980" w:right="3980" w:hanging="0"/>
        <w:rPr/>
      </w:pPr>
      <w:r>
        <w:rPr/>
      </w:r>
    </w:p>
    <w:p>
      <w:pPr>
        <w:pStyle w:val="TextBody"/>
        <w:rPr>
          <w:sz w:val="20"/>
        </w:rPr>
      </w:pPr>
      <w:r>
        <w:rPr>
          <w:sz w:val="20"/>
        </w:rPr>
      </w:r>
    </w:p>
    <w:p>
      <w:pPr>
        <w:pStyle w:val="TextBody"/>
        <w:jc w:val="center"/>
        <w:rPr>
          <w:rFonts w:ascii="times" w:hAnsi="times"/>
        </w:rPr>
      </w:pPr>
      <w:r>
        <w:rPr>
          <w:rFonts w:ascii="times" w:hAnsi="times"/>
          <w:b/>
          <w:sz w:val="20"/>
        </w:rPr>
        <w:t>Approximate date of commencement of proposed sale of the securities to the public:</w:t>
      </w:r>
      <w:r>
        <w:rPr>
          <w:rFonts w:ascii="times" w:hAnsi="times"/>
          <w:sz w:val="20"/>
        </w:rPr>
        <w:br/>
        <w:t xml:space="preserve">From time to time after the effective date of this Registration Statement. </w:t>
      </w:r>
    </w:p>
    <w:p>
      <w:pPr>
        <w:pStyle w:val="TextBody"/>
        <w:jc w:val="center"/>
        <w:rPr>
          <w:rFonts w:ascii="times" w:hAnsi="times"/>
        </w:rPr>
      </w:pPr>
      <w:r>
        <w:rPr>
          <w:rFonts w:ascii="times" w:hAnsi="times"/>
          <w:b/>
          <w:sz w:val="20"/>
        </w:rPr>
        <w:t>Province of Ontario, Canada</w:t>
      </w:r>
      <w:r>
        <w:rPr>
          <w:rFonts w:ascii="times" w:hAnsi="times"/>
          <w:sz w:val="20"/>
        </w:rPr>
        <w:br/>
        <w:t xml:space="preserve">(Principal jurisdiction regulating this offering) </w:t>
      </w:r>
    </w:p>
    <w:p>
      <w:pPr>
        <w:pStyle w:val="TextBody"/>
        <w:rPr/>
      </w:pPr>
      <w:r>
        <w:rPr/>
        <w:t>         </w:t>
      </w:r>
      <w:r>
        <w:rPr>
          <w:rFonts w:ascii="times" w:hAnsi="times"/>
          <w:sz w:val="20"/>
        </w:rPr>
        <w:t xml:space="preserve">It is proposed that this filing shall become effective (check appropriate box): </w:t>
      </w:r>
    </w:p>
    <w:tbl>
      <w:tblPr>
        <w:tblW w:w="5000" w:type="pct"/>
        <w:jc w:val="center"/>
        <w:tblInd w:w="0" w:type="dxa"/>
        <w:tblCellMar>
          <w:top w:w="0" w:type="dxa"/>
          <w:left w:w="0" w:type="dxa"/>
          <w:bottom w:w="0" w:type="dxa"/>
          <w:right w:w="0" w:type="dxa"/>
        </w:tblCellMar>
      </w:tblPr>
      <w:tblGrid>
        <w:gridCol w:w="326"/>
        <w:gridCol w:w="107"/>
        <w:gridCol w:w="298"/>
        <w:gridCol w:w="107"/>
        <w:gridCol w:w="298"/>
        <w:gridCol w:w="107"/>
        <w:gridCol w:w="8962"/>
      </w:tblGrid>
      <w:tr>
        <w:trPr/>
        <w:tc>
          <w:tcPr>
            <w:tcW w:w="326" w:type="dxa"/>
            <w:tcBorders/>
            <w:shd w:fill="auto" w:val="clear"/>
            <w:vAlign w:val="center"/>
          </w:tcPr>
          <w:p>
            <w:pPr>
              <w:pStyle w:val="TableContents"/>
              <w:spacing w:before="0" w:after="283"/>
              <w:rPr>
                <w:sz w:val="4"/>
                <w:szCs w:val="4"/>
              </w:rPr>
            </w:pPr>
            <w:r>
              <w:rPr>
                <w:sz w:val="4"/>
                <w:szCs w:val="4"/>
              </w:rPr>
            </w:r>
          </w:p>
        </w:tc>
        <w:tc>
          <w:tcPr>
            <w:tcW w:w="107" w:type="dxa"/>
            <w:tcBorders/>
            <w:shd w:fill="auto" w:val="clear"/>
            <w:vAlign w:val="center"/>
          </w:tcPr>
          <w:p>
            <w:pPr>
              <w:pStyle w:val="TableContents"/>
              <w:spacing w:before="0" w:after="283"/>
              <w:rPr>
                <w:sz w:val="4"/>
                <w:szCs w:val="4"/>
              </w:rPr>
            </w:pPr>
            <w:r>
              <w:rPr>
                <w:sz w:val="4"/>
                <w:szCs w:val="4"/>
              </w:rPr>
            </w:r>
          </w:p>
        </w:tc>
        <w:tc>
          <w:tcPr>
            <w:tcW w:w="298" w:type="dxa"/>
            <w:tcBorders/>
            <w:shd w:fill="auto" w:val="clear"/>
            <w:vAlign w:val="center"/>
          </w:tcPr>
          <w:p>
            <w:pPr>
              <w:pStyle w:val="TableContents"/>
              <w:spacing w:before="0" w:after="283"/>
              <w:rPr>
                <w:sz w:val="4"/>
                <w:szCs w:val="4"/>
              </w:rPr>
            </w:pPr>
            <w:r>
              <w:rPr>
                <w:sz w:val="4"/>
                <w:szCs w:val="4"/>
              </w:rPr>
            </w:r>
          </w:p>
        </w:tc>
        <w:tc>
          <w:tcPr>
            <w:tcW w:w="107" w:type="dxa"/>
            <w:tcBorders/>
            <w:shd w:fill="auto" w:val="clear"/>
            <w:vAlign w:val="center"/>
          </w:tcPr>
          <w:p>
            <w:pPr>
              <w:pStyle w:val="TableContents"/>
              <w:spacing w:before="0" w:after="283"/>
              <w:rPr>
                <w:sz w:val="4"/>
                <w:szCs w:val="4"/>
              </w:rPr>
            </w:pPr>
            <w:r>
              <w:rPr>
                <w:sz w:val="4"/>
                <w:szCs w:val="4"/>
              </w:rPr>
            </w:r>
          </w:p>
        </w:tc>
        <w:tc>
          <w:tcPr>
            <w:tcW w:w="298" w:type="dxa"/>
            <w:tcBorders/>
            <w:shd w:fill="auto" w:val="clear"/>
            <w:vAlign w:val="center"/>
          </w:tcPr>
          <w:p>
            <w:pPr>
              <w:pStyle w:val="TableContents"/>
              <w:spacing w:before="0" w:after="283"/>
              <w:rPr>
                <w:sz w:val="4"/>
                <w:szCs w:val="4"/>
              </w:rPr>
            </w:pPr>
            <w:r>
              <w:rPr>
                <w:sz w:val="4"/>
                <w:szCs w:val="4"/>
              </w:rPr>
            </w:r>
          </w:p>
        </w:tc>
        <w:tc>
          <w:tcPr>
            <w:tcW w:w="107" w:type="dxa"/>
            <w:tcBorders/>
            <w:shd w:fill="auto" w:val="clear"/>
            <w:vAlign w:val="center"/>
          </w:tcPr>
          <w:p>
            <w:pPr>
              <w:pStyle w:val="TableContents"/>
              <w:spacing w:before="0" w:after="283"/>
              <w:rPr>
                <w:sz w:val="4"/>
                <w:szCs w:val="4"/>
              </w:rPr>
            </w:pPr>
            <w:r>
              <w:rPr>
                <w:sz w:val="4"/>
                <w:szCs w:val="4"/>
              </w:rPr>
            </w:r>
          </w:p>
        </w:tc>
        <w:tc>
          <w:tcPr>
            <w:tcW w:w="8962" w:type="dxa"/>
            <w:tcBorders/>
            <w:shd w:fill="auto" w:val="clear"/>
            <w:vAlign w:val="center"/>
          </w:tcPr>
          <w:p>
            <w:pPr>
              <w:pStyle w:val="TableContents"/>
              <w:spacing w:before="0" w:after="283"/>
              <w:rPr>
                <w:sz w:val="4"/>
                <w:szCs w:val="4"/>
              </w:rPr>
            </w:pPr>
            <w:r>
              <w:rPr>
                <w:sz w:val="4"/>
                <w:szCs w:val="4"/>
              </w:rPr>
            </w:r>
          </w:p>
        </w:tc>
      </w:tr>
      <w:tr>
        <w:trPr/>
        <w:tc>
          <w:tcPr>
            <w:tcW w:w="326" w:type="dxa"/>
            <w:tcBorders/>
            <w:shd w:fill="auto" w:val="clear"/>
          </w:tcPr>
          <w:p>
            <w:pPr>
              <w:pStyle w:val="TableContents"/>
              <w:spacing w:before="0" w:after="283"/>
              <w:rPr>
                <w:rFonts w:ascii="times" w:hAnsi="times"/>
                <w:sz w:val="20"/>
              </w:rPr>
            </w:pPr>
            <w:r>
              <w:rPr>
                <w:rFonts w:ascii="times" w:hAnsi="times"/>
                <w:sz w:val="20"/>
              </w:rPr>
              <w:t>A.</w:t>
            </w:r>
          </w:p>
        </w:tc>
        <w:tc>
          <w:tcPr>
            <w:tcW w:w="107" w:type="dxa"/>
            <w:tcBorders/>
            <w:shd w:fill="auto" w:val="clear"/>
          </w:tcPr>
          <w:p>
            <w:pPr>
              <w:pStyle w:val="TableContents"/>
              <w:spacing w:before="0" w:after="283"/>
              <w:rPr/>
            </w:pPr>
            <w:r>
              <w:rPr/>
              <w:t> </w:t>
            </w:r>
          </w:p>
        </w:tc>
        <w:tc>
          <w:tcPr>
            <w:tcW w:w="298" w:type="dxa"/>
            <w:tcBorders/>
            <w:shd w:fill="auto" w:val="clear"/>
          </w:tcPr>
          <w:p>
            <w:pPr>
              <w:pStyle w:val="TableContents"/>
              <w:spacing w:before="0" w:after="283"/>
              <w:rPr>
                <w:rFonts w:ascii="WINGDINGS" w:hAnsi="WINGDINGS"/>
                <w:sz w:val="20"/>
              </w:rPr>
            </w:pPr>
            <w:r>
              <w:rPr>
                <w:rFonts w:ascii="WINGDINGS" w:hAnsi="WINGDINGS"/>
                <w:sz w:val="20"/>
              </w:rPr>
              <w:t>o</w:t>
            </w:r>
          </w:p>
        </w:tc>
        <w:tc>
          <w:tcPr>
            <w:tcW w:w="107" w:type="dxa"/>
            <w:tcBorders/>
            <w:shd w:fill="auto" w:val="clear"/>
          </w:tcPr>
          <w:p>
            <w:pPr>
              <w:pStyle w:val="TableContents"/>
              <w:spacing w:before="0" w:after="283"/>
              <w:rPr/>
            </w:pPr>
            <w:r>
              <w:rPr/>
              <w:t> </w:t>
            </w:r>
          </w:p>
        </w:tc>
        <w:tc>
          <w:tcPr>
            <w:tcW w:w="9367" w:type="dxa"/>
            <w:gridSpan w:val="3"/>
            <w:tcBorders/>
            <w:shd w:fill="auto" w:val="clear"/>
          </w:tcPr>
          <w:p>
            <w:pPr>
              <w:pStyle w:val="TableContents"/>
              <w:spacing w:before="0" w:after="283"/>
              <w:rPr>
                <w:rFonts w:ascii="times" w:hAnsi="times"/>
                <w:sz w:val="20"/>
              </w:rPr>
            </w:pPr>
            <w:r>
              <w:rPr>
                <w:rFonts w:ascii="times" w:hAnsi="times"/>
                <w:sz w:val="20"/>
              </w:rPr>
              <w:t>Upon filing with the Commission, pursuant to Rule 467(a) (if in connection with an offering being made contemporaneously in the United States and Canada)</w:t>
            </w:r>
          </w:p>
        </w:tc>
      </w:tr>
      <w:tr>
        <w:trPr/>
        <w:tc>
          <w:tcPr>
            <w:tcW w:w="326" w:type="dxa"/>
            <w:tcBorders/>
            <w:shd w:fill="auto" w:val="clear"/>
          </w:tcPr>
          <w:p>
            <w:pPr>
              <w:pStyle w:val="TableContents"/>
              <w:spacing w:before="0" w:after="283"/>
              <w:rPr>
                <w:rFonts w:ascii="times" w:hAnsi="times"/>
                <w:sz w:val="20"/>
              </w:rPr>
            </w:pPr>
            <w:r>
              <w:rPr>
                <w:rFonts w:ascii="times" w:hAnsi="times"/>
                <w:sz w:val="20"/>
              </w:rPr>
              <w:t>B.</w:t>
            </w:r>
          </w:p>
        </w:tc>
        <w:tc>
          <w:tcPr>
            <w:tcW w:w="107" w:type="dxa"/>
            <w:tcBorders/>
            <w:shd w:fill="auto" w:val="clear"/>
          </w:tcPr>
          <w:p>
            <w:pPr>
              <w:pStyle w:val="TableContents"/>
              <w:spacing w:before="0" w:after="283"/>
              <w:rPr/>
            </w:pPr>
            <w:r>
              <w:rPr/>
              <w:t> </w:t>
            </w:r>
          </w:p>
        </w:tc>
        <w:tc>
          <w:tcPr>
            <w:tcW w:w="298" w:type="dxa"/>
            <w:tcBorders/>
            <w:shd w:fill="auto" w:val="clear"/>
          </w:tcPr>
          <w:p>
            <w:pPr>
              <w:pStyle w:val="TableContents"/>
              <w:spacing w:before="0" w:after="283"/>
              <w:rPr/>
            </w:pPr>
            <w:r>
              <w:rPr/>
              <w:t>☒</w:t>
            </w:r>
          </w:p>
        </w:tc>
        <w:tc>
          <w:tcPr>
            <w:tcW w:w="107" w:type="dxa"/>
            <w:tcBorders/>
            <w:shd w:fill="auto" w:val="clear"/>
          </w:tcPr>
          <w:p>
            <w:pPr>
              <w:pStyle w:val="TableContents"/>
              <w:spacing w:before="0" w:after="283"/>
              <w:rPr/>
            </w:pPr>
            <w:r>
              <w:rPr/>
              <w:t> </w:t>
            </w:r>
          </w:p>
        </w:tc>
        <w:tc>
          <w:tcPr>
            <w:tcW w:w="9367" w:type="dxa"/>
            <w:gridSpan w:val="3"/>
            <w:tcBorders/>
            <w:shd w:fill="auto" w:val="clear"/>
          </w:tcPr>
          <w:p>
            <w:pPr>
              <w:pStyle w:val="TableContents"/>
              <w:spacing w:before="0" w:after="283"/>
              <w:rPr>
                <w:rFonts w:ascii="times" w:hAnsi="times"/>
                <w:sz w:val="20"/>
              </w:rPr>
            </w:pPr>
            <w:r>
              <w:rPr>
                <w:rFonts w:ascii="times" w:hAnsi="times"/>
                <w:sz w:val="20"/>
              </w:rPr>
              <w:t>At some future date (check the appropriate box below)</w:t>
            </w:r>
          </w:p>
        </w:tc>
      </w:tr>
      <w:tr>
        <w:trPr/>
        <w:tc>
          <w:tcPr>
            <w:tcW w:w="326" w:type="dxa"/>
            <w:tcBorders/>
            <w:shd w:fill="auto" w:val="clear"/>
          </w:tcPr>
          <w:p>
            <w:pPr>
              <w:pStyle w:val="TableContents"/>
              <w:spacing w:before="0" w:after="283"/>
              <w:rPr/>
            </w:pPr>
            <w:r>
              <w:rPr/>
              <w:t> </w:t>
            </w:r>
          </w:p>
        </w:tc>
        <w:tc>
          <w:tcPr>
            <w:tcW w:w="107" w:type="dxa"/>
            <w:tcBorders/>
            <w:shd w:fill="auto" w:val="clear"/>
          </w:tcPr>
          <w:p>
            <w:pPr>
              <w:pStyle w:val="TableContents"/>
              <w:spacing w:before="0" w:after="283"/>
              <w:rPr/>
            </w:pPr>
            <w:r>
              <w:rPr/>
              <w:t> </w:t>
            </w:r>
          </w:p>
        </w:tc>
        <w:tc>
          <w:tcPr>
            <w:tcW w:w="298" w:type="dxa"/>
            <w:tcBorders/>
            <w:shd w:fill="auto" w:val="clear"/>
          </w:tcPr>
          <w:p>
            <w:pPr>
              <w:pStyle w:val="TableContents"/>
              <w:spacing w:before="0" w:after="283"/>
              <w:rPr>
                <w:rFonts w:ascii="times" w:hAnsi="times"/>
                <w:sz w:val="20"/>
              </w:rPr>
            </w:pPr>
            <w:r>
              <w:rPr>
                <w:rFonts w:ascii="times" w:hAnsi="times"/>
                <w:sz w:val="20"/>
              </w:rPr>
              <w:t>1.</w:t>
            </w:r>
          </w:p>
        </w:tc>
        <w:tc>
          <w:tcPr>
            <w:tcW w:w="107" w:type="dxa"/>
            <w:tcBorders/>
            <w:shd w:fill="auto" w:val="clear"/>
          </w:tcPr>
          <w:p>
            <w:pPr>
              <w:pStyle w:val="TableContents"/>
              <w:spacing w:before="0" w:after="283"/>
              <w:rPr/>
            </w:pPr>
            <w:r>
              <w:rPr/>
              <w:t> </w:t>
            </w:r>
          </w:p>
        </w:tc>
        <w:tc>
          <w:tcPr>
            <w:tcW w:w="298" w:type="dxa"/>
            <w:tcBorders/>
            <w:shd w:fill="auto" w:val="clear"/>
          </w:tcPr>
          <w:p>
            <w:pPr>
              <w:pStyle w:val="TableContents"/>
              <w:spacing w:before="0" w:after="283"/>
              <w:rPr>
                <w:rFonts w:ascii="WINGDINGS" w:hAnsi="WINGDINGS"/>
                <w:sz w:val="20"/>
              </w:rPr>
            </w:pPr>
            <w:r>
              <w:rPr>
                <w:rFonts w:ascii="WINGDINGS" w:hAnsi="WINGDINGS"/>
                <w:sz w:val="20"/>
              </w:rPr>
              <w:t>o</w:t>
            </w:r>
          </w:p>
        </w:tc>
        <w:tc>
          <w:tcPr>
            <w:tcW w:w="107" w:type="dxa"/>
            <w:tcBorders/>
            <w:shd w:fill="auto" w:val="clear"/>
          </w:tcPr>
          <w:p>
            <w:pPr>
              <w:pStyle w:val="TableContents"/>
              <w:spacing w:before="0" w:after="283"/>
              <w:rPr/>
            </w:pPr>
            <w:r>
              <w:rPr/>
              <w:t> </w:t>
            </w:r>
          </w:p>
        </w:tc>
        <w:tc>
          <w:tcPr>
            <w:tcW w:w="8962" w:type="dxa"/>
            <w:tcBorders/>
            <w:shd w:fill="auto" w:val="clear"/>
          </w:tcPr>
          <w:p>
            <w:pPr>
              <w:pStyle w:val="TableContents"/>
              <w:spacing w:before="0" w:after="283"/>
              <w:rPr>
                <w:rFonts w:ascii="times" w:hAnsi="times"/>
                <w:sz w:val="20"/>
              </w:rPr>
            </w:pPr>
            <w:r>
              <w:rPr>
                <w:rFonts w:ascii="times" w:hAnsi="times"/>
                <w:sz w:val="20"/>
              </w:rPr>
              <w:t>pursuant to Rule 467(b) on (            ) at (            ) (designate a time not sooner than 7 calendar days after filing).</w:t>
            </w:r>
          </w:p>
        </w:tc>
      </w:tr>
      <w:tr>
        <w:trPr/>
        <w:tc>
          <w:tcPr>
            <w:tcW w:w="326" w:type="dxa"/>
            <w:tcBorders/>
            <w:shd w:fill="auto" w:val="clear"/>
          </w:tcPr>
          <w:p>
            <w:pPr>
              <w:pStyle w:val="TableContents"/>
              <w:spacing w:before="0" w:after="283"/>
              <w:rPr/>
            </w:pPr>
            <w:r>
              <w:rPr/>
              <w:t> </w:t>
            </w:r>
          </w:p>
        </w:tc>
        <w:tc>
          <w:tcPr>
            <w:tcW w:w="107" w:type="dxa"/>
            <w:tcBorders/>
            <w:shd w:fill="auto" w:val="clear"/>
          </w:tcPr>
          <w:p>
            <w:pPr>
              <w:pStyle w:val="TableContents"/>
              <w:spacing w:before="0" w:after="283"/>
              <w:rPr/>
            </w:pPr>
            <w:r>
              <w:rPr/>
              <w:t> </w:t>
            </w:r>
          </w:p>
        </w:tc>
        <w:tc>
          <w:tcPr>
            <w:tcW w:w="298" w:type="dxa"/>
            <w:tcBorders/>
            <w:shd w:fill="auto" w:val="clear"/>
          </w:tcPr>
          <w:p>
            <w:pPr>
              <w:pStyle w:val="TableContents"/>
              <w:spacing w:before="0" w:after="283"/>
              <w:rPr>
                <w:rFonts w:ascii="times" w:hAnsi="times"/>
                <w:sz w:val="20"/>
              </w:rPr>
            </w:pPr>
            <w:r>
              <w:rPr>
                <w:rFonts w:ascii="times" w:hAnsi="times"/>
                <w:sz w:val="20"/>
              </w:rPr>
              <w:t>2.</w:t>
            </w:r>
          </w:p>
        </w:tc>
        <w:tc>
          <w:tcPr>
            <w:tcW w:w="107" w:type="dxa"/>
            <w:tcBorders/>
            <w:shd w:fill="auto" w:val="clear"/>
          </w:tcPr>
          <w:p>
            <w:pPr>
              <w:pStyle w:val="TableContents"/>
              <w:spacing w:before="0" w:after="283"/>
              <w:rPr/>
            </w:pPr>
            <w:r>
              <w:rPr/>
              <w:t> </w:t>
            </w:r>
          </w:p>
        </w:tc>
        <w:tc>
          <w:tcPr>
            <w:tcW w:w="298" w:type="dxa"/>
            <w:tcBorders/>
            <w:shd w:fill="auto" w:val="clear"/>
          </w:tcPr>
          <w:p>
            <w:pPr>
              <w:pStyle w:val="TableContents"/>
              <w:spacing w:before="0" w:after="283"/>
              <w:rPr>
                <w:rFonts w:ascii="WINGDINGS" w:hAnsi="WINGDINGS"/>
                <w:sz w:val="20"/>
              </w:rPr>
            </w:pPr>
            <w:r>
              <w:rPr>
                <w:rFonts w:ascii="WINGDINGS" w:hAnsi="WINGDINGS"/>
                <w:sz w:val="20"/>
              </w:rPr>
              <w:t>o</w:t>
            </w:r>
          </w:p>
        </w:tc>
        <w:tc>
          <w:tcPr>
            <w:tcW w:w="107" w:type="dxa"/>
            <w:tcBorders/>
            <w:shd w:fill="auto" w:val="clear"/>
          </w:tcPr>
          <w:p>
            <w:pPr>
              <w:pStyle w:val="TableContents"/>
              <w:spacing w:before="0" w:after="283"/>
              <w:rPr/>
            </w:pPr>
            <w:r>
              <w:rPr/>
              <w:t> </w:t>
            </w:r>
          </w:p>
        </w:tc>
        <w:tc>
          <w:tcPr>
            <w:tcW w:w="8962" w:type="dxa"/>
            <w:tcBorders/>
            <w:shd w:fill="auto" w:val="clear"/>
          </w:tcPr>
          <w:p>
            <w:pPr>
              <w:pStyle w:val="TableContents"/>
              <w:spacing w:before="0" w:after="283"/>
              <w:rPr>
                <w:rFonts w:ascii="times" w:hAnsi="times"/>
                <w:sz w:val="20"/>
              </w:rPr>
            </w:pPr>
            <w:r>
              <w:rPr>
                <w:rFonts w:ascii="times" w:hAnsi="times"/>
                <w:sz w:val="20"/>
              </w:rPr>
              <w:t>pursuant to Rule 467(b) on (            ) at (            ) (designate a time 7 calendar days or sooner after filing) because the securities regulatory authority in the review jurisdiction has issued a receipt or notification of clearance on (            ).</w:t>
            </w:r>
          </w:p>
        </w:tc>
      </w:tr>
      <w:tr>
        <w:trPr/>
        <w:tc>
          <w:tcPr>
            <w:tcW w:w="326" w:type="dxa"/>
            <w:tcBorders/>
            <w:shd w:fill="auto" w:val="clear"/>
          </w:tcPr>
          <w:p>
            <w:pPr>
              <w:pStyle w:val="TableContents"/>
              <w:spacing w:before="0" w:after="283"/>
              <w:rPr/>
            </w:pPr>
            <w:r>
              <w:rPr/>
              <w:t> </w:t>
            </w:r>
          </w:p>
        </w:tc>
        <w:tc>
          <w:tcPr>
            <w:tcW w:w="107" w:type="dxa"/>
            <w:tcBorders/>
            <w:shd w:fill="auto" w:val="clear"/>
          </w:tcPr>
          <w:p>
            <w:pPr>
              <w:pStyle w:val="TableContents"/>
              <w:spacing w:before="0" w:after="283"/>
              <w:rPr/>
            </w:pPr>
            <w:r>
              <w:rPr/>
              <w:t> </w:t>
            </w:r>
          </w:p>
        </w:tc>
        <w:tc>
          <w:tcPr>
            <w:tcW w:w="298" w:type="dxa"/>
            <w:tcBorders/>
            <w:shd w:fill="auto" w:val="clear"/>
          </w:tcPr>
          <w:p>
            <w:pPr>
              <w:pStyle w:val="TableContents"/>
              <w:spacing w:before="0" w:after="283"/>
              <w:rPr>
                <w:rFonts w:ascii="times" w:hAnsi="times"/>
                <w:sz w:val="20"/>
              </w:rPr>
            </w:pPr>
            <w:r>
              <w:rPr>
                <w:rFonts w:ascii="times" w:hAnsi="times"/>
                <w:sz w:val="20"/>
              </w:rPr>
              <w:t>3.</w:t>
            </w:r>
          </w:p>
        </w:tc>
        <w:tc>
          <w:tcPr>
            <w:tcW w:w="107" w:type="dxa"/>
            <w:tcBorders/>
            <w:shd w:fill="auto" w:val="clear"/>
          </w:tcPr>
          <w:p>
            <w:pPr>
              <w:pStyle w:val="TableContents"/>
              <w:spacing w:before="0" w:after="283"/>
              <w:rPr/>
            </w:pPr>
            <w:r>
              <w:rPr/>
              <w:t> </w:t>
            </w:r>
          </w:p>
        </w:tc>
        <w:tc>
          <w:tcPr>
            <w:tcW w:w="298" w:type="dxa"/>
            <w:tcBorders/>
            <w:shd w:fill="auto" w:val="clear"/>
          </w:tcPr>
          <w:p>
            <w:pPr>
              <w:pStyle w:val="TableContents"/>
              <w:spacing w:before="0" w:after="283"/>
              <w:rPr>
                <w:rFonts w:ascii="WINGDINGS" w:hAnsi="WINGDINGS"/>
                <w:sz w:val="20"/>
              </w:rPr>
            </w:pPr>
            <w:r>
              <w:rPr>
                <w:rFonts w:ascii="WINGDINGS" w:hAnsi="WINGDINGS"/>
                <w:sz w:val="20"/>
              </w:rPr>
              <w:t>o</w:t>
            </w:r>
          </w:p>
        </w:tc>
        <w:tc>
          <w:tcPr>
            <w:tcW w:w="107" w:type="dxa"/>
            <w:tcBorders/>
            <w:shd w:fill="auto" w:val="clear"/>
          </w:tcPr>
          <w:p>
            <w:pPr>
              <w:pStyle w:val="TableContents"/>
              <w:spacing w:before="0" w:after="283"/>
              <w:rPr/>
            </w:pPr>
            <w:r>
              <w:rPr/>
              <w:t> </w:t>
            </w:r>
          </w:p>
        </w:tc>
        <w:tc>
          <w:tcPr>
            <w:tcW w:w="8962" w:type="dxa"/>
            <w:tcBorders/>
            <w:shd w:fill="auto" w:val="clear"/>
          </w:tcPr>
          <w:p>
            <w:pPr>
              <w:pStyle w:val="TableContents"/>
              <w:spacing w:before="0" w:after="283"/>
              <w:rPr>
                <w:rFonts w:ascii="times" w:hAnsi="times"/>
                <w:sz w:val="20"/>
              </w:rPr>
            </w:pPr>
            <w:r>
              <w:rPr>
                <w:rFonts w:ascii="times" w:hAnsi="times"/>
                <w:sz w:val="20"/>
              </w:rPr>
              <w:t>pursuant to Rule 467(b) as soon as practicable after notification of the Commission by the Registrant or the Canadian securities regulatory authority of the review jurisdiction that a receipt or notification of clearance has been issued with respect hereto.</w:t>
            </w:r>
          </w:p>
        </w:tc>
      </w:tr>
      <w:tr>
        <w:trPr/>
        <w:tc>
          <w:tcPr>
            <w:tcW w:w="326" w:type="dxa"/>
            <w:tcBorders/>
            <w:shd w:fill="auto" w:val="clear"/>
          </w:tcPr>
          <w:p>
            <w:pPr>
              <w:pStyle w:val="TableContents"/>
              <w:spacing w:before="0" w:after="283"/>
              <w:rPr/>
            </w:pPr>
            <w:r>
              <w:rPr/>
              <w:t> </w:t>
            </w:r>
          </w:p>
        </w:tc>
        <w:tc>
          <w:tcPr>
            <w:tcW w:w="107" w:type="dxa"/>
            <w:tcBorders/>
            <w:shd w:fill="auto" w:val="clear"/>
          </w:tcPr>
          <w:p>
            <w:pPr>
              <w:pStyle w:val="TableContents"/>
              <w:spacing w:before="0" w:after="283"/>
              <w:rPr/>
            </w:pPr>
            <w:r>
              <w:rPr/>
              <w:t> </w:t>
            </w:r>
          </w:p>
        </w:tc>
        <w:tc>
          <w:tcPr>
            <w:tcW w:w="298" w:type="dxa"/>
            <w:tcBorders/>
            <w:shd w:fill="auto" w:val="clear"/>
          </w:tcPr>
          <w:p>
            <w:pPr>
              <w:pStyle w:val="TableContents"/>
              <w:spacing w:before="0" w:after="283"/>
              <w:rPr>
                <w:rFonts w:ascii="times" w:hAnsi="times"/>
                <w:sz w:val="20"/>
              </w:rPr>
            </w:pPr>
            <w:r>
              <w:rPr>
                <w:rFonts w:ascii="times" w:hAnsi="times"/>
                <w:sz w:val="20"/>
              </w:rPr>
              <w:t>4.</w:t>
            </w:r>
          </w:p>
        </w:tc>
        <w:tc>
          <w:tcPr>
            <w:tcW w:w="107" w:type="dxa"/>
            <w:tcBorders/>
            <w:shd w:fill="auto" w:val="clear"/>
          </w:tcPr>
          <w:p>
            <w:pPr>
              <w:pStyle w:val="TableContents"/>
              <w:spacing w:before="0" w:after="283"/>
              <w:rPr/>
            </w:pPr>
            <w:r>
              <w:rPr/>
              <w:t> </w:t>
            </w:r>
          </w:p>
        </w:tc>
        <w:tc>
          <w:tcPr>
            <w:tcW w:w="298" w:type="dxa"/>
            <w:tcBorders/>
            <w:shd w:fill="auto" w:val="clear"/>
          </w:tcPr>
          <w:p>
            <w:pPr>
              <w:pStyle w:val="TableContents"/>
              <w:spacing w:before="0" w:after="283"/>
              <w:rPr/>
            </w:pPr>
            <w:r>
              <w:rPr/>
              <w:t>☒</w:t>
            </w:r>
          </w:p>
        </w:tc>
        <w:tc>
          <w:tcPr>
            <w:tcW w:w="107" w:type="dxa"/>
            <w:tcBorders/>
            <w:shd w:fill="auto" w:val="clear"/>
          </w:tcPr>
          <w:p>
            <w:pPr>
              <w:pStyle w:val="TableContents"/>
              <w:spacing w:before="0" w:after="283"/>
              <w:rPr/>
            </w:pPr>
            <w:r>
              <w:rPr/>
              <w:t> </w:t>
            </w:r>
          </w:p>
        </w:tc>
        <w:tc>
          <w:tcPr>
            <w:tcW w:w="8962" w:type="dxa"/>
            <w:tcBorders/>
            <w:shd w:fill="auto" w:val="clear"/>
          </w:tcPr>
          <w:p>
            <w:pPr>
              <w:pStyle w:val="TableContents"/>
              <w:spacing w:before="0" w:after="283"/>
              <w:rPr>
                <w:rFonts w:ascii="times" w:hAnsi="times"/>
                <w:sz w:val="20"/>
              </w:rPr>
            </w:pPr>
            <w:r>
              <w:rPr>
                <w:rFonts w:ascii="times" w:hAnsi="times"/>
                <w:sz w:val="20"/>
              </w:rPr>
              <w:t>after the filing of the next amendment to this Form (if preliminary material is being filed).</w:t>
            </w:r>
          </w:p>
        </w:tc>
      </w:tr>
    </w:tbl>
    <w:p>
      <w:pPr>
        <w:pStyle w:val="TextBody"/>
        <w:rPr/>
      </w:pPr>
      <w:r>
        <w:rPr/>
        <w:t>         </w:t>
      </w:r>
      <w:r>
        <w:rPr>
          <w:rFonts w:ascii="times" w:hAnsi="times"/>
          <w:sz w:val="20"/>
        </w:rPr>
        <w:t xml:space="preserve">If any of the securities being registered on this Form are to be offered on a delayed or continuous basis pursuant to the home jurisdiction's shelf prospectus offering procedures, check the following box. ☒ </w:t>
      </w:r>
    </w:p>
    <w:p>
      <w:pPr>
        <w:pStyle w:val="TextBody"/>
        <w:jc w:val="center"/>
        <w:rPr>
          <w:rFonts w:ascii="times" w:hAnsi="times"/>
          <w:b/>
          <w:sz w:val="20"/>
        </w:rPr>
      </w:pPr>
      <w:r>
        <w:rPr>
          <w:rFonts w:ascii="times" w:hAnsi="times"/>
          <w:b/>
          <w:sz w:val="20"/>
        </w:rPr>
        <w:t xml:space="preserve">CALCULATION OF REGISTRATION FEE </w:t>
      </w:r>
    </w:p>
    <w:tbl>
      <w:tblPr>
        <w:tblW w:w="5000" w:type="pct"/>
        <w:jc w:val="center"/>
        <w:tblInd w:w="0" w:type="dxa"/>
        <w:tblCellMar>
          <w:top w:w="0" w:type="dxa"/>
          <w:left w:w="0" w:type="dxa"/>
          <w:bottom w:w="0" w:type="dxa"/>
          <w:right w:w="0" w:type="dxa"/>
        </w:tblCellMar>
      </w:tblPr>
      <w:tblGrid>
        <w:gridCol w:w="3333"/>
        <w:gridCol w:w="239"/>
        <w:gridCol w:w="2051"/>
        <w:gridCol w:w="239"/>
        <w:gridCol w:w="2052"/>
        <w:gridCol w:w="239"/>
        <w:gridCol w:w="2052"/>
      </w:tblGrid>
      <w:tr>
        <w:trPr/>
        <w:tc>
          <w:tcPr>
            <w:tcW w:w="3333" w:type="dxa"/>
            <w:tcBorders/>
            <w:shd w:fill="auto" w:val="clear"/>
            <w:vAlign w:val="center"/>
          </w:tcPr>
          <w:p>
            <w:pPr>
              <w:pStyle w:val="TableContents"/>
              <w:spacing w:before="0" w:after="283"/>
              <w:rPr>
                <w:sz w:val="4"/>
                <w:szCs w:val="4"/>
              </w:rPr>
            </w:pPr>
            <w:r>
              <w:rPr>
                <w:sz w:val="4"/>
                <w:szCs w:val="4"/>
              </w:rPr>
            </w:r>
          </w:p>
        </w:tc>
        <w:tc>
          <w:tcPr>
            <w:tcW w:w="239" w:type="dxa"/>
            <w:tcBorders/>
            <w:shd w:fill="auto" w:val="clear"/>
            <w:vAlign w:val="center"/>
          </w:tcPr>
          <w:p>
            <w:pPr>
              <w:pStyle w:val="TableContents"/>
              <w:spacing w:before="0" w:after="283"/>
              <w:rPr>
                <w:sz w:val="4"/>
                <w:szCs w:val="4"/>
              </w:rPr>
            </w:pPr>
            <w:r>
              <w:rPr>
                <w:sz w:val="4"/>
                <w:szCs w:val="4"/>
              </w:rPr>
            </w:r>
          </w:p>
        </w:tc>
        <w:tc>
          <w:tcPr>
            <w:tcW w:w="2051" w:type="dxa"/>
            <w:tcBorders/>
            <w:shd w:fill="auto" w:val="clear"/>
            <w:vAlign w:val="center"/>
          </w:tcPr>
          <w:p>
            <w:pPr>
              <w:pStyle w:val="TableContents"/>
              <w:spacing w:before="0" w:after="283"/>
              <w:rPr>
                <w:sz w:val="4"/>
                <w:szCs w:val="4"/>
              </w:rPr>
            </w:pPr>
            <w:r>
              <w:rPr>
                <w:sz w:val="4"/>
                <w:szCs w:val="4"/>
              </w:rPr>
            </w:r>
          </w:p>
        </w:tc>
        <w:tc>
          <w:tcPr>
            <w:tcW w:w="239" w:type="dxa"/>
            <w:tcBorders/>
            <w:shd w:fill="auto" w:val="clear"/>
            <w:vAlign w:val="center"/>
          </w:tcPr>
          <w:p>
            <w:pPr>
              <w:pStyle w:val="TableContents"/>
              <w:spacing w:before="0" w:after="283"/>
              <w:rPr>
                <w:sz w:val="4"/>
                <w:szCs w:val="4"/>
              </w:rPr>
            </w:pPr>
            <w:r>
              <w:rPr>
                <w:sz w:val="4"/>
                <w:szCs w:val="4"/>
              </w:rPr>
            </w:r>
          </w:p>
        </w:tc>
        <w:tc>
          <w:tcPr>
            <w:tcW w:w="2052" w:type="dxa"/>
            <w:tcBorders/>
            <w:shd w:fill="auto" w:val="clear"/>
            <w:vAlign w:val="center"/>
          </w:tcPr>
          <w:p>
            <w:pPr>
              <w:pStyle w:val="TableContents"/>
              <w:spacing w:before="0" w:after="283"/>
              <w:rPr>
                <w:sz w:val="4"/>
                <w:szCs w:val="4"/>
              </w:rPr>
            </w:pPr>
            <w:r>
              <w:rPr>
                <w:sz w:val="4"/>
                <w:szCs w:val="4"/>
              </w:rPr>
            </w:r>
          </w:p>
        </w:tc>
        <w:tc>
          <w:tcPr>
            <w:tcW w:w="239" w:type="dxa"/>
            <w:tcBorders/>
            <w:shd w:fill="auto" w:val="clear"/>
            <w:vAlign w:val="center"/>
          </w:tcPr>
          <w:p>
            <w:pPr>
              <w:pStyle w:val="TableContents"/>
              <w:spacing w:before="0" w:after="283"/>
              <w:rPr>
                <w:sz w:val="4"/>
                <w:szCs w:val="4"/>
              </w:rPr>
            </w:pPr>
            <w:r>
              <w:rPr>
                <w:sz w:val="4"/>
                <w:szCs w:val="4"/>
              </w:rPr>
            </w:r>
          </w:p>
        </w:tc>
        <w:tc>
          <w:tcPr>
            <w:tcW w:w="2052" w:type="dxa"/>
            <w:tcBorders/>
            <w:shd w:fill="auto" w:val="clear"/>
            <w:vAlign w:val="center"/>
          </w:tcPr>
          <w:p>
            <w:pPr>
              <w:pStyle w:val="TableContents"/>
              <w:spacing w:before="0" w:after="283"/>
              <w:rPr>
                <w:sz w:val="4"/>
                <w:szCs w:val="4"/>
              </w:rPr>
            </w:pPr>
            <w:r>
              <w:rPr>
                <w:sz w:val="4"/>
                <w:szCs w:val="4"/>
              </w:rPr>
            </w:r>
          </w:p>
        </w:tc>
      </w:tr>
      <w:tr>
        <w:trPr/>
        <w:tc>
          <w:tcPr>
            <w:tcW w:w="10205" w:type="dxa"/>
            <w:gridSpan w:val="7"/>
            <w:tcBorders>
              <w:bottom w:val="double" w:sz="6" w:space="0" w:color="000000"/>
            </w:tcBorders>
            <w:shd w:fill="auto" w:val="clear"/>
            <w:tcMar>
              <w:bottom w:w="28" w:type="dxa"/>
            </w:tcMar>
            <w:vAlign w:val="bottom"/>
          </w:tcPr>
          <w:p>
            <w:pPr>
              <w:pStyle w:val="TableContents"/>
              <w:spacing w:before="0" w:after="283"/>
              <w:rPr/>
            </w:pPr>
            <w:r>
              <w:rPr/>
              <w:t> </w:t>
            </w:r>
          </w:p>
        </w:tc>
      </w:tr>
      <w:tr>
        <w:trPr/>
        <w:tc>
          <w:tcPr>
            <w:tcW w:w="3333" w:type="dxa"/>
            <w:tcBorders/>
            <w:shd w:fill="auto" w:val="clear"/>
            <w:vAlign w:val="bottom"/>
          </w:tcPr>
          <w:p>
            <w:pPr>
              <w:pStyle w:val="TableHeading"/>
              <w:spacing w:before="0" w:after="283"/>
              <w:jc w:val="center"/>
              <w:rPr>
                <w:rFonts w:ascii="times" w:hAnsi="times"/>
                <w:b/>
                <w:sz w:val="14"/>
              </w:rPr>
            </w:pPr>
            <w:r>
              <w:rPr>
                <w:rFonts w:ascii="times" w:hAnsi="times"/>
                <w:b/>
                <w:sz w:val="14"/>
              </w:rPr>
              <w:t>Title of Each Class of</w:t>
              <w:br/>
              <w:t>Securities to be Registered</w:t>
            </w:r>
          </w:p>
        </w:tc>
        <w:tc>
          <w:tcPr>
            <w:tcW w:w="239" w:type="dxa"/>
            <w:tcBorders/>
            <w:shd w:fill="auto" w:val="clear"/>
            <w:vAlign w:val="bottom"/>
          </w:tcPr>
          <w:p>
            <w:pPr>
              <w:pStyle w:val="TableHeading"/>
              <w:suppressLineNumbers/>
              <w:spacing w:before="0" w:after="283"/>
              <w:jc w:val="center"/>
              <w:rPr/>
            </w:pPr>
            <w:r>
              <w:rPr/>
              <w:t> </w:t>
            </w:r>
          </w:p>
        </w:tc>
        <w:tc>
          <w:tcPr>
            <w:tcW w:w="2051" w:type="dxa"/>
            <w:tcBorders/>
            <w:shd w:fill="auto" w:val="clear"/>
            <w:vAlign w:val="bottom"/>
          </w:tcPr>
          <w:p>
            <w:pPr>
              <w:pStyle w:val="TableHeading"/>
              <w:spacing w:before="0" w:after="283"/>
              <w:jc w:val="center"/>
              <w:rPr>
                <w:rFonts w:ascii="times" w:hAnsi="times"/>
                <w:b/>
                <w:sz w:val="14"/>
              </w:rPr>
            </w:pPr>
            <w:r>
              <w:rPr>
                <w:rFonts w:ascii="times" w:hAnsi="times"/>
                <w:b/>
                <w:sz w:val="14"/>
              </w:rPr>
              <w:t>Amount to be</w:t>
              <w:br/>
              <w:t>Registered</w:t>
            </w:r>
            <w:r>
              <w:rPr>
                <w:rFonts w:ascii="times" w:hAnsi="times"/>
                <w:b/>
                <w:position w:val="5"/>
                <w:sz w:val="11"/>
                <w:sz w:val="14"/>
              </w:rPr>
              <w:t>(1)(2)</w:t>
            </w:r>
          </w:p>
        </w:tc>
        <w:tc>
          <w:tcPr>
            <w:tcW w:w="239" w:type="dxa"/>
            <w:tcBorders/>
            <w:shd w:fill="auto" w:val="clear"/>
            <w:vAlign w:val="bottom"/>
          </w:tcPr>
          <w:p>
            <w:pPr>
              <w:pStyle w:val="TableHeading"/>
              <w:suppressLineNumbers/>
              <w:spacing w:before="0" w:after="283"/>
              <w:jc w:val="center"/>
              <w:rPr/>
            </w:pPr>
            <w:r>
              <w:rPr/>
              <w:t> </w:t>
            </w:r>
          </w:p>
        </w:tc>
        <w:tc>
          <w:tcPr>
            <w:tcW w:w="2052" w:type="dxa"/>
            <w:tcBorders/>
            <w:shd w:fill="auto" w:val="clear"/>
            <w:vAlign w:val="bottom"/>
          </w:tcPr>
          <w:p>
            <w:pPr>
              <w:pStyle w:val="TableHeading"/>
              <w:spacing w:before="0" w:after="283"/>
              <w:jc w:val="center"/>
              <w:rPr>
                <w:rFonts w:ascii="times" w:hAnsi="times"/>
                <w:b/>
                <w:sz w:val="14"/>
              </w:rPr>
            </w:pPr>
            <w:r>
              <w:rPr>
                <w:rFonts w:ascii="times" w:hAnsi="times"/>
                <w:b/>
                <w:sz w:val="14"/>
              </w:rPr>
              <w:t>Proposed Maximum</w:t>
              <w:br/>
              <w:t>Aggregate</w:t>
              <w:br/>
              <w:t>Offering Price</w:t>
            </w:r>
            <w:r>
              <w:rPr>
                <w:rFonts w:ascii="times" w:hAnsi="times"/>
                <w:b/>
                <w:position w:val="5"/>
                <w:sz w:val="11"/>
                <w:sz w:val="14"/>
              </w:rPr>
              <w:t>(3)(4)</w:t>
            </w:r>
          </w:p>
        </w:tc>
        <w:tc>
          <w:tcPr>
            <w:tcW w:w="239" w:type="dxa"/>
            <w:tcBorders/>
            <w:shd w:fill="auto" w:val="clear"/>
            <w:vAlign w:val="bottom"/>
          </w:tcPr>
          <w:p>
            <w:pPr>
              <w:pStyle w:val="TableHeading"/>
              <w:suppressLineNumbers/>
              <w:spacing w:before="0" w:after="283"/>
              <w:jc w:val="center"/>
              <w:rPr/>
            </w:pPr>
            <w:r>
              <w:rPr/>
              <w:t> </w:t>
            </w:r>
          </w:p>
        </w:tc>
        <w:tc>
          <w:tcPr>
            <w:tcW w:w="2052" w:type="dxa"/>
            <w:tcBorders/>
            <w:shd w:fill="auto" w:val="clear"/>
            <w:vAlign w:val="bottom"/>
          </w:tcPr>
          <w:p>
            <w:pPr>
              <w:pStyle w:val="TableHeading"/>
              <w:spacing w:before="0" w:after="283"/>
              <w:jc w:val="center"/>
              <w:rPr>
                <w:rFonts w:ascii="times" w:hAnsi="times"/>
                <w:b/>
                <w:sz w:val="14"/>
              </w:rPr>
            </w:pPr>
            <w:r>
              <w:rPr>
                <w:rFonts w:ascii="times" w:hAnsi="times"/>
                <w:b/>
                <w:sz w:val="14"/>
              </w:rPr>
              <w:t>Amount of</w:t>
              <w:br/>
              <w:t>Registration</w:t>
              <w:br/>
              <w:t>Fee</w:t>
            </w:r>
            <w:r>
              <w:rPr>
                <w:rFonts w:ascii="times" w:hAnsi="times"/>
                <w:b/>
                <w:position w:val="5"/>
                <w:sz w:val="11"/>
                <w:sz w:val="14"/>
              </w:rPr>
              <w:t>(5)</w:t>
            </w:r>
          </w:p>
        </w:tc>
      </w:tr>
      <w:tr>
        <w:trPr/>
        <w:tc>
          <w:tcPr>
            <w:tcW w:w="10205" w:type="dxa"/>
            <w:gridSpan w:val="7"/>
            <w:tcBorders>
              <w:bottom w:val="single" w:sz="8" w:space="0" w:color="000000"/>
            </w:tcBorders>
            <w:shd w:fill="auto" w:val="clear"/>
            <w:tcMar>
              <w:bottom w:w="28" w:type="dxa"/>
            </w:tcMar>
            <w:vAlign w:val="bottom"/>
          </w:tcPr>
          <w:p>
            <w:pPr>
              <w:pStyle w:val="TableContents"/>
              <w:spacing w:before="0" w:after="283"/>
              <w:rPr/>
            </w:pPr>
            <w:r>
              <w:rPr/>
              <w:t> </w:t>
            </w:r>
          </w:p>
        </w:tc>
      </w:tr>
      <w:tr>
        <w:trPr/>
        <w:tc>
          <w:tcPr>
            <w:tcW w:w="3333" w:type="dxa"/>
            <w:tcBorders/>
            <w:shd w:fill="auto" w:val="clear"/>
            <w:vAlign w:val="bottom"/>
          </w:tcPr>
          <w:p>
            <w:pPr>
              <w:pStyle w:val="TableContents"/>
              <w:spacing w:before="0" w:after="283"/>
              <w:rPr>
                <w:rFonts w:ascii="times" w:hAnsi="times"/>
                <w:sz w:val="20"/>
              </w:rPr>
            </w:pPr>
            <w:r>
              <w:rPr>
                <w:rFonts w:ascii="times" w:hAnsi="times"/>
                <w:sz w:val="20"/>
              </w:rPr>
              <w:t>Debt Securities</w:t>
            </w:r>
          </w:p>
        </w:tc>
        <w:tc>
          <w:tcPr>
            <w:tcW w:w="239" w:type="dxa"/>
            <w:tcBorders/>
            <w:shd w:fill="auto" w:val="clear"/>
            <w:vAlign w:val="bottom"/>
          </w:tcPr>
          <w:p>
            <w:pPr>
              <w:pStyle w:val="TableContents"/>
              <w:spacing w:before="0" w:after="283"/>
              <w:rPr/>
            </w:pPr>
            <w:r>
              <w:rPr/>
              <w:t> </w:t>
            </w:r>
          </w:p>
        </w:tc>
        <w:tc>
          <w:tcPr>
            <w:tcW w:w="2051" w:type="dxa"/>
            <w:tcBorders/>
            <w:shd w:fill="auto" w:val="clear"/>
            <w:vAlign w:val="bottom"/>
          </w:tcPr>
          <w:p>
            <w:pPr>
              <w:pStyle w:val="TableContents"/>
              <w:spacing w:before="0" w:after="283"/>
              <w:jc w:val="center"/>
              <w:rPr/>
            </w:pPr>
            <w:r>
              <w:rPr/>
              <w:t> </w:t>
            </w:r>
          </w:p>
        </w:tc>
        <w:tc>
          <w:tcPr>
            <w:tcW w:w="239" w:type="dxa"/>
            <w:tcBorders/>
            <w:shd w:fill="auto" w:val="clear"/>
            <w:vAlign w:val="bottom"/>
          </w:tcPr>
          <w:p>
            <w:pPr>
              <w:pStyle w:val="TableContents"/>
              <w:spacing w:before="0" w:after="283"/>
              <w:rPr/>
            </w:pPr>
            <w:r>
              <w:rPr/>
              <w:t> </w:t>
            </w:r>
          </w:p>
        </w:tc>
        <w:tc>
          <w:tcPr>
            <w:tcW w:w="2052" w:type="dxa"/>
            <w:tcBorders/>
            <w:shd w:fill="auto" w:val="clear"/>
            <w:vAlign w:val="bottom"/>
          </w:tcPr>
          <w:p>
            <w:pPr>
              <w:pStyle w:val="TableContents"/>
              <w:spacing w:before="0" w:after="283"/>
              <w:jc w:val="center"/>
              <w:rPr/>
            </w:pPr>
            <w:r>
              <w:rPr/>
              <w:t> </w:t>
            </w:r>
          </w:p>
        </w:tc>
        <w:tc>
          <w:tcPr>
            <w:tcW w:w="239" w:type="dxa"/>
            <w:tcBorders/>
            <w:shd w:fill="auto" w:val="clear"/>
            <w:vAlign w:val="bottom"/>
          </w:tcPr>
          <w:p>
            <w:pPr>
              <w:pStyle w:val="TableContents"/>
              <w:spacing w:before="0" w:after="283"/>
              <w:rPr/>
            </w:pPr>
            <w:r>
              <w:rPr/>
              <w:t> </w:t>
            </w:r>
          </w:p>
        </w:tc>
        <w:tc>
          <w:tcPr>
            <w:tcW w:w="2052" w:type="dxa"/>
            <w:tcBorders/>
            <w:shd w:fill="auto" w:val="clear"/>
            <w:vAlign w:val="bottom"/>
          </w:tcPr>
          <w:p>
            <w:pPr>
              <w:pStyle w:val="TableContents"/>
              <w:spacing w:before="0" w:after="283"/>
              <w:jc w:val="center"/>
              <w:rPr/>
            </w:pPr>
            <w:r>
              <w:rPr/>
              <w:t> </w:t>
            </w:r>
          </w:p>
        </w:tc>
      </w:tr>
      <w:tr>
        <w:trPr/>
        <w:tc>
          <w:tcPr>
            <w:tcW w:w="10205" w:type="dxa"/>
            <w:gridSpan w:val="7"/>
            <w:tcBorders>
              <w:bottom w:val="single" w:sz="8" w:space="0" w:color="000000"/>
            </w:tcBorders>
            <w:shd w:fill="auto" w:val="clear"/>
            <w:tcMar>
              <w:bottom w:w="28" w:type="dxa"/>
            </w:tcMar>
            <w:vAlign w:val="bottom"/>
          </w:tcPr>
          <w:p>
            <w:pPr>
              <w:pStyle w:val="TableContents"/>
              <w:spacing w:before="0" w:after="283"/>
              <w:rPr/>
            </w:pPr>
            <w:r>
              <w:rPr/>
              <w:t> </w:t>
            </w:r>
          </w:p>
        </w:tc>
      </w:tr>
      <w:tr>
        <w:trPr/>
        <w:tc>
          <w:tcPr>
            <w:tcW w:w="3333" w:type="dxa"/>
            <w:tcBorders/>
            <w:shd w:fill="auto" w:val="clear"/>
            <w:vAlign w:val="bottom"/>
          </w:tcPr>
          <w:p>
            <w:pPr>
              <w:pStyle w:val="TableContents"/>
              <w:spacing w:before="0" w:after="283"/>
              <w:rPr>
                <w:rFonts w:ascii="times" w:hAnsi="times"/>
                <w:sz w:val="20"/>
              </w:rPr>
            </w:pPr>
            <w:r>
              <w:rPr>
                <w:rFonts w:ascii="times" w:hAnsi="times"/>
                <w:sz w:val="20"/>
              </w:rPr>
              <w:t>Common Shares (no par value)</w:t>
            </w:r>
          </w:p>
        </w:tc>
        <w:tc>
          <w:tcPr>
            <w:tcW w:w="239" w:type="dxa"/>
            <w:tcBorders/>
            <w:shd w:fill="auto" w:val="clear"/>
            <w:vAlign w:val="bottom"/>
          </w:tcPr>
          <w:p>
            <w:pPr>
              <w:pStyle w:val="TableContents"/>
              <w:spacing w:before="0" w:after="283"/>
              <w:rPr/>
            </w:pPr>
            <w:r>
              <w:rPr/>
              <w:t> </w:t>
            </w:r>
          </w:p>
        </w:tc>
        <w:tc>
          <w:tcPr>
            <w:tcW w:w="2051" w:type="dxa"/>
            <w:tcBorders/>
            <w:shd w:fill="auto" w:val="clear"/>
            <w:vAlign w:val="bottom"/>
          </w:tcPr>
          <w:p>
            <w:pPr>
              <w:pStyle w:val="TableContents"/>
              <w:spacing w:before="0" w:after="283"/>
              <w:jc w:val="center"/>
              <w:rPr/>
            </w:pPr>
            <w:r>
              <w:rPr/>
              <w:t> </w:t>
            </w:r>
          </w:p>
        </w:tc>
        <w:tc>
          <w:tcPr>
            <w:tcW w:w="239" w:type="dxa"/>
            <w:tcBorders/>
            <w:shd w:fill="auto" w:val="clear"/>
            <w:vAlign w:val="bottom"/>
          </w:tcPr>
          <w:p>
            <w:pPr>
              <w:pStyle w:val="TableContents"/>
              <w:spacing w:before="0" w:after="283"/>
              <w:rPr/>
            </w:pPr>
            <w:r>
              <w:rPr/>
              <w:t> </w:t>
            </w:r>
          </w:p>
        </w:tc>
        <w:tc>
          <w:tcPr>
            <w:tcW w:w="2052" w:type="dxa"/>
            <w:tcBorders/>
            <w:shd w:fill="auto" w:val="clear"/>
            <w:vAlign w:val="bottom"/>
          </w:tcPr>
          <w:p>
            <w:pPr>
              <w:pStyle w:val="TableContents"/>
              <w:spacing w:before="0" w:after="283"/>
              <w:jc w:val="center"/>
              <w:rPr/>
            </w:pPr>
            <w:r>
              <w:rPr/>
              <w:t> </w:t>
            </w:r>
          </w:p>
        </w:tc>
        <w:tc>
          <w:tcPr>
            <w:tcW w:w="239" w:type="dxa"/>
            <w:tcBorders/>
            <w:shd w:fill="auto" w:val="clear"/>
            <w:vAlign w:val="bottom"/>
          </w:tcPr>
          <w:p>
            <w:pPr>
              <w:pStyle w:val="TableContents"/>
              <w:spacing w:before="0" w:after="283"/>
              <w:rPr/>
            </w:pPr>
            <w:r>
              <w:rPr/>
              <w:t> </w:t>
            </w:r>
          </w:p>
        </w:tc>
        <w:tc>
          <w:tcPr>
            <w:tcW w:w="2052" w:type="dxa"/>
            <w:tcBorders/>
            <w:shd w:fill="auto" w:val="clear"/>
            <w:vAlign w:val="bottom"/>
          </w:tcPr>
          <w:p>
            <w:pPr>
              <w:pStyle w:val="TableContents"/>
              <w:spacing w:before="0" w:after="283"/>
              <w:jc w:val="center"/>
              <w:rPr/>
            </w:pPr>
            <w:r>
              <w:rPr/>
              <w:t> </w:t>
            </w:r>
          </w:p>
        </w:tc>
      </w:tr>
      <w:tr>
        <w:trPr/>
        <w:tc>
          <w:tcPr>
            <w:tcW w:w="10205" w:type="dxa"/>
            <w:gridSpan w:val="7"/>
            <w:tcBorders>
              <w:bottom w:val="single" w:sz="8" w:space="0" w:color="000000"/>
            </w:tcBorders>
            <w:shd w:fill="auto" w:val="clear"/>
            <w:tcMar>
              <w:bottom w:w="28" w:type="dxa"/>
            </w:tcMar>
            <w:vAlign w:val="bottom"/>
          </w:tcPr>
          <w:p>
            <w:pPr>
              <w:pStyle w:val="TableContents"/>
              <w:spacing w:before="0" w:after="283"/>
              <w:rPr/>
            </w:pPr>
            <w:r>
              <w:rPr/>
              <w:t> </w:t>
            </w:r>
          </w:p>
        </w:tc>
      </w:tr>
      <w:tr>
        <w:trPr/>
        <w:tc>
          <w:tcPr>
            <w:tcW w:w="3333" w:type="dxa"/>
            <w:tcBorders/>
            <w:shd w:fill="auto" w:val="clear"/>
            <w:vAlign w:val="bottom"/>
          </w:tcPr>
          <w:p>
            <w:pPr>
              <w:pStyle w:val="TableContents"/>
              <w:spacing w:before="0" w:after="283"/>
              <w:rPr>
                <w:rFonts w:ascii="times" w:hAnsi="times"/>
                <w:sz w:val="20"/>
              </w:rPr>
            </w:pPr>
            <w:r>
              <w:rPr>
                <w:rFonts w:ascii="times" w:hAnsi="times"/>
                <w:sz w:val="20"/>
              </w:rPr>
              <w:t>Warrants</w:t>
            </w:r>
          </w:p>
        </w:tc>
        <w:tc>
          <w:tcPr>
            <w:tcW w:w="239" w:type="dxa"/>
            <w:tcBorders/>
            <w:shd w:fill="auto" w:val="clear"/>
            <w:vAlign w:val="bottom"/>
          </w:tcPr>
          <w:p>
            <w:pPr>
              <w:pStyle w:val="TableContents"/>
              <w:spacing w:before="0" w:after="283"/>
              <w:rPr/>
            </w:pPr>
            <w:r>
              <w:rPr/>
              <w:t> </w:t>
            </w:r>
          </w:p>
        </w:tc>
        <w:tc>
          <w:tcPr>
            <w:tcW w:w="2051" w:type="dxa"/>
            <w:tcBorders/>
            <w:shd w:fill="auto" w:val="clear"/>
            <w:vAlign w:val="bottom"/>
          </w:tcPr>
          <w:p>
            <w:pPr>
              <w:pStyle w:val="TableContents"/>
              <w:spacing w:before="0" w:after="283"/>
              <w:jc w:val="center"/>
              <w:rPr/>
            </w:pPr>
            <w:r>
              <w:rPr/>
              <w:t> </w:t>
            </w:r>
          </w:p>
        </w:tc>
        <w:tc>
          <w:tcPr>
            <w:tcW w:w="239" w:type="dxa"/>
            <w:tcBorders/>
            <w:shd w:fill="auto" w:val="clear"/>
            <w:vAlign w:val="bottom"/>
          </w:tcPr>
          <w:p>
            <w:pPr>
              <w:pStyle w:val="TableContents"/>
              <w:spacing w:before="0" w:after="283"/>
              <w:rPr/>
            </w:pPr>
            <w:r>
              <w:rPr/>
              <w:t> </w:t>
            </w:r>
          </w:p>
        </w:tc>
        <w:tc>
          <w:tcPr>
            <w:tcW w:w="2052" w:type="dxa"/>
            <w:tcBorders/>
            <w:shd w:fill="auto" w:val="clear"/>
            <w:vAlign w:val="bottom"/>
          </w:tcPr>
          <w:p>
            <w:pPr>
              <w:pStyle w:val="TableContents"/>
              <w:spacing w:before="0" w:after="283"/>
              <w:jc w:val="center"/>
              <w:rPr/>
            </w:pPr>
            <w:r>
              <w:rPr/>
              <w:t> </w:t>
            </w:r>
          </w:p>
        </w:tc>
        <w:tc>
          <w:tcPr>
            <w:tcW w:w="239" w:type="dxa"/>
            <w:tcBorders/>
            <w:shd w:fill="auto" w:val="clear"/>
            <w:vAlign w:val="bottom"/>
          </w:tcPr>
          <w:p>
            <w:pPr>
              <w:pStyle w:val="TableContents"/>
              <w:spacing w:before="0" w:after="283"/>
              <w:rPr/>
            </w:pPr>
            <w:r>
              <w:rPr/>
              <w:t> </w:t>
            </w:r>
          </w:p>
        </w:tc>
        <w:tc>
          <w:tcPr>
            <w:tcW w:w="2052" w:type="dxa"/>
            <w:tcBorders/>
            <w:shd w:fill="auto" w:val="clear"/>
            <w:vAlign w:val="bottom"/>
          </w:tcPr>
          <w:p>
            <w:pPr>
              <w:pStyle w:val="TableContents"/>
              <w:spacing w:before="0" w:after="283"/>
              <w:jc w:val="center"/>
              <w:rPr/>
            </w:pPr>
            <w:r>
              <w:rPr/>
              <w:t> </w:t>
            </w:r>
          </w:p>
        </w:tc>
      </w:tr>
      <w:tr>
        <w:trPr/>
        <w:tc>
          <w:tcPr>
            <w:tcW w:w="10205" w:type="dxa"/>
            <w:gridSpan w:val="7"/>
            <w:tcBorders>
              <w:bottom w:val="single" w:sz="8" w:space="0" w:color="000000"/>
            </w:tcBorders>
            <w:shd w:fill="auto" w:val="clear"/>
            <w:tcMar>
              <w:bottom w:w="28" w:type="dxa"/>
            </w:tcMar>
            <w:vAlign w:val="bottom"/>
          </w:tcPr>
          <w:p>
            <w:pPr>
              <w:pStyle w:val="TableContents"/>
              <w:spacing w:before="0" w:after="283"/>
              <w:rPr/>
            </w:pPr>
            <w:r>
              <w:rPr/>
              <w:t> </w:t>
            </w:r>
          </w:p>
        </w:tc>
      </w:tr>
      <w:tr>
        <w:trPr/>
        <w:tc>
          <w:tcPr>
            <w:tcW w:w="3333" w:type="dxa"/>
            <w:tcBorders/>
            <w:shd w:fill="auto" w:val="clear"/>
            <w:vAlign w:val="bottom"/>
          </w:tcPr>
          <w:p>
            <w:pPr>
              <w:pStyle w:val="TableContents"/>
              <w:spacing w:before="0" w:after="283"/>
              <w:rPr>
                <w:rFonts w:ascii="times" w:hAnsi="times"/>
                <w:sz w:val="20"/>
              </w:rPr>
            </w:pPr>
            <w:r>
              <w:rPr>
                <w:rFonts w:ascii="times" w:hAnsi="times"/>
                <w:sz w:val="20"/>
              </w:rPr>
              <w:t>Total</w:t>
            </w:r>
          </w:p>
        </w:tc>
        <w:tc>
          <w:tcPr>
            <w:tcW w:w="239" w:type="dxa"/>
            <w:tcBorders/>
            <w:shd w:fill="auto" w:val="clear"/>
            <w:vAlign w:val="bottom"/>
          </w:tcPr>
          <w:p>
            <w:pPr>
              <w:pStyle w:val="TableContents"/>
              <w:spacing w:before="0" w:after="283"/>
              <w:rPr/>
            </w:pPr>
            <w:r>
              <w:rPr/>
              <w:t> </w:t>
            </w:r>
          </w:p>
        </w:tc>
        <w:tc>
          <w:tcPr>
            <w:tcW w:w="2051" w:type="dxa"/>
            <w:tcBorders/>
            <w:shd w:fill="auto" w:val="clear"/>
            <w:vAlign w:val="bottom"/>
          </w:tcPr>
          <w:p>
            <w:pPr>
              <w:pStyle w:val="TableContents"/>
              <w:spacing w:before="0" w:after="283"/>
              <w:jc w:val="center"/>
              <w:rPr>
                <w:rFonts w:ascii="times" w:hAnsi="times"/>
                <w:sz w:val="20"/>
              </w:rPr>
            </w:pPr>
            <w:r>
              <w:rPr>
                <w:rFonts w:ascii="times" w:hAnsi="times"/>
                <w:sz w:val="20"/>
              </w:rPr>
              <w:t>US$500,000,000</w:t>
            </w:r>
          </w:p>
        </w:tc>
        <w:tc>
          <w:tcPr>
            <w:tcW w:w="239" w:type="dxa"/>
            <w:tcBorders/>
            <w:shd w:fill="auto" w:val="clear"/>
            <w:vAlign w:val="bottom"/>
          </w:tcPr>
          <w:p>
            <w:pPr>
              <w:pStyle w:val="TableContents"/>
              <w:spacing w:before="0" w:after="283"/>
              <w:rPr/>
            </w:pPr>
            <w:r>
              <w:rPr/>
              <w:t> </w:t>
            </w:r>
          </w:p>
        </w:tc>
        <w:tc>
          <w:tcPr>
            <w:tcW w:w="2052" w:type="dxa"/>
            <w:tcBorders/>
            <w:shd w:fill="auto" w:val="clear"/>
            <w:vAlign w:val="bottom"/>
          </w:tcPr>
          <w:p>
            <w:pPr>
              <w:pStyle w:val="TableContents"/>
              <w:spacing w:before="0" w:after="283"/>
              <w:jc w:val="center"/>
              <w:rPr>
                <w:rFonts w:ascii="times" w:hAnsi="times"/>
                <w:sz w:val="20"/>
              </w:rPr>
            </w:pPr>
            <w:r>
              <w:rPr>
                <w:rFonts w:ascii="times" w:hAnsi="times"/>
                <w:sz w:val="20"/>
              </w:rPr>
              <w:t>US$500,000,000</w:t>
            </w:r>
          </w:p>
        </w:tc>
        <w:tc>
          <w:tcPr>
            <w:tcW w:w="239" w:type="dxa"/>
            <w:tcBorders/>
            <w:shd w:fill="auto" w:val="clear"/>
            <w:vAlign w:val="bottom"/>
          </w:tcPr>
          <w:p>
            <w:pPr>
              <w:pStyle w:val="TableContents"/>
              <w:spacing w:before="0" w:after="283"/>
              <w:rPr/>
            </w:pPr>
            <w:r>
              <w:rPr/>
              <w:t> </w:t>
            </w:r>
          </w:p>
        </w:tc>
        <w:tc>
          <w:tcPr>
            <w:tcW w:w="2052" w:type="dxa"/>
            <w:tcBorders/>
            <w:shd w:fill="auto" w:val="clear"/>
            <w:vAlign w:val="bottom"/>
          </w:tcPr>
          <w:p>
            <w:pPr>
              <w:pStyle w:val="TableContents"/>
              <w:spacing w:before="0" w:after="283"/>
              <w:jc w:val="center"/>
              <w:rPr>
                <w:rFonts w:ascii="times" w:hAnsi="times"/>
                <w:sz w:val="20"/>
              </w:rPr>
            </w:pPr>
            <w:r>
              <w:rPr>
                <w:rFonts w:ascii="times" w:hAnsi="times"/>
                <w:sz w:val="20"/>
              </w:rPr>
              <w:t>US$68,200</w:t>
            </w:r>
          </w:p>
        </w:tc>
      </w:tr>
      <w:tr>
        <w:trPr/>
        <w:tc>
          <w:tcPr>
            <w:tcW w:w="10205" w:type="dxa"/>
            <w:gridSpan w:val="7"/>
            <w:tcBorders>
              <w:bottom w:val="double" w:sz="6" w:space="0" w:color="000000"/>
            </w:tcBorders>
            <w:shd w:fill="auto" w:val="clear"/>
            <w:tcMar>
              <w:bottom w:w="28" w:type="dxa"/>
            </w:tcMar>
            <w:vAlign w:val="bottom"/>
          </w:tcPr>
          <w:p>
            <w:pPr>
              <w:pStyle w:val="TableContents"/>
              <w:spacing w:before="0" w:after="283"/>
              <w:rPr/>
            </w:pPr>
            <w:r>
              <w:rPr/>
              <w:t> </w:t>
            </w:r>
          </w:p>
        </w:tc>
      </w:tr>
    </w:tbl>
    <w:p>
      <w:pPr>
        <w:pStyle w:val="ListHeading"/>
        <w:spacing w:before="0" w:after="0"/>
        <w:jc w:val="left"/>
        <w:rPr>
          <w:rFonts w:ascii="times" w:hAnsi="times"/>
          <w:sz w:val="14"/>
        </w:rPr>
      </w:pPr>
      <w:r>
        <w:rPr>
          <w:rFonts w:ascii="times" w:hAnsi="times"/>
          <w:sz w:val="14"/>
        </w:rPr>
        <w:t>(1)</w:t>
      </w:r>
    </w:p>
    <w:p>
      <w:pPr>
        <w:pStyle w:val="ListContents"/>
        <w:spacing w:before="0" w:after="283"/>
        <w:jc w:val="left"/>
        <w:rPr>
          <w:rFonts w:ascii="times" w:hAnsi="times"/>
          <w:sz w:val="14"/>
        </w:rPr>
      </w:pPr>
      <w:r>
        <w:rPr>
          <w:rFonts w:ascii="times" w:hAnsi="times"/>
          <w:sz w:val="14"/>
        </w:rPr>
        <w:t xml:space="preserve">There are being registered under this Registration Statement such indeterminate number of common shares, debt securities and warrants of the Registrant, including an indeterminate number of such securities that may be issued upon conversion or exchange of debt securities or exercise of warrants, as shall have an aggregate initial offering price not to exceed US$500,000,000. Any securities registered by this Registration Statement may be sold separately or as units with other securities registered under this Registration Statement. The proposed maximum initial offering price per security will be determined, from time to time, by the Registrant in connection with the sale of the securities under this Registration Statement. </w:t>
      </w:r>
    </w:p>
    <w:p>
      <w:pPr>
        <w:pStyle w:val="ListHeading"/>
        <w:spacing w:before="0" w:after="0"/>
        <w:jc w:val="left"/>
        <w:rPr>
          <w:rFonts w:ascii="times" w:hAnsi="times"/>
          <w:sz w:val="14"/>
        </w:rPr>
      </w:pPr>
      <w:r>
        <w:rPr>
          <w:rFonts w:ascii="times" w:hAnsi="times"/>
          <w:sz w:val="14"/>
        </w:rPr>
        <w:t>(2)</w:t>
      </w:r>
    </w:p>
    <w:p>
      <w:pPr>
        <w:pStyle w:val="ListContents"/>
        <w:spacing w:before="0" w:after="283"/>
        <w:jc w:val="left"/>
        <w:rPr>
          <w:rFonts w:ascii="times" w:hAnsi="times"/>
          <w:sz w:val="14"/>
        </w:rPr>
      </w:pPr>
      <w:r>
        <w:rPr>
          <w:rFonts w:ascii="times" w:hAnsi="times"/>
          <w:sz w:val="14"/>
        </w:rPr>
        <w:t xml:space="preserve">Includes securities that are to be offered outside the United States but may be resold from time to time in the United States in transactions subject to registration under the Securities Act of 1933, as amended (the "Securities Act"). </w:t>
      </w:r>
    </w:p>
    <w:p>
      <w:pPr>
        <w:pStyle w:val="ListHeading"/>
        <w:spacing w:before="0" w:after="0"/>
        <w:jc w:val="left"/>
        <w:rPr>
          <w:rFonts w:ascii="times" w:hAnsi="times"/>
          <w:sz w:val="14"/>
        </w:rPr>
      </w:pPr>
      <w:r>
        <w:rPr>
          <w:rFonts w:ascii="times" w:hAnsi="times"/>
          <w:sz w:val="14"/>
        </w:rPr>
        <w:t>(3)</w:t>
      </w:r>
    </w:p>
    <w:p>
      <w:pPr>
        <w:pStyle w:val="ListContents"/>
        <w:spacing w:before="0" w:after="283"/>
        <w:jc w:val="left"/>
        <w:rPr>
          <w:rFonts w:ascii="times" w:hAnsi="times"/>
          <w:sz w:val="14"/>
        </w:rPr>
      </w:pPr>
      <w:r>
        <w:rPr>
          <w:rFonts w:ascii="times" w:hAnsi="times"/>
          <w:sz w:val="14"/>
        </w:rPr>
        <w:t xml:space="preserve">In United States dollars or the equivalent thereof in Canadian dollars. </w:t>
      </w:r>
    </w:p>
    <w:p>
      <w:pPr>
        <w:pStyle w:val="ListHeading"/>
        <w:spacing w:before="0" w:after="0"/>
        <w:jc w:val="left"/>
        <w:rPr>
          <w:rFonts w:ascii="times" w:hAnsi="times"/>
          <w:sz w:val="14"/>
        </w:rPr>
      </w:pPr>
      <w:r>
        <w:rPr>
          <w:rFonts w:ascii="times" w:hAnsi="times"/>
          <w:sz w:val="14"/>
        </w:rPr>
        <w:t>(4)</w:t>
      </w:r>
    </w:p>
    <w:p>
      <w:pPr>
        <w:pStyle w:val="ListContents"/>
        <w:spacing w:before="0" w:after="283"/>
        <w:jc w:val="left"/>
        <w:rPr>
          <w:rFonts w:ascii="times" w:hAnsi="times"/>
          <w:sz w:val="14"/>
        </w:rPr>
      </w:pPr>
      <w:r>
        <w:rPr>
          <w:rFonts w:ascii="times" w:hAnsi="times"/>
          <w:sz w:val="14"/>
        </w:rPr>
        <w:t xml:space="preserve">Estimated solely for the purpose of calculating the amount of the registration fee pursuant to Rule 457(o) of the Securities Act. </w:t>
      </w:r>
    </w:p>
    <w:p>
      <w:pPr>
        <w:pStyle w:val="ListHeading"/>
        <w:spacing w:before="0" w:after="0"/>
        <w:jc w:val="left"/>
        <w:rPr>
          <w:rFonts w:ascii="times" w:hAnsi="times"/>
          <w:sz w:val="14"/>
        </w:rPr>
      </w:pPr>
      <w:r>
        <w:rPr>
          <w:rFonts w:ascii="times" w:hAnsi="times"/>
          <w:sz w:val="14"/>
        </w:rPr>
        <w:t>(5)</w:t>
      </w:r>
    </w:p>
    <w:p>
      <w:pPr>
        <w:pStyle w:val="ListContents"/>
        <w:spacing w:before="0" w:after="283"/>
        <w:jc w:val="left"/>
        <w:rPr>
          <w:rFonts w:ascii="times" w:hAnsi="times"/>
          <w:sz w:val="14"/>
        </w:rPr>
      </w:pPr>
      <w:r>
        <w:rPr>
          <w:rFonts w:ascii="times" w:hAnsi="times"/>
          <w:sz w:val="14"/>
        </w:rPr>
        <w:t xml:space="preserve">The Registrant previously paid US$58,050 in registration fees to the Commission in connection with the Registration Statement on Form F-10 (File No. 333-174751) filed with the Commission on June 7, 2011, under which no securities were sold. Therefore, pursuant to Rule 457(p) under the Securities Act, registration fees in the amount of US$58,050 already paid by the Registrant are offset against the total registration fee of US$68,200 due for this Registration Statement. </w:t>
      </w:r>
    </w:p>
    <w:p>
      <w:pPr>
        <w:pStyle w:val="TextBody"/>
        <w:rPr/>
      </w:pPr>
      <w:r>
        <w:rPr/>
        <w:t>         </w:t>
      </w:r>
      <w:r>
        <w:rPr>
          <w:rFonts w:ascii="times" w:hAnsi="times"/>
          <w:b/>
          <w:sz w:val="20"/>
        </w:rPr>
        <w:t>The Registrant hereby amends this Registration Statement on such date or dates as may be necessary to delay its effective date until the Registration Statement shall become effective as provided in Rule 467 under the Securities Act of 1933 or on such date as the Commission, acting pursuant to Section 8(a) of the Act, may determine.</w:t>
      </w:r>
    </w:p>
    <w:p>
      <w:pPr>
        <w:pStyle w:val="TextBody"/>
        <w:rPr/>
      </w:pPr>
      <w:r>
        <w:rPr/>
        <w:t> </w:t>
      </w:r>
    </w:p>
    <w:p>
      <w:pPr>
        <w:pStyle w:val="HorizontalLine"/>
        <w:pBdr>
          <w:bottom w:val="single" w:sz="20" w:space="0" w:color="808080"/>
        </w:pBdr>
        <w:rPr/>
      </w:pPr>
      <w:r>
        <w:rPr/>
      </w:r>
      <w:r>
        <w:br w:type="page"/>
      </w:r>
    </w:p>
    <w:p>
      <w:pPr>
        <w:pStyle w:val="TextBody"/>
        <w:jc w:val="center"/>
        <w:rPr>
          <w:rFonts w:ascii="times" w:hAnsi="times"/>
        </w:rPr>
      </w:pPr>
      <w:bookmarkStart w:id="2" w:name="toc_da48001_1"/>
      <w:bookmarkStart w:id="3" w:name="da48001_part_i_information_required_to__"/>
      <w:bookmarkStart w:id="4" w:name="page_da48001_1_1"/>
      <w:bookmarkEnd w:id="2"/>
      <w:bookmarkEnd w:id="3"/>
      <w:bookmarkEnd w:id="4"/>
      <w:r>
        <w:rPr>
          <w:rFonts w:ascii="times" w:hAnsi="times"/>
          <w:sz w:val="20"/>
        </w:rPr>
        <w:br/>
      </w:r>
      <w:r>
        <w:rPr>
          <w:rFonts w:ascii="times" w:hAnsi="times"/>
          <w:b/>
          <w:sz w:val="20"/>
        </w:rPr>
        <w:t>PART I</w:t>
        <w:br/>
        <w:br/>
        <w:t xml:space="preserve">INFORMATION REQUIRED TO BE DELIVERED TO OFFEREES OR PURCHASERS </w:t>
      </w:r>
    </w:p>
    <w:p>
      <w:pPr>
        <w:pStyle w:val="TextBody"/>
        <w:jc w:val="center"/>
        <w:rPr>
          <w:rFonts w:ascii="times" w:hAnsi="times"/>
          <w:sz w:val="20"/>
        </w:rPr>
      </w:pPr>
      <w:r>
        <w:rPr>
          <w:rFonts w:ascii="times" w:hAnsi="times"/>
          <w:sz w:val="20"/>
        </w:rPr>
        <w:t>I-1</w:t>
      </w:r>
    </w:p>
    <w:p>
      <w:pPr>
        <w:pStyle w:val="HorizontalLine"/>
        <w:pBdr>
          <w:bottom w:val="single" w:sz="20" w:space="0" w:color="808080"/>
        </w:pBdr>
        <w:rPr/>
      </w:pPr>
      <w:r>
        <w:rPr/>
      </w:r>
      <w:r>
        <w:br w:type="page"/>
      </w:r>
    </w:p>
    <w:p>
      <w:pPr>
        <w:pStyle w:val="TextBody"/>
        <w:jc w:val="both"/>
        <w:rPr>
          <w:rFonts w:ascii="times" w:hAnsi="times"/>
          <w:b/>
          <w:color w:val="FD1B14"/>
          <w:sz w:val="20"/>
        </w:rPr>
      </w:pPr>
      <w:r>
        <w:rPr>
          <w:rFonts w:ascii="times" w:hAnsi="times"/>
          <w:b/>
          <w:color w:val="FD1B14"/>
          <w:sz w:val="20"/>
        </w:rPr>
        <w:t>Information contained herein is subject to completion or amendment. A registration statement relating to these securities has been filed with the Securities and Exchange Commission. These securities may not be sold nor may offers to buy be accepted prior to the time the registration statement becomes effective. This prospectus shall not constitute an offer to sell or the solicitation of an offer to buy nor shall there be any sale of these securities in any State in which such offer, solicitation or sale would be unlawful prior to registration or qualification under the securities laws of any such State.</w:t>
      </w:r>
    </w:p>
    <w:p>
      <w:pPr>
        <w:pStyle w:val="TextBody"/>
        <w:jc w:val="both"/>
        <w:rPr>
          <w:rFonts w:ascii="times" w:hAnsi="times"/>
          <w:b/>
          <w:sz w:val="20"/>
        </w:rPr>
      </w:pPr>
      <w:r>
        <w:rPr>
          <w:rFonts w:ascii="times" w:hAnsi="times"/>
          <w:b/>
          <w:sz w:val="20"/>
        </w:rPr>
        <w:t>This offering is made by a foreign issuer that is permitted, under a multijurisdictional disclosure system adopted by the United States, to prepare this prospectus in accordance with the disclosure requirements of Canada. Prospective investors should be aware that such requirements are different from those of the United States.</w:t>
      </w:r>
    </w:p>
    <w:p>
      <w:pPr>
        <w:pStyle w:val="TextBody"/>
        <w:jc w:val="both"/>
        <w:rPr>
          <w:rFonts w:ascii="times" w:hAnsi="times"/>
          <w:b/>
          <w:sz w:val="20"/>
        </w:rPr>
      </w:pPr>
      <w:r>
        <w:rPr>
          <w:rFonts w:ascii="times" w:hAnsi="times"/>
          <w:b/>
          <w:sz w:val="20"/>
        </w:rPr>
        <w:t>Prospective investors should be aware that the acquisition of securities described herein may have tax consequences both in the United States and in Canada. Such consequences for investors who are resident in, or citizens of, the United States may not be described fully herein.</w:t>
      </w:r>
    </w:p>
    <w:p>
      <w:pPr>
        <w:pStyle w:val="TextBody"/>
        <w:jc w:val="both"/>
        <w:rPr>
          <w:rFonts w:ascii="times" w:hAnsi="times"/>
          <w:b/>
          <w:sz w:val="20"/>
        </w:rPr>
      </w:pPr>
      <w:r>
        <w:rPr>
          <w:rFonts w:ascii="times" w:hAnsi="times"/>
          <w:b/>
          <w:sz w:val="20"/>
        </w:rPr>
        <w:t>The enforcement by investors of civil liabilities under the federal securities laws may be affected adversely by the fact that the registrant is incorporated or organized under the laws of the Province of Ontario, that some or all of its officers and directors are residents of a foreign country, that some or all of the experts named in the registration statement are residents of a foreign country, and that all or a substantial portion of the assets of the registrant and said persons are located outside the United States.</w:t>
      </w:r>
    </w:p>
    <w:p>
      <w:pPr>
        <w:pStyle w:val="TextBody"/>
        <w:jc w:val="both"/>
        <w:rPr>
          <w:rFonts w:ascii="times" w:hAnsi="times"/>
          <w:b/>
          <w:sz w:val="20"/>
        </w:rPr>
      </w:pPr>
      <w:r>
        <w:rPr>
          <w:rFonts w:ascii="times" w:hAnsi="times"/>
          <w:b/>
          <w:sz w:val="20"/>
        </w:rPr>
        <w:t>THESE SECURITIES HAVE NOT BEEN APPROVED OR DISAPPROVED BY THE UNITED STATES SECURITIES AND EXCHANGE COMMISSION NOR HAS THE COMMISSION PASSED UPON THE ACCURACY OR ADEQUACY OF THIS PROSPECTUS. ANY REPRESENTATION TO THE CONTRARY IS A CRIMINAL OFFENSE.</w:t>
      </w:r>
    </w:p>
    <w:p>
      <w:pPr>
        <w:pStyle w:val="TextBody"/>
        <w:jc w:val="both"/>
        <w:rPr>
          <w:rFonts w:ascii="times" w:hAnsi="times"/>
          <w:i/>
          <w:color w:val="FD1B14"/>
          <w:sz w:val="20"/>
        </w:rPr>
      </w:pPr>
      <w:r>
        <w:rPr>
          <w:rFonts w:ascii="times" w:hAnsi="times"/>
          <w:i/>
          <w:color w:val="FD1B14"/>
          <w:sz w:val="20"/>
        </w:rPr>
        <w:t>This short form base shelf prospectus has been filed under legislation in all provinces of Canada that permits certain information about these securities to be determined after this prospectus has become final and that permits the omission from this prospectus of that information. The legislation requires the delivery to purchasers of a prospectus supplement containing the omitted information within a specified period of time after agreeing to purchase any of these securities.</w:t>
      </w:r>
    </w:p>
    <w:p>
      <w:pPr>
        <w:pStyle w:val="TextBody"/>
        <w:jc w:val="both"/>
        <w:rPr>
          <w:rFonts w:ascii="times" w:hAnsi="times"/>
          <w:i/>
          <w:sz w:val="20"/>
        </w:rPr>
      </w:pPr>
      <w:r>
        <w:rPr>
          <w:rFonts w:ascii="times" w:hAnsi="times"/>
          <w:i/>
          <w:sz w:val="20"/>
        </w:rPr>
        <w:t>No securities regulatory authority in Canada or the United States has expressed an opinion about these securities and it is an offence to claim otherwise. This short form base shelf prospectus constitutes a public offering of securities only in those jurisdictions where they may lawfully be offered for sale and therein only by persons permitted to sell such securities.</w:t>
      </w:r>
    </w:p>
    <w:p>
      <w:pPr>
        <w:pStyle w:val="TextBody"/>
        <w:jc w:val="both"/>
        <w:rPr>
          <w:rFonts w:ascii="times" w:hAnsi="times"/>
        </w:rPr>
      </w:pPr>
      <w:r>
        <w:rPr>
          <w:rFonts w:ascii="times" w:hAnsi="times"/>
          <w:b/>
          <w:i/>
          <w:sz w:val="20"/>
        </w:rPr>
        <w:t>Information has been incorporated by reference in this short form base shelf prospectus from documents filed with the securities commissions or similar regulatory authorities in each of the provinces of Canada and the United States Securities and Exchange Commission.</w:t>
      </w:r>
      <w:r>
        <w:rPr>
          <w:rFonts w:ascii="times" w:hAnsi="times"/>
        </w:rPr>
        <w:t xml:space="preserve"> </w:t>
      </w:r>
      <w:r>
        <w:rPr>
          <w:rFonts w:ascii="times" w:hAnsi="times"/>
          <w:i/>
          <w:sz w:val="20"/>
        </w:rPr>
        <w:t>Copies of the documents incorporated herein by reference may be obtained on request without charge from the Corporate Secretary, Agnico Eagle Mines Limited, 145 King Street East, Suite 400, Toronto, Ontario, Canada M5C 2Y7 (telephone (416) 947-1212), and are also available electronically at www.sedar.com and www.sec.gov.</w:t>
      </w:r>
    </w:p>
    <w:p>
      <w:pPr>
        <w:pStyle w:val="TextBody"/>
        <w:jc w:val="center"/>
        <w:rPr>
          <w:rFonts w:ascii="times" w:hAnsi="times"/>
          <w:b/>
          <w:sz w:val="20"/>
        </w:rPr>
      </w:pPr>
      <w:r>
        <w:rPr>
          <w:rFonts w:ascii="times" w:hAnsi="times"/>
          <w:b/>
          <w:sz w:val="20"/>
        </w:rPr>
        <w:t xml:space="preserve">PRELIMINARY SHORT FORM BASE SHELF PROSPECTUS </w:t>
      </w:r>
    </w:p>
    <w:tbl>
      <w:tblPr>
        <w:tblW w:w="5000" w:type="pct"/>
        <w:jc w:val="center"/>
        <w:tblInd w:w="0" w:type="dxa"/>
        <w:tblCellMar>
          <w:top w:w="0" w:type="dxa"/>
          <w:left w:w="0" w:type="dxa"/>
          <w:bottom w:w="0" w:type="dxa"/>
          <w:right w:w="0" w:type="dxa"/>
        </w:tblCellMar>
      </w:tblPr>
      <w:tblGrid>
        <w:gridCol w:w="5072"/>
        <w:gridCol w:w="60"/>
        <w:gridCol w:w="5073"/>
      </w:tblGrid>
      <w:tr>
        <w:trPr/>
        <w:tc>
          <w:tcPr>
            <w:tcW w:w="5072"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5073" w:type="dxa"/>
            <w:tcBorders/>
            <w:shd w:fill="auto" w:val="clear"/>
            <w:vAlign w:val="center"/>
          </w:tcPr>
          <w:p>
            <w:pPr>
              <w:pStyle w:val="TableContents"/>
              <w:spacing w:before="0" w:after="283"/>
              <w:rPr>
                <w:sz w:val="4"/>
                <w:szCs w:val="4"/>
              </w:rPr>
            </w:pPr>
            <w:r>
              <w:rPr>
                <w:sz w:val="4"/>
                <w:szCs w:val="4"/>
              </w:rPr>
            </w:r>
          </w:p>
        </w:tc>
      </w:tr>
      <w:tr>
        <w:trPr/>
        <w:tc>
          <w:tcPr>
            <w:tcW w:w="5072" w:type="dxa"/>
            <w:tcBorders/>
            <w:shd w:fill="auto" w:val="clear"/>
          </w:tcPr>
          <w:p>
            <w:pPr>
              <w:pStyle w:val="TableContents"/>
              <w:spacing w:before="0" w:after="283"/>
              <w:ind w:left="200" w:right="0" w:hanging="200"/>
              <w:rPr>
                <w:rFonts w:ascii="times" w:hAnsi="times"/>
                <w:i/>
                <w:sz w:val="20"/>
                <w:u w:val="single"/>
              </w:rPr>
            </w:pPr>
            <w:r>
              <w:rPr>
                <w:rFonts w:ascii="times" w:hAnsi="times"/>
                <w:i/>
                <w:sz w:val="20"/>
                <w:u w:val="single"/>
              </w:rPr>
              <w:t>New Issue</w:t>
            </w:r>
          </w:p>
        </w:tc>
        <w:tc>
          <w:tcPr>
            <w:tcW w:w="60" w:type="dxa"/>
            <w:tcBorders/>
            <w:shd w:fill="auto" w:val="clear"/>
          </w:tcPr>
          <w:p>
            <w:pPr>
              <w:pStyle w:val="TableContents"/>
              <w:spacing w:before="0" w:after="283"/>
              <w:rPr/>
            </w:pPr>
            <w:r>
              <w:rPr/>
              <w:t> </w:t>
            </w:r>
          </w:p>
        </w:tc>
        <w:tc>
          <w:tcPr>
            <w:tcW w:w="5073" w:type="dxa"/>
            <w:tcBorders/>
            <w:shd w:fill="auto" w:val="clear"/>
          </w:tcPr>
          <w:p>
            <w:pPr>
              <w:pStyle w:val="TableContents"/>
              <w:spacing w:before="0" w:after="283"/>
              <w:jc w:val="right"/>
              <w:rPr>
                <w:rFonts w:ascii="times" w:hAnsi="times"/>
                <w:sz w:val="20"/>
              </w:rPr>
            </w:pPr>
            <w:r>
              <w:rPr>
                <w:rFonts w:ascii="times" w:hAnsi="times"/>
                <w:sz w:val="20"/>
              </w:rPr>
              <w:t>June 28, 2013</w:t>
            </w:r>
          </w:p>
        </w:tc>
      </w:tr>
    </w:tbl>
    <w:p>
      <w:pPr>
        <w:pStyle w:val="TextBody"/>
        <w:jc w:val="center"/>
        <w:rPr/>
      </w:pPr>
      <w:r>
        <w:rPr/>
        <w:drawing>
          <wp:inline distT="0" distB="0" distL="0" distR="0">
            <wp:extent cx="2581275" cy="12382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581275" cy="1238250"/>
                    </a:xfrm>
                    <a:prstGeom prst="rect">
                      <a:avLst/>
                    </a:prstGeom>
                  </pic:spPr>
                </pic:pic>
              </a:graphicData>
            </a:graphic>
          </wp:inline>
        </w:drawing>
      </w:r>
      <w:r>
        <w:rPr/>
        <w:t xml:space="preserve"> </w:t>
      </w:r>
    </w:p>
    <w:p>
      <w:pPr>
        <w:pStyle w:val="TextBody"/>
        <w:jc w:val="center"/>
        <w:rPr>
          <w:rFonts w:ascii="times" w:hAnsi="times"/>
        </w:rPr>
      </w:pPr>
      <w:r>
        <w:rPr>
          <w:rFonts w:ascii="times" w:hAnsi="times"/>
          <w:b/>
          <w:sz w:val="36"/>
        </w:rPr>
        <w:t>AGNICO EAGLE MINES LIMITED</w:t>
        <w:br/>
      </w:r>
      <w:r>
        <w:rPr>
          <w:rFonts w:ascii="times" w:hAnsi="times"/>
          <w:b/>
          <w:sz w:val="28"/>
        </w:rPr>
        <w:t>Debt Securities</w:t>
        <w:br/>
        <w:t>Common Shares</w:t>
        <w:br/>
        <w:t>Warrants</w:t>
        <w:br/>
        <w:t xml:space="preserve">US$500,000,000 </w:t>
      </w:r>
    </w:p>
    <w:p>
      <w:pPr>
        <w:pStyle w:val="TextBody"/>
        <w:jc w:val="both"/>
        <w:rPr>
          <w:rFonts w:ascii="times" w:hAnsi="times"/>
          <w:sz w:val="20"/>
        </w:rPr>
      </w:pPr>
      <w:r>
        <w:rPr>
          <w:rFonts w:ascii="times" w:hAnsi="times"/>
          <w:sz w:val="20"/>
        </w:rPr>
        <w:t xml:space="preserve">Agnico Eagle Mines Limited (the "Company") may from time to time offer and issue debt securities, common shares or warrants to purchase debt securities or common shares (collectively, the "Securities"), up to a total price of US$500,000,000 during the 25-month period that this short form base shelf prospectus, including any amendments hereto, remains valid. Securities may be offered separately or together, in amounts, at prices and on terms to be determined based on market conditions at the time of sale and set forth in one or more accompanying shelf prospectus supplements (each, a "Prospectus Supplement"). </w:t>
      </w:r>
    </w:p>
    <w:p>
      <w:pPr>
        <w:pStyle w:val="HorizontalLine"/>
        <w:pBdr>
          <w:bottom w:val="single" w:sz="20" w:space="0" w:color="808080"/>
        </w:pBdr>
        <w:rPr/>
      </w:pPr>
      <w:r>
        <w:rPr/>
      </w:r>
      <w:r>
        <w:br w:type="page"/>
      </w:r>
    </w:p>
    <w:p>
      <w:pPr>
        <w:pStyle w:val="TextBody"/>
        <w:jc w:val="both"/>
        <w:rPr>
          <w:rFonts w:ascii="times" w:hAnsi="times"/>
          <w:sz w:val="20"/>
        </w:rPr>
      </w:pPr>
      <w:r>
        <w:rPr>
          <w:rFonts w:ascii="times" w:hAnsi="times"/>
          <w:sz w:val="20"/>
        </w:rPr>
        <w:t xml:space="preserve">The specific variable terms of any offering of Securities will be set out in the applicable Prospectus Supplement including, where applicable: (i) in the case of common shares, the number of shares offered, the offering price and any other specific terms; (ii) in the case of debt securities, the designation of the debt securities, any limit on the aggregate principal amount of the debt securities, whether payment on the debt securities will be senior or subordinated to the Company's other liabilities and obligations, whether the debt securities will be secured by any of the Company's assets or guaranteed by any other person, whether the debt securities will bear interest, the interest rate or method of determining the interest rate, whether any conversion or exchange rights will be attached to the debt securities, whether the Company may redeem the debt securities at its option and any other specific terms; and (iii) in the case of warrants, the designation, number and terms of debt securities or common shares purchasable on the exercise of the warrants, any procedures that will result in adjustment of these numbers, the exercise price, dates and periods of exercise and any other specific terms. A Prospectus Supplement may include specific variable terms pertaining to the Securities that are not within the alternatives and parameters described in this prospectus. The Company will not offer warrants for sale separately to any member of the public in Canada unless the offering is in connection with and forms part of the consideration for an acquisition or merger transaction or unless the Prospectus Supplement containing the specific terms of the warrants to be offered separately is first approved for filing by the securities commissions or similar regulatory authorities in each of the provinces of Canada where the warrants will be offered for sale. </w:t>
      </w:r>
    </w:p>
    <w:p>
      <w:pPr>
        <w:pStyle w:val="TextBody"/>
        <w:jc w:val="both"/>
        <w:rPr>
          <w:rFonts w:ascii="times" w:hAnsi="times"/>
          <w:sz w:val="20"/>
        </w:rPr>
      </w:pPr>
      <w:r>
        <w:rPr>
          <w:rFonts w:ascii="times" w:hAnsi="times"/>
          <w:sz w:val="20"/>
        </w:rPr>
        <w:t xml:space="preserve">All shelf information permitted under applicable laws to be omitted from this prospectus will be contained in one or more Prospectus Supplements that will be delivered to purchasers together with this prospectus. Each Prospectus Supplement will be incorporated by reference into this prospectus for the purposes of securities legislation as of the date of the Prospectus Supplement and only for the purposes of the distribution of the Securities to which the Prospectus Supplement pertains. </w:t>
      </w:r>
    </w:p>
    <w:p>
      <w:pPr>
        <w:pStyle w:val="TextBody"/>
        <w:jc w:val="both"/>
        <w:rPr>
          <w:rFonts w:ascii="times" w:hAnsi="times"/>
          <w:sz w:val="20"/>
        </w:rPr>
      </w:pPr>
      <w:r>
        <w:rPr>
          <w:rFonts w:ascii="times" w:hAnsi="times"/>
          <w:sz w:val="20"/>
        </w:rPr>
        <w:t xml:space="preserve">The Company may offer and sell the Securities, separately or together, to or through one or more underwriters or dealers, purchasing as principals for public offering and sale by them, and also may sell Securities to one or more other purchasers directly or through agents. The Prospectus Supplement relating to a particular offering of Securities will identify each underwriter, dealer or agent, if any, engaged by the Company in connection with the offering and sale of the Securities, and will set forth the terms of the offering of such Securities, the method of distribution of such Securities including, to the extent applicable, the proceeds to the Company and any discounts, commissions or any other compensation payable to underwriters, dealers or agents, and any other material terms of the plan of distribution. See "Plan of Distribution". </w:t>
      </w:r>
    </w:p>
    <w:p>
      <w:pPr>
        <w:pStyle w:val="TextBody"/>
        <w:jc w:val="both"/>
        <w:rPr>
          <w:rFonts w:ascii="times" w:hAnsi="times"/>
          <w:sz w:val="20"/>
        </w:rPr>
      </w:pPr>
      <w:r>
        <w:rPr>
          <w:rFonts w:ascii="times" w:hAnsi="times"/>
          <w:sz w:val="20"/>
        </w:rPr>
        <w:t xml:space="preserve">The outstanding common shares of the Company are listed on the New York Stock Exchange (the "NYSE") and on the Toronto Stock Exchange (the "TSX") under the symbol "AEM". The outstanding common share purchase warrants of the Company are listed on the TSX under the symbol "AEM.WT.U". The Company's head office and registered office is located at 145 King Street East, Suite 400, Toronto, Ontario, Canada M5C 2Y7. </w:t>
      </w:r>
    </w:p>
    <w:p>
      <w:pPr>
        <w:pStyle w:val="HorizontalLine"/>
        <w:pBdr>
          <w:bottom w:val="single" w:sz="20" w:space="0" w:color="808080"/>
        </w:pBdr>
        <w:rPr/>
      </w:pPr>
      <w:r>
        <w:rPr/>
      </w:r>
      <w:r>
        <w:br w:type="page"/>
      </w:r>
    </w:p>
    <w:p>
      <w:pPr>
        <w:pStyle w:val="TextBody"/>
        <w:jc w:val="center"/>
        <w:rPr>
          <w:rFonts w:ascii="times" w:hAnsi="times"/>
        </w:rPr>
      </w:pPr>
      <w:bookmarkStart w:id="5" w:name="toc_bg48003_1"/>
      <w:bookmarkStart w:id="6" w:name="bg48003_table_of_contents"/>
      <w:bookmarkStart w:id="7" w:name="page_bg48003_1_2"/>
      <w:bookmarkEnd w:id="5"/>
      <w:bookmarkEnd w:id="6"/>
      <w:bookmarkEnd w:id="7"/>
      <w:r>
        <w:rPr>
          <w:rFonts w:ascii="times" w:hAnsi="times"/>
          <w:sz w:val="20"/>
        </w:rPr>
        <w:br/>
      </w:r>
      <w:r>
        <w:rPr>
          <w:rFonts w:ascii="times" w:hAnsi="times"/>
          <w:b/>
          <w:sz w:val="20"/>
        </w:rPr>
        <w:t xml:space="preserve">TABLE OF CONTENTS </w:t>
      </w:r>
    </w:p>
    <w:tbl>
      <w:tblPr>
        <w:tblW w:w="5000" w:type="pct"/>
        <w:jc w:val="center"/>
        <w:tblInd w:w="0" w:type="dxa"/>
        <w:tblCellMar>
          <w:top w:w="0" w:type="dxa"/>
          <w:left w:w="0" w:type="dxa"/>
          <w:bottom w:w="0" w:type="dxa"/>
          <w:right w:w="0" w:type="dxa"/>
        </w:tblCellMar>
      </w:tblPr>
      <w:tblGrid>
        <w:gridCol w:w="9516"/>
        <w:gridCol w:w="188"/>
        <w:gridCol w:w="501"/>
      </w:tblGrid>
      <w:tr>
        <w:trPr/>
        <w:tc>
          <w:tcPr>
            <w:tcW w:w="9516" w:type="dxa"/>
            <w:tcBorders/>
            <w:shd w:fill="auto" w:val="clear"/>
            <w:vAlign w:val="center"/>
          </w:tcPr>
          <w:p>
            <w:pPr>
              <w:pStyle w:val="TableContents"/>
              <w:spacing w:before="0" w:after="283"/>
              <w:rPr>
                <w:sz w:val="4"/>
                <w:szCs w:val="4"/>
              </w:rPr>
            </w:pPr>
            <w:r>
              <w:rPr>
                <w:sz w:val="4"/>
                <w:szCs w:val="4"/>
              </w:rPr>
            </w:r>
          </w:p>
        </w:tc>
        <w:tc>
          <w:tcPr>
            <w:tcW w:w="188" w:type="dxa"/>
            <w:tcBorders/>
            <w:shd w:fill="auto" w:val="clear"/>
            <w:vAlign w:val="center"/>
          </w:tcPr>
          <w:p>
            <w:pPr>
              <w:pStyle w:val="TableContents"/>
              <w:spacing w:before="0" w:after="283"/>
              <w:rPr>
                <w:sz w:val="4"/>
                <w:szCs w:val="4"/>
              </w:rPr>
            </w:pPr>
            <w:r>
              <w:rPr>
                <w:sz w:val="4"/>
                <w:szCs w:val="4"/>
              </w:rPr>
            </w:r>
          </w:p>
        </w:tc>
        <w:tc>
          <w:tcPr>
            <w:tcW w:w="501" w:type="dxa"/>
            <w:tcBorders/>
            <w:shd w:fill="auto" w:val="clear"/>
            <w:vAlign w:val="center"/>
          </w:tcPr>
          <w:p>
            <w:pPr>
              <w:pStyle w:val="TableContents"/>
              <w:spacing w:before="0" w:after="283"/>
              <w:rPr>
                <w:sz w:val="4"/>
                <w:szCs w:val="4"/>
              </w:rPr>
            </w:pPr>
            <w:r>
              <w:rPr>
                <w:sz w:val="4"/>
                <w:szCs w:val="4"/>
              </w:rPr>
            </w:r>
          </w:p>
        </w:tc>
      </w:tr>
      <w:tr>
        <w:trPr/>
        <w:tc>
          <w:tcPr>
            <w:tcW w:w="9516" w:type="dxa"/>
            <w:tcBorders/>
            <w:shd w:fill="auto" w:val="clear"/>
            <w:vAlign w:val="bottom"/>
          </w:tcPr>
          <w:p>
            <w:pPr>
              <w:pStyle w:val="TableHeading"/>
              <w:spacing w:before="0" w:after="283"/>
              <w:jc w:val="left"/>
              <w:rPr/>
            </w:pPr>
            <w:r>
              <w:rPr/>
              <w:t> </w:t>
            </w:r>
          </w:p>
        </w:tc>
        <w:tc>
          <w:tcPr>
            <w:tcW w:w="188" w:type="dxa"/>
            <w:tcBorders/>
            <w:shd w:fill="auto" w:val="clear"/>
            <w:vAlign w:val="bottom"/>
          </w:tcPr>
          <w:p>
            <w:pPr>
              <w:pStyle w:val="TableHeading"/>
              <w:suppressLineNumbers/>
              <w:spacing w:before="0" w:after="283"/>
              <w:jc w:val="center"/>
              <w:rPr/>
            </w:pPr>
            <w:r>
              <w:rPr/>
              <w:t> </w:t>
            </w:r>
          </w:p>
        </w:tc>
        <w:tc>
          <w:tcPr>
            <w:tcW w:w="501" w:type="dxa"/>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Page </w:t>
            </w:r>
          </w:p>
        </w:tc>
      </w:tr>
      <w:tr>
        <w:trPr/>
        <w:tc>
          <w:tcPr>
            <w:tcW w:w="9516" w:type="dxa"/>
            <w:tcBorders/>
            <w:shd w:fill="auto" w:val="clear"/>
            <w:vAlign w:val="bottom"/>
          </w:tcPr>
          <w:p>
            <w:pPr>
              <w:pStyle w:val="TableContents"/>
              <w:spacing w:before="0" w:after="283"/>
              <w:ind w:left="200" w:right="0" w:hanging="200"/>
              <w:rPr>
                <w:rFonts w:ascii="times" w:hAnsi="times"/>
                <w:sz w:val="20"/>
              </w:rPr>
            </w:pPr>
            <w:r>
              <w:rPr>
                <w:rFonts w:ascii="times" w:hAnsi="times"/>
                <w:sz w:val="20"/>
              </w:rPr>
              <w:t>ABOUT THIS PROSPECTUS</w:t>
            </w:r>
          </w:p>
        </w:tc>
        <w:tc>
          <w:tcPr>
            <w:tcW w:w="188"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w:hAnsi="times"/>
                <w:sz w:val="20"/>
              </w:rPr>
            </w:pPr>
            <w:r>
              <w:rPr>
                <w:rFonts w:ascii="times" w:hAnsi="times"/>
                <w:sz w:val="20"/>
              </w:rPr>
              <w:t>3</w:t>
            </w:r>
          </w:p>
        </w:tc>
      </w:tr>
      <w:tr>
        <w:trPr/>
        <w:tc>
          <w:tcPr>
            <w:tcW w:w="9516" w:type="dxa"/>
            <w:tcBorders/>
            <w:shd w:fill="auto" w:val="clear"/>
            <w:vAlign w:val="bottom"/>
          </w:tcPr>
          <w:p>
            <w:pPr>
              <w:pStyle w:val="TableContents"/>
              <w:spacing w:before="0" w:after="283"/>
              <w:ind w:left="200" w:right="0" w:hanging="200"/>
              <w:rPr>
                <w:rFonts w:ascii="times" w:hAnsi="times"/>
                <w:sz w:val="20"/>
              </w:rPr>
            </w:pPr>
            <w:r>
              <w:rPr>
                <w:rFonts w:ascii="times" w:hAnsi="times"/>
                <w:sz w:val="20"/>
              </w:rPr>
              <w:t>NOTE TO INVESTORS CONCERNING ESTIMATES OF MINERAL RESERVES AND MINERAL RESOURCES</w:t>
            </w:r>
          </w:p>
        </w:tc>
        <w:tc>
          <w:tcPr>
            <w:tcW w:w="188"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w:hAnsi="times"/>
                <w:sz w:val="20"/>
              </w:rPr>
            </w:pPr>
            <w:r>
              <w:rPr>
                <w:rFonts w:ascii="times" w:hAnsi="times"/>
                <w:sz w:val="20"/>
              </w:rPr>
              <w:t>3</w:t>
            </w:r>
          </w:p>
        </w:tc>
      </w:tr>
      <w:tr>
        <w:trPr/>
        <w:tc>
          <w:tcPr>
            <w:tcW w:w="9516" w:type="dxa"/>
            <w:tcBorders/>
            <w:shd w:fill="auto" w:val="clear"/>
            <w:vAlign w:val="bottom"/>
          </w:tcPr>
          <w:p>
            <w:pPr>
              <w:pStyle w:val="TableContents"/>
              <w:spacing w:before="0" w:after="283"/>
              <w:ind w:left="200" w:right="0" w:hanging="200"/>
              <w:rPr>
                <w:rFonts w:ascii="times" w:hAnsi="times"/>
                <w:sz w:val="20"/>
              </w:rPr>
            </w:pPr>
            <w:r>
              <w:rPr>
                <w:rFonts w:ascii="times" w:hAnsi="times"/>
                <w:sz w:val="20"/>
              </w:rPr>
              <w:t>NOTE TO INVESTORS CONCERNING CERTAIN MEASURES OF PERFORMANCE</w:t>
            </w:r>
          </w:p>
        </w:tc>
        <w:tc>
          <w:tcPr>
            <w:tcW w:w="188"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w:hAnsi="times"/>
                <w:sz w:val="20"/>
              </w:rPr>
            </w:pPr>
            <w:r>
              <w:rPr>
                <w:rFonts w:ascii="times" w:hAnsi="times"/>
                <w:sz w:val="20"/>
              </w:rPr>
              <w:t>4</w:t>
            </w:r>
          </w:p>
        </w:tc>
      </w:tr>
      <w:tr>
        <w:trPr/>
        <w:tc>
          <w:tcPr>
            <w:tcW w:w="9516" w:type="dxa"/>
            <w:tcBorders/>
            <w:shd w:fill="auto" w:val="clear"/>
            <w:vAlign w:val="bottom"/>
          </w:tcPr>
          <w:p>
            <w:pPr>
              <w:pStyle w:val="TableContents"/>
              <w:spacing w:before="0" w:after="283"/>
              <w:ind w:left="200" w:right="0" w:hanging="200"/>
              <w:rPr>
                <w:rFonts w:ascii="times" w:hAnsi="times"/>
                <w:sz w:val="20"/>
              </w:rPr>
            </w:pPr>
            <w:r>
              <w:rPr>
                <w:rFonts w:ascii="times" w:hAnsi="times"/>
                <w:sz w:val="20"/>
              </w:rPr>
              <w:t>PROSPECTUS SUMMARY</w:t>
            </w:r>
          </w:p>
        </w:tc>
        <w:tc>
          <w:tcPr>
            <w:tcW w:w="188"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w:hAnsi="times"/>
                <w:sz w:val="20"/>
              </w:rPr>
            </w:pPr>
            <w:r>
              <w:rPr>
                <w:rFonts w:ascii="times" w:hAnsi="times"/>
                <w:sz w:val="20"/>
              </w:rPr>
              <w:t>5</w:t>
            </w:r>
          </w:p>
        </w:tc>
      </w:tr>
      <w:tr>
        <w:trPr/>
        <w:tc>
          <w:tcPr>
            <w:tcW w:w="9516" w:type="dxa"/>
            <w:tcBorders/>
            <w:shd w:fill="auto" w:val="clear"/>
            <w:vAlign w:val="bottom"/>
          </w:tcPr>
          <w:p>
            <w:pPr>
              <w:pStyle w:val="TableContents"/>
              <w:spacing w:before="0" w:after="283"/>
              <w:ind w:left="200" w:right="0" w:hanging="200"/>
              <w:rPr>
                <w:rFonts w:ascii="times" w:hAnsi="times"/>
                <w:sz w:val="20"/>
              </w:rPr>
            </w:pPr>
            <w:r>
              <w:rPr>
                <w:rFonts w:ascii="times" w:hAnsi="times"/>
                <w:sz w:val="20"/>
              </w:rPr>
              <w:t>FORWARD-LOOKING STATEMENTS</w:t>
            </w:r>
          </w:p>
        </w:tc>
        <w:tc>
          <w:tcPr>
            <w:tcW w:w="188"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w:hAnsi="times"/>
                <w:sz w:val="20"/>
              </w:rPr>
            </w:pPr>
            <w:r>
              <w:rPr>
                <w:rFonts w:ascii="times" w:hAnsi="times"/>
                <w:sz w:val="20"/>
              </w:rPr>
              <w:t>7</w:t>
            </w:r>
          </w:p>
        </w:tc>
      </w:tr>
      <w:tr>
        <w:trPr/>
        <w:tc>
          <w:tcPr>
            <w:tcW w:w="9516" w:type="dxa"/>
            <w:tcBorders/>
            <w:shd w:fill="auto" w:val="clear"/>
            <w:vAlign w:val="bottom"/>
          </w:tcPr>
          <w:p>
            <w:pPr>
              <w:pStyle w:val="TableContents"/>
              <w:spacing w:before="0" w:after="283"/>
              <w:ind w:left="200" w:right="0" w:hanging="200"/>
              <w:rPr>
                <w:rFonts w:ascii="times" w:hAnsi="times"/>
                <w:sz w:val="20"/>
              </w:rPr>
            </w:pPr>
            <w:r>
              <w:rPr>
                <w:rFonts w:ascii="times" w:hAnsi="times"/>
                <w:sz w:val="20"/>
              </w:rPr>
              <w:t>RISK FACTORS</w:t>
            </w:r>
          </w:p>
        </w:tc>
        <w:tc>
          <w:tcPr>
            <w:tcW w:w="188"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w:hAnsi="times"/>
                <w:sz w:val="20"/>
              </w:rPr>
            </w:pPr>
            <w:r>
              <w:rPr>
                <w:rFonts w:ascii="times" w:hAnsi="times"/>
                <w:sz w:val="20"/>
              </w:rPr>
              <w:t>9</w:t>
            </w:r>
          </w:p>
        </w:tc>
      </w:tr>
      <w:tr>
        <w:trPr/>
        <w:tc>
          <w:tcPr>
            <w:tcW w:w="9516" w:type="dxa"/>
            <w:tcBorders/>
            <w:shd w:fill="auto" w:val="clear"/>
            <w:vAlign w:val="bottom"/>
          </w:tcPr>
          <w:p>
            <w:pPr>
              <w:pStyle w:val="TableContents"/>
              <w:spacing w:before="0" w:after="283"/>
              <w:ind w:left="200" w:right="0" w:hanging="200"/>
              <w:rPr>
                <w:rFonts w:ascii="times" w:hAnsi="times"/>
                <w:sz w:val="20"/>
              </w:rPr>
            </w:pPr>
            <w:r>
              <w:rPr>
                <w:rFonts w:ascii="times" w:hAnsi="times"/>
                <w:sz w:val="20"/>
              </w:rPr>
              <w:t>THE COMPANY</w:t>
            </w:r>
          </w:p>
        </w:tc>
        <w:tc>
          <w:tcPr>
            <w:tcW w:w="188"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w:hAnsi="times"/>
                <w:sz w:val="20"/>
              </w:rPr>
            </w:pPr>
            <w:r>
              <w:rPr>
                <w:rFonts w:ascii="times" w:hAnsi="times"/>
                <w:sz w:val="20"/>
              </w:rPr>
              <w:t>10</w:t>
            </w:r>
          </w:p>
        </w:tc>
      </w:tr>
      <w:tr>
        <w:trPr/>
        <w:tc>
          <w:tcPr>
            <w:tcW w:w="9516" w:type="dxa"/>
            <w:tcBorders/>
            <w:shd w:fill="auto" w:val="clear"/>
            <w:vAlign w:val="bottom"/>
          </w:tcPr>
          <w:p>
            <w:pPr>
              <w:pStyle w:val="TableContents"/>
              <w:spacing w:before="0" w:after="283"/>
              <w:ind w:left="200" w:right="0" w:hanging="200"/>
              <w:rPr>
                <w:rFonts w:ascii="times" w:hAnsi="times"/>
                <w:sz w:val="20"/>
              </w:rPr>
            </w:pPr>
            <w:r>
              <w:rPr>
                <w:rFonts w:ascii="times" w:hAnsi="times"/>
                <w:sz w:val="20"/>
              </w:rPr>
              <w:t>CONSOLIDATED CAPITALIZATION</w:t>
            </w:r>
          </w:p>
        </w:tc>
        <w:tc>
          <w:tcPr>
            <w:tcW w:w="188"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w:hAnsi="times"/>
                <w:sz w:val="20"/>
              </w:rPr>
            </w:pPr>
            <w:r>
              <w:rPr>
                <w:rFonts w:ascii="times" w:hAnsi="times"/>
                <w:sz w:val="20"/>
              </w:rPr>
              <w:t>13</w:t>
            </w:r>
          </w:p>
        </w:tc>
      </w:tr>
      <w:tr>
        <w:trPr/>
        <w:tc>
          <w:tcPr>
            <w:tcW w:w="9516" w:type="dxa"/>
            <w:tcBorders/>
            <w:shd w:fill="auto" w:val="clear"/>
            <w:vAlign w:val="bottom"/>
          </w:tcPr>
          <w:p>
            <w:pPr>
              <w:pStyle w:val="TableContents"/>
              <w:spacing w:before="0" w:after="283"/>
              <w:ind w:left="200" w:right="0" w:hanging="200"/>
              <w:rPr>
                <w:rFonts w:ascii="times" w:hAnsi="times"/>
                <w:sz w:val="20"/>
              </w:rPr>
            </w:pPr>
            <w:r>
              <w:rPr>
                <w:rFonts w:ascii="times" w:hAnsi="times"/>
                <w:sz w:val="20"/>
              </w:rPr>
              <w:t>USE OF PROCEEDS</w:t>
            </w:r>
          </w:p>
        </w:tc>
        <w:tc>
          <w:tcPr>
            <w:tcW w:w="188"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w:hAnsi="times"/>
                <w:sz w:val="20"/>
              </w:rPr>
            </w:pPr>
            <w:r>
              <w:rPr>
                <w:rFonts w:ascii="times" w:hAnsi="times"/>
                <w:sz w:val="20"/>
              </w:rPr>
              <w:t>14</w:t>
            </w:r>
          </w:p>
        </w:tc>
      </w:tr>
      <w:tr>
        <w:trPr/>
        <w:tc>
          <w:tcPr>
            <w:tcW w:w="9516" w:type="dxa"/>
            <w:tcBorders/>
            <w:shd w:fill="auto" w:val="clear"/>
            <w:vAlign w:val="bottom"/>
          </w:tcPr>
          <w:p>
            <w:pPr>
              <w:pStyle w:val="TableContents"/>
              <w:spacing w:before="0" w:after="283"/>
              <w:ind w:left="200" w:right="0" w:hanging="200"/>
              <w:rPr>
                <w:rFonts w:ascii="times" w:hAnsi="times"/>
                <w:sz w:val="20"/>
              </w:rPr>
            </w:pPr>
            <w:r>
              <w:rPr>
                <w:rFonts w:ascii="times" w:hAnsi="times"/>
                <w:sz w:val="20"/>
              </w:rPr>
              <w:t>PRIOR SALES</w:t>
            </w:r>
          </w:p>
        </w:tc>
        <w:tc>
          <w:tcPr>
            <w:tcW w:w="188"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w:hAnsi="times"/>
                <w:sz w:val="20"/>
              </w:rPr>
            </w:pPr>
            <w:r>
              <w:rPr>
                <w:rFonts w:ascii="times" w:hAnsi="times"/>
                <w:sz w:val="20"/>
              </w:rPr>
              <w:t>14</w:t>
            </w:r>
          </w:p>
        </w:tc>
      </w:tr>
      <w:tr>
        <w:trPr/>
        <w:tc>
          <w:tcPr>
            <w:tcW w:w="9516" w:type="dxa"/>
            <w:tcBorders/>
            <w:shd w:fill="auto" w:val="clear"/>
            <w:vAlign w:val="bottom"/>
          </w:tcPr>
          <w:p>
            <w:pPr>
              <w:pStyle w:val="TableContents"/>
              <w:spacing w:before="0" w:after="283"/>
              <w:ind w:left="200" w:right="0" w:hanging="200"/>
              <w:rPr>
                <w:rFonts w:ascii="times" w:hAnsi="times"/>
                <w:sz w:val="20"/>
              </w:rPr>
            </w:pPr>
            <w:r>
              <w:rPr>
                <w:rFonts w:ascii="times" w:hAnsi="times"/>
                <w:sz w:val="20"/>
              </w:rPr>
              <w:t>TRADING PRICE AND VOLUME OF COMMON SHARES AND WARRANTS</w:t>
            </w:r>
          </w:p>
        </w:tc>
        <w:tc>
          <w:tcPr>
            <w:tcW w:w="188"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w:hAnsi="times"/>
                <w:sz w:val="20"/>
              </w:rPr>
            </w:pPr>
            <w:r>
              <w:rPr>
                <w:rFonts w:ascii="times" w:hAnsi="times"/>
                <w:sz w:val="20"/>
              </w:rPr>
              <w:t>15</w:t>
            </w:r>
          </w:p>
        </w:tc>
      </w:tr>
      <w:tr>
        <w:trPr/>
        <w:tc>
          <w:tcPr>
            <w:tcW w:w="9516" w:type="dxa"/>
            <w:tcBorders/>
            <w:shd w:fill="auto" w:val="clear"/>
            <w:vAlign w:val="bottom"/>
          </w:tcPr>
          <w:p>
            <w:pPr>
              <w:pStyle w:val="TableContents"/>
              <w:spacing w:before="0" w:after="283"/>
              <w:ind w:left="200" w:right="0" w:hanging="200"/>
              <w:rPr>
                <w:rFonts w:ascii="times" w:hAnsi="times"/>
                <w:sz w:val="20"/>
              </w:rPr>
            </w:pPr>
            <w:r>
              <w:rPr>
                <w:rFonts w:ascii="times" w:hAnsi="times"/>
                <w:sz w:val="20"/>
              </w:rPr>
              <w:t>EARNINGS COVERAGE</w:t>
            </w:r>
          </w:p>
        </w:tc>
        <w:tc>
          <w:tcPr>
            <w:tcW w:w="188"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w:hAnsi="times"/>
                <w:sz w:val="20"/>
              </w:rPr>
            </w:pPr>
            <w:r>
              <w:rPr>
                <w:rFonts w:ascii="times" w:hAnsi="times"/>
                <w:sz w:val="20"/>
              </w:rPr>
              <w:t>17</w:t>
            </w:r>
          </w:p>
        </w:tc>
      </w:tr>
      <w:tr>
        <w:trPr/>
        <w:tc>
          <w:tcPr>
            <w:tcW w:w="9516" w:type="dxa"/>
            <w:tcBorders/>
            <w:shd w:fill="auto" w:val="clear"/>
            <w:vAlign w:val="bottom"/>
          </w:tcPr>
          <w:p>
            <w:pPr>
              <w:pStyle w:val="TableContents"/>
              <w:spacing w:before="0" w:after="283"/>
              <w:ind w:left="200" w:right="0" w:hanging="200"/>
              <w:rPr>
                <w:rFonts w:ascii="times" w:hAnsi="times"/>
                <w:sz w:val="20"/>
              </w:rPr>
            </w:pPr>
            <w:r>
              <w:rPr>
                <w:rFonts w:ascii="times" w:hAnsi="times"/>
                <w:sz w:val="20"/>
              </w:rPr>
              <w:t>DESCRIPTION OF SHARE CAPITAL</w:t>
            </w:r>
          </w:p>
        </w:tc>
        <w:tc>
          <w:tcPr>
            <w:tcW w:w="188"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w:hAnsi="times"/>
                <w:sz w:val="20"/>
              </w:rPr>
            </w:pPr>
            <w:r>
              <w:rPr>
                <w:rFonts w:ascii="times" w:hAnsi="times"/>
                <w:sz w:val="20"/>
              </w:rPr>
              <w:t>17</w:t>
            </w:r>
          </w:p>
        </w:tc>
      </w:tr>
      <w:tr>
        <w:trPr/>
        <w:tc>
          <w:tcPr>
            <w:tcW w:w="9516" w:type="dxa"/>
            <w:tcBorders/>
            <w:shd w:fill="auto" w:val="clear"/>
            <w:vAlign w:val="bottom"/>
          </w:tcPr>
          <w:p>
            <w:pPr>
              <w:pStyle w:val="TableContents"/>
              <w:spacing w:before="0" w:after="283"/>
              <w:ind w:left="200" w:right="0" w:hanging="200"/>
              <w:rPr>
                <w:rFonts w:ascii="times" w:hAnsi="times"/>
                <w:sz w:val="20"/>
              </w:rPr>
            </w:pPr>
            <w:r>
              <w:rPr>
                <w:rFonts w:ascii="times" w:hAnsi="times"/>
                <w:sz w:val="20"/>
              </w:rPr>
              <w:t>DIVIDEND POLICY</w:t>
            </w:r>
          </w:p>
        </w:tc>
        <w:tc>
          <w:tcPr>
            <w:tcW w:w="188"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w:hAnsi="times"/>
                <w:sz w:val="20"/>
              </w:rPr>
            </w:pPr>
            <w:r>
              <w:rPr>
                <w:rFonts w:ascii="times" w:hAnsi="times"/>
                <w:sz w:val="20"/>
              </w:rPr>
              <w:t>19</w:t>
            </w:r>
          </w:p>
        </w:tc>
      </w:tr>
      <w:tr>
        <w:trPr/>
        <w:tc>
          <w:tcPr>
            <w:tcW w:w="9516" w:type="dxa"/>
            <w:tcBorders/>
            <w:shd w:fill="auto" w:val="clear"/>
            <w:vAlign w:val="bottom"/>
          </w:tcPr>
          <w:p>
            <w:pPr>
              <w:pStyle w:val="TableContents"/>
              <w:spacing w:before="0" w:after="283"/>
              <w:ind w:left="200" w:right="0" w:hanging="200"/>
              <w:rPr>
                <w:rFonts w:ascii="times" w:hAnsi="times"/>
                <w:sz w:val="20"/>
              </w:rPr>
            </w:pPr>
            <w:r>
              <w:rPr>
                <w:rFonts w:ascii="times" w:hAnsi="times"/>
                <w:sz w:val="20"/>
              </w:rPr>
              <w:t>DESCRIPTION OF DEBT SECURITIES</w:t>
            </w:r>
          </w:p>
        </w:tc>
        <w:tc>
          <w:tcPr>
            <w:tcW w:w="188"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w:hAnsi="times"/>
                <w:sz w:val="20"/>
              </w:rPr>
            </w:pPr>
            <w:r>
              <w:rPr>
                <w:rFonts w:ascii="times" w:hAnsi="times"/>
                <w:sz w:val="20"/>
              </w:rPr>
              <w:t>20</w:t>
            </w:r>
          </w:p>
        </w:tc>
      </w:tr>
      <w:tr>
        <w:trPr/>
        <w:tc>
          <w:tcPr>
            <w:tcW w:w="9516" w:type="dxa"/>
            <w:tcBorders/>
            <w:shd w:fill="auto" w:val="clear"/>
            <w:vAlign w:val="bottom"/>
          </w:tcPr>
          <w:p>
            <w:pPr>
              <w:pStyle w:val="TableContents"/>
              <w:spacing w:before="0" w:after="283"/>
              <w:ind w:left="200" w:right="0" w:hanging="200"/>
              <w:rPr>
                <w:rFonts w:ascii="times" w:hAnsi="times"/>
                <w:sz w:val="20"/>
              </w:rPr>
            </w:pPr>
            <w:r>
              <w:rPr>
                <w:rFonts w:ascii="times" w:hAnsi="times"/>
                <w:sz w:val="20"/>
              </w:rPr>
              <w:t>DESCRIPTION OF WARRANTS</w:t>
            </w:r>
          </w:p>
        </w:tc>
        <w:tc>
          <w:tcPr>
            <w:tcW w:w="188"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w:hAnsi="times"/>
                <w:sz w:val="20"/>
              </w:rPr>
            </w:pPr>
            <w:r>
              <w:rPr>
                <w:rFonts w:ascii="times" w:hAnsi="times"/>
                <w:sz w:val="20"/>
              </w:rPr>
              <w:t>25</w:t>
            </w:r>
          </w:p>
        </w:tc>
      </w:tr>
      <w:tr>
        <w:trPr/>
        <w:tc>
          <w:tcPr>
            <w:tcW w:w="9516" w:type="dxa"/>
            <w:tcBorders/>
            <w:shd w:fill="auto" w:val="clear"/>
            <w:vAlign w:val="bottom"/>
          </w:tcPr>
          <w:p>
            <w:pPr>
              <w:pStyle w:val="TableContents"/>
              <w:spacing w:before="0" w:after="283"/>
              <w:ind w:left="200" w:right="0" w:hanging="200"/>
              <w:rPr>
                <w:rFonts w:ascii="times" w:hAnsi="times"/>
                <w:sz w:val="20"/>
              </w:rPr>
            </w:pPr>
            <w:r>
              <w:rPr>
                <w:rFonts w:ascii="times" w:hAnsi="times"/>
                <w:sz w:val="20"/>
              </w:rPr>
              <w:t>PLAN OF DISTRIBUTION</w:t>
            </w:r>
          </w:p>
        </w:tc>
        <w:tc>
          <w:tcPr>
            <w:tcW w:w="188"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w:hAnsi="times"/>
                <w:sz w:val="20"/>
              </w:rPr>
            </w:pPr>
            <w:r>
              <w:rPr>
                <w:rFonts w:ascii="times" w:hAnsi="times"/>
                <w:sz w:val="20"/>
              </w:rPr>
              <w:t>26</w:t>
            </w:r>
          </w:p>
        </w:tc>
      </w:tr>
      <w:tr>
        <w:trPr/>
        <w:tc>
          <w:tcPr>
            <w:tcW w:w="9516" w:type="dxa"/>
            <w:tcBorders/>
            <w:shd w:fill="auto" w:val="clear"/>
            <w:vAlign w:val="bottom"/>
          </w:tcPr>
          <w:p>
            <w:pPr>
              <w:pStyle w:val="TableContents"/>
              <w:spacing w:before="0" w:after="283"/>
              <w:ind w:left="200" w:right="0" w:hanging="200"/>
              <w:rPr>
                <w:rFonts w:ascii="times" w:hAnsi="times"/>
                <w:sz w:val="20"/>
              </w:rPr>
            </w:pPr>
            <w:r>
              <w:rPr>
                <w:rFonts w:ascii="times" w:hAnsi="times"/>
                <w:sz w:val="20"/>
              </w:rPr>
              <w:t>EXPERTS</w:t>
            </w:r>
          </w:p>
        </w:tc>
        <w:tc>
          <w:tcPr>
            <w:tcW w:w="188"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w:hAnsi="times"/>
                <w:sz w:val="20"/>
              </w:rPr>
            </w:pPr>
            <w:r>
              <w:rPr>
                <w:rFonts w:ascii="times" w:hAnsi="times"/>
                <w:sz w:val="20"/>
              </w:rPr>
              <w:t>26</w:t>
            </w:r>
          </w:p>
        </w:tc>
      </w:tr>
      <w:tr>
        <w:trPr/>
        <w:tc>
          <w:tcPr>
            <w:tcW w:w="9516" w:type="dxa"/>
            <w:tcBorders/>
            <w:shd w:fill="auto" w:val="clear"/>
            <w:vAlign w:val="bottom"/>
          </w:tcPr>
          <w:p>
            <w:pPr>
              <w:pStyle w:val="TableContents"/>
              <w:spacing w:before="0" w:after="283"/>
              <w:ind w:left="200" w:right="0" w:hanging="200"/>
              <w:rPr>
                <w:rFonts w:ascii="times" w:hAnsi="times"/>
                <w:sz w:val="20"/>
              </w:rPr>
            </w:pPr>
            <w:r>
              <w:rPr>
                <w:rFonts w:ascii="times" w:hAnsi="times"/>
                <w:sz w:val="20"/>
              </w:rPr>
              <w:t>LEGAL MATTERS</w:t>
            </w:r>
          </w:p>
        </w:tc>
        <w:tc>
          <w:tcPr>
            <w:tcW w:w="188"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w:hAnsi="times"/>
                <w:sz w:val="20"/>
              </w:rPr>
            </w:pPr>
            <w:r>
              <w:rPr>
                <w:rFonts w:ascii="times" w:hAnsi="times"/>
                <w:sz w:val="20"/>
              </w:rPr>
              <w:t>27</w:t>
            </w:r>
          </w:p>
        </w:tc>
      </w:tr>
      <w:tr>
        <w:trPr/>
        <w:tc>
          <w:tcPr>
            <w:tcW w:w="9516" w:type="dxa"/>
            <w:tcBorders/>
            <w:shd w:fill="auto" w:val="clear"/>
            <w:vAlign w:val="bottom"/>
          </w:tcPr>
          <w:p>
            <w:pPr>
              <w:pStyle w:val="TableContents"/>
              <w:spacing w:before="0" w:after="283"/>
              <w:ind w:left="200" w:right="0" w:hanging="200"/>
              <w:rPr>
                <w:rFonts w:ascii="times" w:hAnsi="times"/>
                <w:sz w:val="20"/>
              </w:rPr>
            </w:pPr>
            <w:r>
              <w:rPr>
                <w:rFonts w:ascii="times" w:hAnsi="times"/>
                <w:sz w:val="20"/>
              </w:rPr>
              <w:t>AUDITORS, TRANSFER AGENT AND REGISTRAR</w:t>
            </w:r>
          </w:p>
        </w:tc>
        <w:tc>
          <w:tcPr>
            <w:tcW w:w="188"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w:hAnsi="times"/>
                <w:sz w:val="20"/>
              </w:rPr>
            </w:pPr>
            <w:r>
              <w:rPr>
                <w:rFonts w:ascii="times" w:hAnsi="times"/>
                <w:sz w:val="20"/>
              </w:rPr>
              <w:t>27</w:t>
            </w:r>
          </w:p>
        </w:tc>
      </w:tr>
      <w:tr>
        <w:trPr/>
        <w:tc>
          <w:tcPr>
            <w:tcW w:w="9516" w:type="dxa"/>
            <w:tcBorders/>
            <w:shd w:fill="auto" w:val="clear"/>
            <w:vAlign w:val="bottom"/>
          </w:tcPr>
          <w:p>
            <w:pPr>
              <w:pStyle w:val="TableContents"/>
              <w:spacing w:before="0" w:after="283"/>
              <w:ind w:left="200" w:right="0" w:hanging="200"/>
              <w:rPr>
                <w:rFonts w:ascii="times" w:hAnsi="times"/>
                <w:sz w:val="20"/>
              </w:rPr>
            </w:pPr>
            <w:r>
              <w:rPr>
                <w:rFonts w:ascii="times" w:hAnsi="times"/>
                <w:sz w:val="20"/>
              </w:rPr>
              <w:t>EXEMPTIONS</w:t>
            </w:r>
          </w:p>
        </w:tc>
        <w:tc>
          <w:tcPr>
            <w:tcW w:w="188"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w:hAnsi="times"/>
                <w:sz w:val="20"/>
              </w:rPr>
            </w:pPr>
            <w:r>
              <w:rPr>
                <w:rFonts w:ascii="times" w:hAnsi="times"/>
                <w:sz w:val="20"/>
              </w:rPr>
              <w:t>27</w:t>
            </w:r>
          </w:p>
        </w:tc>
      </w:tr>
      <w:tr>
        <w:trPr/>
        <w:tc>
          <w:tcPr>
            <w:tcW w:w="9516" w:type="dxa"/>
            <w:tcBorders/>
            <w:shd w:fill="auto" w:val="clear"/>
            <w:vAlign w:val="bottom"/>
          </w:tcPr>
          <w:p>
            <w:pPr>
              <w:pStyle w:val="TableContents"/>
              <w:spacing w:before="0" w:after="283"/>
              <w:ind w:left="200" w:right="0" w:hanging="200"/>
              <w:rPr>
                <w:rFonts w:ascii="times" w:hAnsi="times"/>
                <w:sz w:val="20"/>
              </w:rPr>
            </w:pPr>
            <w:r>
              <w:rPr>
                <w:rFonts w:ascii="times" w:hAnsi="times"/>
                <w:sz w:val="20"/>
              </w:rPr>
              <w:t>DOCUMENTS INCORPORATED BY REFERENCE</w:t>
            </w:r>
          </w:p>
        </w:tc>
        <w:tc>
          <w:tcPr>
            <w:tcW w:w="188"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w:hAnsi="times"/>
                <w:sz w:val="20"/>
              </w:rPr>
            </w:pPr>
            <w:r>
              <w:rPr>
                <w:rFonts w:ascii="times" w:hAnsi="times"/>
                <w:sz w:val="20"/>
              </w:rPr>
              <w:t>27</w:t>
            </w:r>
          </w:p>
        </w:tc>
      </w:tr>
      <w:tr>
        <w:trPr/>
        <w:tc>
          <w:tcPr>
            <w:tcW w:w="9516" w:type="dxa"/>
            <w:tcBorders/>
            <w:shd w:fill="auto" w:val="clear"/>
            <w:vAlign w:val="bottom"/>
          </w:tcPr>
          <w:p>
            <w:pPr>
              <w:pStyle w:val="TableContents"/>
              <w:spacing w:before="0" w:after="283"/>
              <w:ind w:left="200" w:right="0" w:hanging="200"/>
              <w:rPr>
                <w:rFonts w:ascii="times" w:hAnsi="times"/>
                <w:sz w:val="20"/>
              </w:rPr>
            </w:pPr>
            <w:r>
              <w:rPr>
                <w:rFonts w:ascii="times" w:hAnsi="times"/>
                <w:sz w:val="20"/>
              </w:rPr>
              <w:t>AVAILABLE INFORMATION</w:t>
            </w:r>
          </w:p>
        </w:tc>
        <w:tc>
          <w:tcPr>
            <w:tcW w:w="188"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w:hAnsi="times"/>
                <w:sz w:val="20"/>
              </w:rPr>
            </w:pPr>
            <w:r>
              <w:rPr>
                <w:rFonts w:ascii="times" w:hAnsi="times"/>
                <w:sz w:val="20"/>
              </w:rPr>
              <w:t>28</w:t>
            </w:r>
          </w:p>
        </w:tc>
      </w:tr>
      <w:tr>
        <w:trPr/>
        <w:tc>
          <w:tcPr>
            <w:tcW w:w="9516" w:type="dxa"/>
            <w:tcBorders/>
            <w:shd w:fill="auto" w:val="clear"/>
            <w:vAlign w:val="bottom"/>
          </w:tcPr>
          <w:p>
            <w:pPr>
              <w:pStyle w:val="TableContents"/>
              <w:spacing w:before="0" w:after="283"/>
              <w:ind w:left="200" w:right="0" w:hanging="200"/>
              <w:rPr>
                <w:rFonts w:ascii="times" w:hAnsi="times"/>
                <w:sz w:val="20"/>
              </w:rPr>
            </w:pPr>
            <w:r>
              <w:rPr>
                <w:rFonts w:ascii="times" w:hAnsi="times"/>
                <w:sz w:val="20"/>
              </w:rPr>
              <w:t>ENFORCEABILITY OF CERTAIN CIVIL LIABILITIES</w:t>
            </w:r>
          </w:p>
        </w:tc>
        <w:tc>
          <w:tcPr>
            <w:tcW w:w="188"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w:hAnsi="times"/>
                <w:sz w:val="20"/>
              </w:rPr>
            </w:pPr>
            <w:r>
              <w:rPr>
                <w:rFonts w:ascii="times" w:hAnsi="times"/>
                <w:sz w:val="20"/>
              </w:rPr>
              <w:t>29</w:t>
            </w:r>
          </w:p>
        </w:tc>
      </w:tr>
      <w:tr>
        <w:trPr/>
        <w:tc>
          <w:tcPr>
            <w:tcW w:w="9516" w:type="dxa"/>
            <w:tcBorders/>
            <w:shd w:fill="auto" w:val="clear"/>
            <w:vAlign w:val="bottom"/>
          </w:tcPr>
          <w:p>
            <w:pPr>
              <w:pStyle w:val="TableContents"/>
              <w:spacing w:before="0" w:after="283"/>
              <w:ind w:left="200" w:right="0" w:hanging="200"/>
              <w:rPr>
                <w:rFonts w:ascii="times" w:hAnsi="times"/>
                <w:sz w:val="20"/>
              </w:rPr>
            </w:pPr>
            <w:r>
              <w:rPr>
                <w:rFonts w:ascii="times" w:hAnsi="times"/>
                <w:sz w:val="20"/>
              </w:rPr>
              <w:t>STATUTORY RIGHTS OF WITHDRAWAL AND RESCISSION</w:t>
            </w:r>
          </w:p>
        </w:tc>
        <w:tc>
          <w:tcPr>
            <w:tcW w:w="188"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w:hAnsi="times"/>
                <w:sz w:val="20"/>
              </w:rPr>
            </w:pPr>
            <w:r>
              <w:rPr>
                <w:rFonts w:ascii="times" w:hAnsi="times"/>
                <w:sz w:val="20"/>
              </w:rPr>
              <w:t>29</w:t>
            </w:r>
          </w:p>
        </w:tc>
      </w:tr>
      <w:tr>
        <w:trPr/>
        <w:tc>
          <w:tcPr>
            <w:tcW w:w="9516" w:type="dxa"/>
            <w:tcBorders/>
            <w:shd w:fill="auto" w:val="clear"/>
            <w:vAlign w:val="bottom"/>
          </w:tcPr>
          <w:p>
            <w:pPr>
              <w:pStyle w:val="TableContents"/>
              <w:spacing w:before="0" w:after="283"/>
              <w:ind w:left="200" w:right="0" w:hanging="200"/>
              <w:rPr>
                <w:rFonts w:ascii="times" w:hAnsi="times"/>
                <w:sz w:val="20"/>
              </w:rPr>
            </w:pPr>
            <w:r>
              <w:rPr>
                <w:rFonts w:ascii="times" w:hAnsi="times"/>
                <w:sz w:val="20"/>
              </w:rPr>
              <w:t>DOCUMENTS FILED AS PART OF THE REGISTRATION STATEMENT</w:t>
            </w:r>
          </w:p>
        </w:tc>
        <w:tc>
          <w:tcPr>
            <w:tcW w:w="188"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w:hAnsi="times"/>
                <w:sz w:val="20"/>
              </w:rPr>
            </w:pPr>
            <w:r>
              <w:rPr>
                <w:rFonts w:ascii="times" w:hAnsi="times"/>
                <w:sz w:val="20"/>
              </w:rPr>
              <w:t>29</w:t>
            </w:r>
          </w:p>
        </w:tc>
      </w:tr>
    </w:tbl>
    <w:p>
      <w:pPr>
        <w:pStyle w:val="TextBody"/>
        <w:jc w:val="center"/>
        <w:rPr>
          <w:rFonts w:ascii="times" w:hAnsi="times"/>
          <w:sz w:val="20"/>
        </w:rPr>
      </w:pPr>
      <w:r>
        <w:rPr>
          <w:rFonts w:ascii="times" w:hAnsi="times"/>
          <w:sz w:val="20"/>
        </w:rPr>
        <w:t>2</w:t>
      </w:r>
    </w:p>
    <w:p>
      <w:pPr>
        <w:pStyle w:val="HorizontalLine"/>
        <w:pBdr>
          <w:bottom w:val="single" w:sz="20" w:space="0" w:color="808080"/>
        </w:pBdr>
        <w:rPr/>
      </w:pPr>
      <w:r>
        <w:rPr/>
      </w:r>
      <w:r>
        <w:br w:type="page"/>
      </w:r>
    </w:p>
    <w:p>
      <w:pPr>
        <w:pStyle w:val="TextBody"/>
        <w:jc w:val="center"/>
        <w:rPr>
          <w:rFonts w:ascii="times" w:hAnsi="times"/>
        </w:rPr>
      </w:pPr>
      <w:bookmarkStart w:id="8" w:name="toc_bi48002_1"/>
      <w:bookmarkStart w:id="9" w:name="bi48002_about_this_prospectus"/>
      <w:bookmarkStart w:id="10" w:name="page_bi48002_1_3"/>
      <w:bookmarkEnd w:id="8"/>
      <w:bookmarkEnd w:id="9"/>
      <w:bookmarkEnd w:id="10"/>
      <w:r>
        <w:rPr>
          <w:rFonts w:ascii="times" w:hAnsi="times"/>
          <w:sz w:val="20"/>
        </w:rPr>
        <w:br/>
      </w:r>
      <w:r>
        <w:rPr>
          <w:rFonts w:ascii="times" w:hAnsi="times"/>
          <w:b/>
          <w:sz w:val="20"/>
        </w:rPr>
        <w:t xml:space="preserve">ABOUT THIS PROSPECTUS </w:t>
      </w:r>
    </w:p>
    <w:p>
      <w:pPr>
        <w:pStyle w:val="TextBody"/>
        <w:jc w:val="both"/>
        <w:rPr/>
      </w:pPr>
      <w:r>
        <w:rPr/>
        <w:t>        </w:t>
      </w:r>
      <w:r>
        <w:rPr>
          <w:rFonts w:ascii="times" w:hAnsi="times"/>
          <w:sz w:val="20"/>
        </w:rPr>
        <w:t xml:space="preserve">Only the information contained or incorporated by reference in this prospectus should be relied upon. The Company has not authorized any other person to provide different information. If anyone provides different or inconsistent information, it should not be relied upon. The Securities offered hereunder may not be offered or sold in any jurisdiction where the offer or sale is not permitted. Unless otherwise indicated, the statistical, operating and financial information contained in this prospectus is presented as at June 28, 2013. It should be assumed that the information appearing in this prospectus and the documents incorporated by reference herein are accurate only as of their respective dates. The Company's business, financial condition, results of operations and prospects may have changed since those dates. </w:t>
      </w:r>
    </w:p>
    <w:p>
      <w:pPr>
        <w:pStyle w:val="TextBody"/>
        <w:jc w:val="both"/>
        <w:rPr/>
      </w:pPr>
      <w:r>
        <w:rPr/>
        <w:t>        </w:t>
      </w:r>
      <w:r>
        <w:rPr>
          <w:rFonts w:ascii="times" w:hAnsi="times"/>
          <w:b/>
          <w:sz w:val="20"/>
        </w:rPr>
        <w:t>In this prospectus, unless stated otherwise, the "Company", "we", "us" and "our" refer to Agnico Eagle Mines Limited and its consolidated subsidiaries.</w:t>
      </w:r>
    </w:p>
    <w:p>
      <w:pPr>
        <w:pStyle w:val="TextBody"/>
        <w:jc w:val="both"/>
        <w:rPr/>
      </w:pPr>
      <w:r>
        <w:rPr/>
        <w:t>        </w:t>
      </w:r>
      <w:r>
        <w:rPr>
          <w:rFonts w:ascii="times" w:hAnsi="times"/>
          <w:sz w:val="20"/>
        </w:rPr>
        <w:t xml:space="preserve">The Company publishes its consolidated financial statements in United States dollars ("US dollars"). Unless otherwise indicated, all references to "$", "US$" or "dollar" in this prospectus refer to US dollars and "C$" refers to Canadian dollars. For information purposes, the noon buying rate in Canadian dollars as reported by the Bank of Canada (the "Noon Buying Rate") on June 27, 2013 was US$1.00 = C$1.048. </w:t>
      </w:r>
    </w:p>
    <w:p>
      <w:pPr>
        <w:pStyle w:val="TextBody"/>
        <w:jc w:val="both"/>
        <w:rPr/>
      </w:pPr>
      <w:r>
        <w:rPr/>
        <w:t>        </w:t>
      </w:r>
      <w:r>
        <w:rPr>
          <w:rFonts w:ascii="times" w:hAnsi="times"/>
          <w:sz w:val="20"/>
        </w:rPr>
        <w:t xml:space="preserve">Unless otherwise stated herein, all financial statement data used herein was prepared in accordance with United States generally accepted accounting principles ("US GAAP"). </w:t>
      </w:r>
    </w:p>
    <w:p>
      <w:pPr>
        <w:pStyle w:val="TextBody"/>
        <w:jc w:val="center"/>
        <w:rPr>
          <w:rFonts w:ascii="times" w:hAnsi="times"/>
        </w:rPr>
      </w:pPr>
      <w:bookmarkStart w:id="11" w:name="toc_bi48002_2"/>
      <w:bookmarkStart w:id="12" w:name="bi48002_note_to_investors_concerning_e__"/>
      <w:bookmarkEnd w:id="11"/>
      <w:bookmarkEnd w:id="12"/>
      <w:r>
        <w:rPr>
          <w:rFonts w:ascii="times" w:hAnsi="times"/>
          <w:sz w:val="20"/>
        </w:rPr>
        <w:br/>
      </w:r>
      <w:r>
        <w:rPr>
          <w:rFonts w:ascii="times" w:hAnsi="times"/>
          <w:b/>
          <w:sz w:val="20"/>
        </w:rPr>
        <w:t>NOTE TO INVESTORS CONCERNING ESTIMATES</w:t>
        <w:br/>
        <w:t xml:space="preserve">OF MINERAL RESERVES AND MINERAL RESOURCES </w:t>
      </w:r>
    </w:p>
    <w:p>
      <w:pPr>
        <w:pStyle w:val="TextBody"/>
        <w:jc w:val="both"/>
        <w:rPr/>
      </w:pPr>
      <w:r>
        <w:rPr/>
        <w:t>        </w:t>
      </w:r>
      <w:r>
        <w:rPr>
          <w:rFonts w:ascii="times" w:hAnsi="times"/>
          <w:sz w:val="20"/>
        </w:rPr>
        <w:t xml:space="preserve">The mineral reserve and mineral resource estimates contained in or incorporated by reference in this prospectus have been prepared in accordance with the Canadian Securities Administrators' National Instrument 43-101 </w:t>
      </w:r>
      <w:r>
        <w:rPr>
          <w:rFonts w:ascii="times" w:hAnsi="times"/>
          <w:i/>
          <w:sz w:val="20"/>
        </w:rPr>
        <w:t>Standards of Disclosure for Mineral Projects</w:t>
      </w:r>
      <w:r>
        <w:rPr>
          <w:rFonts w:ascii="times" w:hAnsi="times"/>
        </w:rPr>
        <w:t xml:space="preserve"> </w:t>
      </w:r>
      <w:r>
        <w:rPr>
          <w:rFonts w:ascii="times" w:hAnsi="times"/>
          <w:sz w:val="20"/>
        </w:rPr>
        <w:t xml:space="preserve">("NI 43-101"). These standards are similar to those used by the United States Securities and Exchange Commission's (the "SEC") Industry Guide No. 7, as interpreted by Staff at the SEC. However, the definitions in NI 43-101 differ in certain respects from those under Industry Guide No. 7. Accordingly, mineral reserve and mineral resource information contained or incorporated by reference herein may not be comparable to similar information disclosed by U.S. companies. Under the requirements of the SEC, mineralization may not be classified as a "reserve" unless the determination has been made that the mineralization could be economically and legally produced or extracted at the time the reserve determination is made. The SEC does not recognize measures of "mineral resource". </w:t>
      </w:r>
    </w:p>
    <w:p>
      <w:pPr>
        <w:pStyle w:val="TextBody"/>
        <w:jc w:val="both"/>
        <w:rPr/>
      </w:pPr>
      <w:r>
        <w:rPr/>
        <w:t>        </w:t>
      </w:r>
      <w:r>
        <w:rPr>
          <w:rFonts w:ascii="times" w:hAnsi="times"/>
          <w:sz w:val="20"/>
        </w:rPr>
        <w:t xml:space="preserve">The mineral reserve figures set out or incorporated by reference herein are estimates, and no assurance can be given that the anticipated tonnages and grades will be achieved or that the indicated level of recovery will be realized. The Company does not include equivalent gold ounces for byproduct metals contained in mineral reserves in its calculation of contained ounces. </w:t>
      </w:r>
    </w:p>
    <w:p>
      <w:pPr>
        <w:pStyle w:val="TextBody"/>
        <w:jc w:val="both"/>
        <w:rPr>
          <w:rFonts w:ascii="times" w:hAnsi="times"/>
          <w:b/>
          <w:sz w:val="20"/>
        </w:rPr>
      </w:pPr>
      <w:r>
        <w:rPr>
          <w:rFonts w:ascii="times" w:hAnsi="times"/>
          <w:b/>
          <w:sz w:val="20"/>
        </w:rPr>
        <w:t xml:space="preserve">Cautionary Note to Investors Concerning Estimates of Measured and Indicated Resources </w:t>
      </w:r>
    </w:p>
    <w:p>
      <w:pPr>
        <w:pStyle w:val="TextBody"/>
        <w:jc w:val="both"/>
        <w:rPr/>
      </w:pPr>
      <w:r>
        <w:rPr/>
        <w:t>        </w:t>
      </w:r>
      <w:r>
        <w:rPr>
          <w:rFonts w:ascii="times" w:hAnsi="times"/>
          <w:sz w:val="20"/>
        </w:rPr>
        <w:t xml:space="preserve">This prospectus and documents incorporated by reference herein use the terms "measured mineral resources" and "indicated mineral resources". Investors are advised that while those terms are recognized and required by Canadian regulations, the SEC does not recognize them. </w:t>
      </w:r>
      <w:r>
        <w:rPr>
          <w:rFonts w:ascii="times" w:hAnsi="times"/>
          <w:b/>
          <w:sz w:val="20"/>
        </w:rPr>
        <w:t>Investors are cautioned not to assume that any part or all of the mineral deposits in these categories will ever be converted into reserves.</w:t>
      </w:r>
    </w:p>
    <w:p>
      <w:pPr>
        <w:pStyle w:val="TextBody"/>
        <w:jc w:val="both"/>
        <w:rPr>
          <w:rFonts w:ascii="times" w:hAnsi="times"/>
          <w:b/>
          <w:sz w:val="20"/>
        </w:rPr>
      </w:pPr>
      <w:r>
        <w:rPr>
          <w:rFonts w:ascii="times" w:hAnsi="times"/>
          <w:b/>
          <w:sz w:val="20"/>
        </w:rPr>
        <w:t xml:space="preserve">Cautionary Note to Investors Concerning Estimates of Inferred Resources </w:t>
      </w:r>
    </w:p>
    <w:p>
      <w:pPr>
        <w:pStyle w:val="TextBody"/>
        <w:jc w:val="both"/>
        <w:rPr/>
      </w:pPr>
      <w:r>
        <w:rPr/>
        <w:t>        </w:t>
      </w:r>
      <w:r>
        <w:rPr>
          <w:rFonts w:ascii="times" w:hAnsi="times"/>
          <w:sz w:val="20"/>
        </w:rPr>
        <w:t xml:space="preserve">This prospectus and documents incorporated by reference herein use the term "inferred mineral resources". Investors are advised that while this term is recognized and required by Canadian regulations, the SEC does not recognize it. "Inferred mineral resources" have a great amount of uncertainty as to their existence, and great uncertainty as to their economic and legal feasibility. It cannot be assumed that all or any part of an inferred mineral resource will ever be upgraded to a higher category. Under Canadian rules, estimates of inferred mineral resources may not form the basis of feasibility or pre-feasibility studies, except in rare cases. </w:t>
      </w:r>
      <w:r>
        <w:rPr>
          <w:rFonts w:ascii="times" w:hAnsi="times"/>
          <w:b/>
          <w:sz w:val="20"/>
        </w:rPr>
        <w:t>Investors are cautioned not to assume that any part or all of an inferred mineral resource exists, or is economically or legally mineable.</w:t>
      </w:r>
    </w:p>
    <w:p>
      <w:pPr>
        <w:pStyle w:val="TextBody"/>
        <w:jc w:val="center"/>
        <w:rPr>
          <w:rFonts w:ascii="times" w:hAnsi="times"/>
          <w:sz w:val="20"/>
        </w:rPr>
      </w:pPr>
      <w:r>
        <w:rPr>
          <w:rFonts w:ascii="times" w:hAnsi="times"/>
          <w:sz w:val="20"/>
        </w:rPr>
        <w:t>3</w:t>
      </w:r>
    </w:p>
    <w:p>
      <w:pPr>
        <w:pStyle w:val="HorizontalLine"/>
        <w:pBdr>
          <w:bottom w:val="single" w:sz="20" w:space="0" w:color="808080"/>
        </w:pBdr>
        <w:rPr/>
      </w:pPr>
      <w:r>
        <w:rPr/>
      </w:r>
      <w:r>
        <w:br w:type="page"/>
      </w:r>
    </w:p>
    <w:p>
      <w:pPr>
        <w:pStyle w:val="TextBody"/>
        <w:jc w:val="both"/>
        <w:rPr/>
      </w:pPr>
      <w:bookmarkStart w:id="13" w:name="page_bi48002_1_4"/>
      <w:bookmarkEnd w:id="13"/>
      <w:r>
        <w:rPr/>
        <w:t>        </w:t>
      </w:r>
      <w:r>
        <w:rPr>
          <w:rFonts w:ascii="times" w:hAnsi="times"/>
          <w:sz w:val="20"/>
        </w:rPr>
        <w:t xml:space="preserve">For definitions of the terms used in this section, see the Company's Annual Report on Form 20-F for the year ended December 31, 2012 filed with the Canadian securities regulatory authorities on the System for Electronic Document Analysis and Retrieval ("SEDAR") and the SEC on March 28, 2013, as amended by the Form 20-F/A filed by the Company with the Canadian securities regulatory authorities on SEDAR and the SEC on April 2, 2013 (as amended, the "Form 20-F"). </w:t>
      </w:r>
    </w:p>
    <w:p>
      <w:pPr>
        <w:pStyle w:val="TextBody"/>
        <w:jc w:val="center"/>
        <w:rPr>
          <w:rFonts w:ascii="times" w:hAnsi="times"/>
        </w:rPr>
      </w:pPr>
      <w:bookmarkStart w:id="14" w:name="toc_bi48002_3"/>
      <w:bookmarkStart w:id="15" w:name="bi48002_note_to_investors_conc__bi402523"/>
      <w:bookmarkEnd w:id="14"/>
      <w:bookmarkEnd w:id="15"/>
      <w:r>
        <w:rPr>
          <w:rFonts w:ascii="times" w:hAnsi="times"/>
          <w:sz w:val="20"/>
        </w:rPr>
        <w:br/>
      </w:r>
      <w:r>
        <w:rPr>
          <w:rFonts w:ascii="times" w:hAnsi="times"/>
          <w:b/>
          <w:sz w:val="20"/>
        </w:rPr>
        <w:t xml:space="preserve">NOTE TO INVESTORS CONCERNING CERTAIN MEASURES OF PERFORMANCE </w:t>
      </w:r>
    </w:p>
    <w:p>
      <w:pPr>
        <w:pStyle w:val="TextBody"/>
        <w:jc w:val="both"/>
        <w:rPr/>
      </w:pPr>
      <w:r>
        <w:rPr/>
        <w:t>        </w:t>
      </w:r>
      <w:r>
        <w:rPr>
          <w:rFonts w:ascii="times" w:hAnsi="times"/>
          <w:sz w:val="20"/>
        </w:rPr>
        <w:t xml:space="preserve">This prospectus and the documents incorporated by reference herein include certain measures, including "total cash costs per ounce", "all-in sustaining costs per ounce" and "minesite costs per tonne", that are not recognized measures under US GAAP. This data may not be comparable to data disclosed by other gold producers. The Company believes that these generally accepted industry measures are realistic indicators of operating performance and are useful in allowing year over year comparisons. However, these non-US GAAP measures should be considered together with other data prepared in accordance with US GAAP, and these measures, taken by themselves, are not necessarily indicative of operating costs or cash flow measures prepared in accordance with US GAAP. A reconciliation of "total cash costs per ounce" and "minesite costs per tonne" to the figures set out in the consolidated financial statements prepared in accordance with US GAAP is set out (i) in respect of the data for the year ended December 31, 2012, in management's discussion and analysis of financial condition and results of operation of the Company in respect of the year ended December 31, 2012 under the caption "Results of Operations  Production Costs" and (ii) in respect of the three-month period ended March 31, 2013, in management's discussion and analysis of financial condition and results of operation of the Company in respect of the three months ended March 31, 2013 under the caption "Results of Operations  Production Costs", each of which is incorporated by reference into this prospectus. This prospectus and the documents incorporated by reference herein also contain information as to estimated future total cash costs per ounce, all-in sustaining costs per ounce and minesite costs per tonne for projects currently in production and for projects under development. The estimates of total cash costs per ounce, all-in sustaining costs per ounce and minesite costs per tonne are based upon the total cash costs per ounce, all-in sustaining costs per ounce and minesite costs per tonne that the Company expects to incur to mine gold at its projects and, consistent with the reconciliation provided, do not include production costs attributable to accretion expense and other asset retirement costs, which will vary over time as each project is developed and mined. It is therefore not practicable to reconcile these forward-looking non-US GAAP financial measures to the most comparable US GAAP measure. </w:t>
      </w:r>
    </w:p>
    <w:p>
      <w:pPr>
        <w:pStyle w:val="TextBody"/>
        <w:jc w:val="center"/>
        <w:rPr>
          <w:rFonts w:ascii="times" w:hAnsi="times"/>
          <w:sz w:val="20"/>
        </w:rPr>
      </w:pPr>
      <w:r>
        <w:rPr>
          <w:rFonts w:ascii="times" w:hAnsi="times"/>
          <w:sz w:val="20"/>
        </w:rPr>
        <w:t>4</w:t>
      </w:r>
    </w:p>
    <w:p>
      <w:pPr>
        <w:pStyle w:val="HorizontalLine"/>
        <w:pBdr>
          <w:bottom w:val="single" w:sz="20" w:space="0" w:color="808080"/>
        </w:pBdr>
        <w:rPr/>
      </w:pPr>
      <w:r>
        <w:rPr/>
      </w:r>
      <w:r>
        <w:br w:type="page"/>
      </w:r>
    </w:p>
    <w:p>
      <w:pPr>
        <w:pStyle w:val="TextBody"/>
        <w:ind w:left="0" w:right="0" w:firstLine="240"/>
        <w:jc w:val="center"/>
        <w:rPr>
          <w:rFonts w:ascii="times" w:hAnsi="times"/>
          <w:bdr w:val="single" w:sz="8" w:space="12" w:color="000000"/>
        </w:rPr>
      </w:pPr>
      <w:bookmarkStart w:id="16" w:name="toc_ca48002_1"/>
      <w:bookmarkStart w:id="17" w:name="ca48002_prospectus_summary"/>
      <w:bookmarkStart w:id="18" w:name="page_ca48002_1_5"/>
      <w:bookmarkEnd w:id="16"/>
      <w:bookmarkEnd w:id="17"/>
      <w:bookmarkEnd w:id="18"/>
      <w:r>
        <w:rPr>
          <w:rFonts w:ascii="times" w:hAnsi="times"/>
          <w:sz w:val="20"/>
          <w:bdr w:val="single" w:sz="8" w:space="12" w:color="000000"/>
        </w:rPr>
        <w:br/>
      </w:r>
      <w:r>
        <w:rPr>
          <w:rFonts w:ascii="times" w:hAnsi="times"/>
          <w:b/>
          <w:sz w:val="20"/>
          <w:bdr w:val="single" w:sz="8" w:space="12" w:color="000000"/>
        </w:rPr>
        <w:t xml:space="preserve">PROSPECTUS SUMMARY </w:t>
      </w:r>
    </w:p>
    <w:p>
      <w:pPr>
        <w:pStyle w:val="TextBody"/>
        <w:ind w:left="0" w:right="0" w:firstLine="240"/>
        <w:jc w:val="both"/>
        <w:rPr>
          <w:bdr w:val="single" w:sz="8" w:space="12" w:color="000000"/>
        </w:rPr>
      </w:pPr>
      <w:r>
        <w:rPr>
          <w:bdr w:val="single" w:sz="8" w:space="12" w:color="000000"/>
        </w:rPr>
        <w:t>        </w:t>
      </w:r>
      <w:r>
        <w:rPr>
          <w:rFonts w:ascii="times" w:hAnsi="times"/>
          <w:i/>
          <w:sz w:val="20"/>
          <w:bdr w:val="single" w:sz="8" w:space="12" w:color="000000"/>
        </w:rPr>
        <w:t>The following information is a summary only and is to be read in conjunction with, and is qualified in its entirety by, the more detailed information appearing elsewhere in this prospectus and in the documents incorporated by reference herein. Capitalized terms used but not defined in this summary have the respective meanings ascribed thereto elsewhere in this prospectus. Unless otherwise indicated, the statistical, operating and financial information contained in this prospectus is presented as at June 28, 2013.</w:t>
      </w:r>
    </w:p>
    <w:p>
      <w:pPr>
        <w:pStyle w:val="TextBody"/>
        <w:ind w:left="0" w:right="0" w:firstLine="240"/>
        <w:jc w:val="center"/>
        <w:rPr>
          <w:rFonts w:ascii="times" w:hAnsi="times"/>
          <w:bdr w:val="single" w:sz="8" w:space="12" w:color="000000"/>
        </w:rPr>
      </w:pPr>
      <w:bookmarkStart w:id="19" w:name="toc_ca48002_2"/>
      <w:bookmarkStart w:id="20" w:name="ca48002_the_company"/>
      <w:bookmarkEnd w:id="19"/>
      <w:bookmarkEnd w:id="20"/>
      <w:r>
        <w:rPr>
          <w:rFonts w:ascii="times" w:hAnsi="times"/>
          <w:sz w:val="20"/>
          <w:bdr w:val="single" w:sz="8" w:space="12" w:color="000000"/>
        </w:rPr>
        <w:br/>
      </w:r>
      <w:r>
        <w:rPr>
          <w:rFonts w:ascii="times" w:hAnsi="times"/>
          <w:b/>
          <w:sz w:val="20"/>
          <w:bdr w:val="single" w:sz="8" w:space="12" w:color="000000"/>
        </w:rPr>
        <w:t xml:space="preserve">The Company </w:t>
      </w:r>
    </w:p>
    <w:p>
      <w:pPr>
        <w:pStyle w:val="TextBody"/>
        <w:ind w:left="0" w:right="0" w:firstLine="240"/>
        <w:jc w:val="both"/>
        <w:rPr>
          <w:bdr w:val="single" w:sz="8" w:space="12" w:color="000000"/>
        </w:rPr>
      </w:pPr>
      <w:r>
        <w:rPr>
          <w:bdr w:val="single" w:sz="8" w:space="12" w:color="000000"/>
        </w:rPr>
        <w:t>        </w:t>
      </w:r>
      <w:r>
        <w:rPr>
          <w:rFonts w:ascii="times" w:hAnsi="times"/>
          <w:sz w:val="20"/>
          <w:bdr w:val="single" w:sz="8" w:space="12" w:color="000000"/>
        </w:rPr>
        <w:t xml:space="preserve">The Company is an established Canadian based international gold producer with mining operations in northwestern Quebec, northern Mexico, northern Finland and Nunavut and exploration activities in Canada, Europe, Latin America and the United States. The Company's operating history includes over three decades of continuous gold production primarily from underground operations. Since its formation in 1972, the Company has produced approximately 9.0 million ounces of gold. </w:t>
      </w:r>
    </w:p>
    <w:p>
      <w:pPr>
        <w:pStyle w:val="TextBody"/>
        <w:ind w:left="0" w:right="0" w:firstLine="240"/>
        <w:jc w:val="both"/>
        <w:rPr>
          <w:bdr w:val="single" w:sz="8" w:space="12" w:color="000000"/>
        </w:rPr>
      </w:pPr>
      <w:r>
        <w:rPr>
          <w:bdr w:val="single" w:sz="8" w:space="12" w:color="000000"/>
        </w:rPr>
        <w:t>        </w:t>
      </w:r>
      <w:r>
        <w:rPr>
          <w:rFonts w:ascii="times" w:hAnsi="times"/>
          <w:sz w:val="20"/>
          <w:bdr w:val="single" w:sz="8" w:space="12" w:color="000000"/>
        </w:rPr>
        <w:t xml:space="preserve">The Company's strategy is to focus on the continued exploration, development and expansion of its properties, all of which are located in politically stable jurisdictions. The Company has spent approximately $3.4 billion on mine development over the last five years. Through this development program, the Company transformed itself from a regionally focused, single-mine producer to a multi-mine international gold producer with five operating, 100% owned mines, two mine development projects, one advanced exploration project and 78 other projects. The Company plans to pursue opportunities for growth in gold production and gold reserves through the prudent acquisition or development of exploration properties, development properties, producing properties and other mining businesses in the Americas and Europe. As at December 31, 2012, on a contained gold ounces basis, the gold reserves of the Company were 18.68 million ounces (184 million tonnes grading on average 3.16 grams of gold per tonne). </w:t>
      </w:r>
    </w:p>
    <w:p>
      <w:pPr>
        <w:pStyle w:val="TextBody"/>
        <w:ind w:left="0" w:right="0" w:firstLine="240"/>
        <w:jc w:val="both"/>
        <w:rPr>
          <w:bdr w:val="single" w:sz="8" w:space="12" w:color="000000"/>
        </w:rPr>
      </w:pPr>
      <w:r>
        <w:rPr>
          <w:bdr w:val="single" w:sz="8" w:space="12" w:color="000000"/>
        </w:rPr>
        <w:t>        </w:t>
      </w:r>
      <w:r>
        <w:rPr>
          <w:rFonts w:ascii="times" w:hAnsi="times"/>
          <w:sz w:val="20"/>
          <w:bdr w:val="single" w:sz="8" w:space="12" w:color="000000"/>
        </w:rPr>
        <w:t xml:space="preserve">In 2012, the Company produced 1,043,811 ounces of gold at total cash costs per ounce of $640 net of revenues from byproduct metals. For 2013, the Company expects to produce between 970,000 and 1,010,000 ounces of gold at a total cash cost per ounce of gold produced of between $735 and $785 net of byproduct revenue. These expected higher total cash costs per ounce compared to 2012 reflect the higher proportion of production expected to come from the Meadowbank mine, which has higher total cash costs per ounce than the Company's average; higher costs associated with the transition to underground mining operations at the Pinos Altos mine and the Kittila mine; and increased production from the Company's mines that do not contain byproduct metals, revenue from which reduces total cash costs per ounce. In addition, the higher total cash costs per ounce also reflects the increased labour, shipping and transportation costs. The Company expects its all-in sustaining costs for 2013 to be approximately $1,110 per ounce of gold. During the three-month period ended March 31, 2013, the Company produced 236,975 ounces of gold at total cash costs per ounce of $740 net of revenues from byproduct metals. The Company has traditionally sold all of its production at the spot price of gold due to its general policy not to sell forward its future gold production. </w:t>
      </w:r>
    </w:p>
    <w:p>
      <w:pPr>
        <w:pStyle w:val="TextBody"/>
        <w:ind w:left="0" w:right="0" w:firstLine="240"/>
        <w:jc w:val="center"/>
        <w:rPr>
          <w:rFonts w:ascii="times" w:hAnsi="times"/>
          <w:bdr w:val="single" w:sz="8" w:space="12" w:color="000000"/>
        </w:rPr>
      </w:pPr>
      <w:bookmarkStart w:id="21" w:name="toc_ca48002_3"/>
      <w:bookmarkStart w:id="22" w:name="ca48002_recent_developments"/>
      <w:bookmarkEnd w:id="21"/>
      <w:bookmarkEnd w:id="22"/>
      <w:r>
        <w:rPr>
          <w:rFonts w:ascii="times" w:hAnsi="times"/>
          <w:sz w:val="20"/>
          <w:bdr w:val="single" w:sz="8" w:space="12" w:color="000000"/>
        </w:rPr>
        <w:br/>
      </w:r>
      <w:r>
        <w:rPr>
          <w:rFonts w:ascii="times" w:hAnsi="times"/>
          <w:b/>
          <w:sz w:val="20"/>
          <w:bdr w:val="single" w:sz="8" w:space="12" w:color="000000"/>
        </w:rPr>
        <w:t xml:space="preserve">Recent Developments </w:t>
      </w:r>
    </w:p>
    <w:p>
      <w:pPr>
        <w:pStyle w:val="TextBody"/>
        <w:numPr>
          <w:ilvl w:val="0"/>
          <w:numId w:val="0"/>
        </w:numPr>
        <w:ind w:left="707" w:right="0" w:hanging="0"/>
        <w:jc w:val="both"/>
        <w:rPr>
          <w:rFonts w:ascii="times" w:hAnsi="times"/>
          <w:b/>
          <w:i/>
          <w:sz w:val="20"/>
          <w:bdr w:val="single" w:sz="8" w:space="12" w:color="000000"/>
        </w:rPr>
      </w:pPr>
      <w:r>
        <w:rPr>
          <w:rFonts w:ascii="times" w:hAnsi="times"/>
          <w:b/>
          <w:i/>
          <w:sz w:val="20"/>
          <w:bdr w:val="single" w:sz="8" w:space="12" w:color="000000"/>
        </w:rPr>
        <w:t xml:space="preserve">Operating Updates </w:t>
      </w:r>
    </w:p>
    <w:p>
      <w:pPr>
        <w:pStyle w:val="TextBody"/>
        <w:ind w:left="0" w:right="0" w:firstLine="240"/>
        <w:jc w:val="both"/>
        <w:rPr>
          <w:bdr w:val="single" w:sz="8" w:space="12" w:color="000000"/>
        </w:rPr>
      </w:pPr>
      <w:r>
        <w:rPr>
          <w:bdr w:val="single" w:sz="8" w:space="12" w:color="000000"/>
        </w:rPr>
        <w:t>        </w:t>
      </w:r>
      <w:r>
        <w:rPr>
          <w:rFonts w:ascii="times" w:hAnsi="times"/>
          <w:sz w:val="20"/>
          <w:bdr w:val="single" w:sz="8" w:space="12" w:color="000000"/>
        </w:rPr>
        <w:t xml:space="preserve">Development activities at the M and E Zones at the Goldex mine project in Quebec have advanced ahead of schedule, resulting in anticipated commencement of production in the fourth quarter of 2013, approximately two quarters ahead of previous estimates. </w:t>
      </w:r>
    </w:p>
    <w:p>
      <w:pPr>
        <w:pStyle w:val="TextBody"/>
        <w:ind w:left="0" w:right="0" w:firstLine="240"/>
        <w:jc w:val="both"/>
        <w:rPr>
          <w:bdr w:val="single" w:sz="8" w:space="12" w:color="000000"/>
        </w:rPr>
      </w:pPr>
      <w:r>
        <w:rPr>
          <w:bdr w:val="single" w:sz="8" w:space="12" w:color="000000"/>
        </w:rPr>
        <w:t>        </w:t>
      </w:r>
      <w:r>
        <w:rPr>
          <w:rFonts w:ascii="times" w:hAnsi="times"/>
          <w:sz w:val="20"/>
          <w:bdr w:val="single" w:sz="8" w:space="12" w:color="000000"/>
        </w:rPr>
        <w:t xml:space="preserve">The Company has also announced that it anticipates commissioning the La India mine project late in the fourth quarter of 2013, with commercial production anticipated in the first quarter of 2014, approximately one quarter ahead of schedule. </w:t>
      </w:r>
    </w:p>
    <w:p>
      <w:pPr>
        <w:pStyle w:val="TextBody"/>
        <w:ind w:left="0" w:right="0" w:firstLine="240"/>
        <w:jc w:val="both"/>
        <w:rPr>
          <w:bdr w:val="single" w:sz="8" w:space="12" w:color="000000"/>
        </w:rPr>
      </w:pPr>
      <w:r>
        <w:rPr>
          <w:bdr w:val="single" w:sz="8" w:space="12" w:color="000000"/>
        </w:rPr>
        <w:t>        </w:t>
      </w:r>
      <w:r>
        <w:rPr>
          <w:rFonts w:ascii="times" w:hAnsi="times"/>
          <w:sz w:val="20"/>
          <w:bdr w:val="single" w:sz="8" w:space="12" w:color="000000"/>
        </w:rPr>
        <w:t xml:space="preserve">In March 2013, leaching resumed on the Phase 2 leach pad at the Creston Mascota operation at Pinos Altos approximately one month ahead of schedule. The Company expects a gradual ramp-up of production at Creston Mascota over the remainder of 2013. </w:t>
      </w:r>
    </w:p>
    <w:p>
      <w:pPr>
        <w:pStyle w:val="TextBody"/>
        <w:spacing w:lineRule="atLeast" w:line="141"/>
        <w:ind w:left="0" w:right="0" w:firstLine="240"/>
        <w:jc w:val="both"/>
        <w:rPr>
          <w:bdr w:val="single" w:sz="8" w:space="12" w:color="000000"/>
        </w:rPr>
      </w:pPr>
      <w:r>
        <w:rPr>
          <w:bdr w:val="single" w:sz="8" w:space="12" w:color="000000"/>
        </w:rPr>
        <w:t> </w:t>
      </w:r>
    </w:p>
    <w:p>
      <w:pPr>
        <w:pStyle w:val="TextBody"/>
        <w:jc w:val="center"/>
        <w:rPr>
          <w:rFonts w:ascii="times" w:hAnsi="times"/>
          <w:sz w:val="20"/>
        </w:rPr>
      </w:pPr>
      <w:r>
        <w:rPr>
          <w:rFonts w:ascii="times" w:hAnsi="times"/>
          <w:sz w:val="20"/>
        </w:rPr>
        <w:t>5</w:t>
      </w:r>
    </w:p>
    <w:p>
      <w:pPr>
        <w:pStyle w:val="HorizontalLine"/>
        <w:pBdr>
          <w:bottom w:val="single" w:sz="20" w:space="0" w:color="808080"/>
        </w:pBdr>
        <w:rPr/>
      </w:pPr>
      <w:r>
        <w:rPr/>
      </w:r>
      <w:r>
        <w:br w:type="page"/>
      </w:r>
    </w:p>
    <w:p>
      <w:pPr>
        <w:pStyle w:val="TextBody"/>
        <w:jc w:val="both"/>
        <w:rPr/>
      </w:pPr>
      <w:bookmarkStart w:id="23" w:name="page_ca48002_1_6"/>
      <w:bookmarkEnd w:id="23"/>
      <w:r>
        <w:rPr/>
        <w:t> </w:t>
      </w:r>
    </w:p>
    <w:p>
      <w:pPr>
        <w:pStyle w:val="TextBody"/>
        <w:ind w:left="0" w:right="0" w:firstLine="240"/>
        <w:jc w:val="both"/>
        <w:rPr>
          <w:bdr w:val="single" w:sz="8" w:space="12" w:color="000000"/>
        </w:rPr>
      </w:pPr>
      <w:r>
        <w:rPr>
          <w:bdr w:val="single" w:sz="8" w:space="12" w:color="000000"/>
        </w:rPr>
        <w:t>        </w:t>
      </w:r>
      <w:r>
        <w:rPr>
          <w:rFonts w:ascii="times" w:hAnsi="times"/>
          <w:sz w:val="20"/>
          <w:bdr w:val="single" w:sz="8" w:space="12" w:color="000000"/>
        </w:rPr>
        <w:t xml:space="preserve">Upon commencement of a planned 40-day maintenance shutdown of the Kittila mill during the second quarter of 2013, a comprehensive assessment of the autoclave determined that additional maintenance was required, including a complete relining of all layers inside the autoclave. Maintenance work is complete and the Company is restarting operation of the autoclave. The Company estimates that the extended shutdown will result in a reduction of approximately 10,000 to 15,000 ounces of gold in 2013. The impact of the shutdown on total cash costs per ounce at Kittila is expected to be approximately $10 per ounce. </w:t>
      </w:r>
    </w:p>
    <w:p>
      <w:pPr>
        <w:pStyle w:val="TextBody"/>
        <w:numPr>
          <w:ilvl w:val="0"/>
          <w:numId w:val="0"/>
        </w:numPr>
        <w:ind w:left="707" w:right="0" w:hanging="0"/>
        <w:jc w:val="both"/>
        <w:rPr>
          <w:rFonts w:ascii="times" w:hAnsi="times"/>
          <w:b/>
          <w:i/>
          <w:sz w:val="20"/>
          <w:bdr w:val="single" w:sz="8" w:space="12" w:color="000000"/>
        </w:rPr>
      </w:pPr>
      <w:r>
        <w:rPr>
          <w:rFonts w:ascii="times" w:hAnsi="times"/>
          <w:b/>
          <w:i/>
          <w:sz w:val="20"/>
          <w:bdr w:val="single" w:sz="8" w:space="12" w:color="000000"/>
        </w:rPr>
        <w:t xml:space="preserve">Recent Acquisitions </w:t>
      </w:r>
    </w:p>
    <w:p>
      <w:pPr>
        <w:pStyle w:val="TextBody"/>
        <w:ind w:left="0" w:right="0" w:firstLine="240"/>
        <w:jc w:val="both"/>
        <w:rPr>
          <w:bdr w:val="single" w:sz="8" w:space="12" w:color="000000"/>
        </w:rPr>
      </w:pPr>
      <w:r>
        <w:rPr>
          <w:bdr w:val="single" w:sz="8" w:space="12" w:color="000000"/>
        </w:rPr>
        <w:t>        </w:t>
      </w:r>
      <w:r>
        <w:rPr>
          <w:rFonts w:ascii="times" w:hAnsi="times"/>
          <w:sz w:val="20"/>
          <w:bdr w:val="single" w:sz="8" w:space="12" w:color="000000"/>
        </w:rPr>
        <w:t xml:space="preserve">On March 22, 2013, the Company purchased from treasury 9,600,000 units of ATAC Resources Ltd. ("ATAC") for total consideration of C$12,960,000. Each unit is comprised of one common share of ATAC and one-half of one common share purchase warrant. On closing of the transaction, the Company held 8.48% of ATAC's issued and outstanding common shares, or 12.21% of ATAC's common shares on a partially-diluted basis. </w:t>
      </w:r>
    </w:p>
    <w:p>
      <w:pPr>
        <w:pStyle w:val="TextBody"/>
        <w:ind w:left="0" w:right="0" w:firstLine="240"/>
        <w:jc w:val="both"/>
        <w:rPr>
          <w:bdr w:val="single" w:sz="8" w:space="12" w:color="000000"/>
        </w:rPr>
      </w:pPr>
      <w:r>
        <w:rPr>
          <w:bdr w:val="single" w:sz="8" w:space="12" w:color="000000"/>
        </w:rPr>
        <w:t>        </w:t>
      </w:r>
      <w:r>
        <w:rPr>
          <w:rFonts w:ascii="times" w:hAnsi="times"/>
          <w:sz w:val="20"/>
          <w:bdr w:val="single" w:sz="8" w:space="12" w:color="000000"/>
        </w:rPr>
        <w:t xml:space="preserve">On April 12, 2013, the Company purchased from treasury 26,966,292 units of Sulliden Gold Corporation Ltd. ("Sulliden") for total consideration of C$24,000,000. Each unit is comprised of one common share of Sulliden and 0.7 of one common share purchase warrant. On closing of the transaction, the Company held 9.96% of Sulliden's issued and outstanding common shares, or 15.83% of Sulliden's common shares on a partially-diluted basis. </w:t>
      </w:r>
    </w:p>
    <w:p>
      <w:pPr>
        <w:pStyle w:val="TextBody"/>
        <w:ind w:left="0" w:right="0" w:firstLine="240"/>
        <w:jc w:val="both"/>
        <w:rPr>
          <w:bdr w:val="single" w:sz="8" w:space="12" w:color="000000"/>
        </w:rPr>
      </w:pPr>
      <w:r>
        <w:rPr>
          <w:bdr w:val="single" w:sz="8" w:space="12" w:color="000000"/>
        </w:rPr>
        <w:t>        </w:t>
      </w:r>
      <w:r>
        <w:rPr>
          <w:rFonts w:ascii="times" w:hAnsi="times"/>
          <w:sz w:val="20"/>
          <w:bdr w:val="single" w:sz="8" w:space="12" w:color="000000"/>
        </w:rPr>
        <w:t xml:space="preserve">On April 26, 2013, the Company purchased from treasury 6,250,000 units of Kootenay Silver Inc. ("Kootenay") for total consideration of C$4,750,000. Each unit is comprised of one common share of Kootenay and one-half of one common share purchase warrant. On closing of the transaction, the Company held 9.96% of Kootenay's issued and outstanding common shares, or 14.23% of Kootenay's common shares on a partially-diluted basis. </w:t>
      </w:r>
    </w:p>
    <w:p>
      <w:pPr>
        <w:pStyle w:val="TextBody"/>
        <w:ind w:left="0" w:right="0" w:firstLine="240"/>
        <w:jc w:val="both"/>
        <w:rPr>
          <w:bdr w:val="single" w:sz="8" w:space="12" w:color="000000"/>
        </w:rPr>
      </w:pPr>
      <w:r>
        <w:rPr>
          <w:bdr w:val="single" w:sz="8" w:space="12" w:color="000000"/>
        </w:rPr>
        <w:t>        </w:t>
      </w:r>
      <w:r>
        <w:rPr>
          <w:rFonts w:ascii="times" w:hAnsi="times"/>
          <w:sz w:val="20"/>
          <w:bdr w:val="single" w:sz="8" w:space="12" w:color="000000"/>
        </w:rPr>
        <w:t xml:space="preserve">On May 16, 2013, the Company completed its acquisition of all of the issued and outstanding common shares of Urastar Gold Corp. ("Urastar") pursuant to a court-approved plan of arrangement under the </w:t>
      </w:r>
      <w:r>
        <w:rPr>
          <w:rFonts w:ascii="times" w:hAnsi="times"/>
          <w:i/>
          <w:sz w:val="20"/>
          <w:bdr w:val="single" w:sz="8" w:space="12" w:color="000000"/>
        </w:rPr>
        <w:t>Business Corporations Act</w:t>
      </w:r>
      <w:r>
        <w:rPr>
          <w:rFonts w:ascii="times" w:hAnsi="times"/>
          <w:bdr w:val="single" w:sz="8" w:space="12" w:color="000000"/>
        </w:rPr>
        <w:t xml:space="preserve"> </w:t>
      </w:r>
      <w:r>
        <w:rPr>
          <w:rFonts w:ascii="times" w:hAnsi="times"/>
          <w:sz w:val="20"/>
          <w:bdr w:val="single" w:sz="8" w:space="12" w:color="000000"/>
        </w:rPr>
        <w:t xml:space="preserve">(British Columbia). Under the terms of the arrangement, each shareholder of Urastar received C$0.25 per common share and holders of unexercised in-the-money warrants of Urastar received C$0.15 per warrant, for aggregate consideration of C$10,302,500. Urastar is now a wholly-owned subsidiary of Agnico Eagle. </w:t>
      </w:r>
    </w:p>
    <w:p>
      <w:pPr>
        <w:pStyle w:val="TextBody"/>
        <w:ind w:left="0" w:right="0" w:firstLine="240"/>
        <w:jc w:val="both"/>
        <w:rPr>
          <w:bdr w:val="single" w:sz="8" w:space="12" w:color="000000"/>
        </w:rPr>
      </w:pPr>
      <w:r>
        <w:rPr>
          <w:bdr w:val="single" w:sz="8" w:space="12" w:color="000000"/>
        </w:rPr>
        <w:t>        </w:t>
      </w:r>
      <w:r>
        <w:rPr>
          <w:rFonts w:ascii="times" w:hAnsi="times"/>
          <w:sz w:val="20"/>
          <w:bdr w:val="single" w:sz="8" w:space="12" w:color="000000"/>
        </w:rPr>
        <w:t xml:space="preserve">On May 28, 2013, the Company purchased 7,500,000 units of Probe Mines Limited ("Probe") for total consideration of C$11,250,000. Each unit is comprised of one common share of Probe and three-quarters of one common share purchase warrant. On closing of the transaction, the Company held 9.94% of Probe's issued and outstanding common shares, or 16.19% of Probe's common shares on a partially-diluted basis. </w:t>
      </w:r>
    </w:p>
    <w:p>
      <w:pPr>
        <w:pStyle w:val="TextBody"/>
        <w:numPr>
          <w:ilvl w:val="0"/>
          <w:numId w:val="0"/>
        </w:numPr>
        <w:ind w:left="707" w:right="0" w:hanging="0"/>
        <w:jc w:val="both"/>
        <w:rPr>
          <w:rFonts w:ascii="times" w:hAnsi="times"/>
          <w:b/>
          <w:i/>
          <w:sz w:val="20"/>
          <w:bdr w:val="single" w:sz="8" w:space="12" w:color="000000"/>
        </w:rPr>
      </w:pPr>
      <w:r>
        <w:rPr>
          <w:rFonts w:ascii="times" w:hAnsi="times"/>
          <w:b/>
          <w:i/>
          <w:sz w:val="20"/>
          <w:bdr w:val="single" w:sz="8" w:space="12" w:color="000000"/>
        </w:rPr>
        <w:t xml:space="preserve">Payment of Quarterly Dividend </w:t>
      </w:r>
    </w:p>
    <w:p>
      <w:pPr>
        <w:pStyle w:val="TextBody"/>
        <w:ind w:left="0" w:right="0" w:firstLine="240"/>
        <w:jc w:val="both"/>
        <w:rPr>
          <w:bdr w:val="single" w:sz="8" w:space="12" w:color="000000"/>
        </w:rPr>
      </w:pPr>
      <w:r>
        <w:rPr>
          <w:bdr w:val="single" w:sz="8" w:space="12" w:color="000000"/>
        </w:rPr>
        <w:t>        </w:t>
      </w:r>
      <w:r>
        <w:rPr>
          <w:rFonts w:ascii="times" w:hAnsi="times"/>
          <w:sz w:val="20"/>
          <w:bdr w:val="single" w:sz="8" w:space="12" w:color="000000"/>
        </w:rPr>
        <w:t xml:space="preserve">On June 17, 2013, the Company paid a quarterly cash dividend of $0.22 per common share to shareholders of record as of June 3, 2013. </w:t>
      </w:r>
    </w:p>
    <w:p>
      <w:pPr>
        <w:pStyle w:val="TextBody"/>
        <w:numPr>
          <w:ilvl w:val="0"/>
          <w:numId w:val="0"/>
        </w:numPr>
        <w:ind w:left="707" w:right="0" w:hanging="0"/>
        <w:jc w:val="both"/>
        <w:rPr>
          <w:rFonts w:ascii="times" w:hAnsi="times"/>
          <w:b/>
          <w:i/>
          <w:sz w:val="20"/>
          <w:bdr w:val="single" w:sz="8" w:space="12" w:color="000000"/>
        </w:rPr>
      </w:pPr>
      <w:r>
        <w:rPr>
          <w:rFonts w:ascii="times" w:hAnsi="times"/>
          <w:b/>
          <w:i/>
          <w:sz w:val="20"/>
          <w:bdr w:val="single" w:sz="8" w:space="12" w:color="000000"/>
        </w:rPr>
        <w:t xml:space="preserve">Name Change </w:t>
      </w:r>
    </w:p>
    <w:p>
      <w:pPr>
        <w:pStyle w:val="TextBody"/>
        <w:ind w:left="0" w:right="0" w:firstLine="240"/>
        <w:jc w:val="both"/>
        <w:rPr>
          <w:bdr w:val="single" w:sz="8" w:space="12" w:color="000000"/>
        </w:rPr>
      </w:pPr>
      <w:r>
        <w:rPr>
          <w:bdr w:val="single" w:sz="8" w:space="12" w:color="000000"/>
        </w:rPr>
        <w:t>        </w:t>
      </w:r>
      <w:r>
        <w:rPr>
          <w:rFonts w:ascii="times" w:hAnsi="times"/>
          <w:sz w:val="20"/>
          <w:bdr w:val="single" w:sz="8" w:space="12" w:color="000000"/>
        </w:rPr>
        <w:t xml:space="preserve">On April 26, 2013, the shareholders of the Company approved the removal of the hyphen from the Company's name and the Company effected the name change under the </w:t>
      </w:r>
      <w:r>
        <w:rPr>
          <w:rFonts w:ascii="times" w:hAnsi="times"/>
          <w:i/>
          <w:sz w:val="20"/>
          <w:bdr w:val="single" w:sz="8" w:space="12" w:color="000000"/>
        </w:rPr>
        <w:t>Business Corporations Act</w:t>
      </w:r>
      <w:r>
        <w:rPr>
          <w:rFonts w:ascii="times" w:hAnsi="times"/>
          <w:bdr w:val="single" w:sz="8" w:space="12" w:color="000000"/>
        </w:rPr>
        <w:t xml:space="preserve"> </w:t>
      </w:r>
      <w:r>
        <w:rPr>
          <w:rFonts w:ascii="times" w:hAnsi="times"/>
          <w:sz w:val="20"/>
          <w:bdr w:val="single" w:sz="8" w:space="12" w:color="000000"/>
        </w:rPr>
        <w:t xml:space="preserve">(Ontario). The Company believes that the new name aligns with its re-branding initiative. </w:t>
      </w:r>
    </w:p>
    <w:p>
      <w:pPr>
        <w:pStyle w:val="TextBody"/>
        <w:numPr>
          <w:ilvl w:val="0"/>
          <w:numId w:val="0"/>
        </w:numPr>
        <w:ind w:left="707" w:right="0" w:hanging="0"/>
        <w:jc w:val="both"/>
        <w:rPr>
          <w:rFonts w:ascii="times" w:hAnsi="times"/>
          <w:b/>
          <w:i/>
          <w:sz w:val="20"/>
          <w:bdr w:val="single" w:sz="8" w:space="12" w:color="000000"/>
        </w:rPr>
      </w:pPr>
      <w:r>
        <w:rPr>
          <w:rFonts w:ascii="times" w:hAnsi="times"/>
          <w:b/>
          <w:i/>
          <w:sz w:val="20"/>
          <w:bdr w:val="single" w:sz="8" w:space="12" w:color="000000"/>
        </w:rPr>
        <w:t xml:space="preserve">United States Class Action </w:t>
      </w:r>
    </w:p>
    <w:p>
      <w:pPr>
        <w:pStyle w:val="TextBody"/>
        <w:ind w:left="0" w:right="0" w:firstLine="240"/>
        <w:jc w:val="both"/>
        <w:rPr>
          <w:bdr w:val="single" w:sz="8" w:space="12" w:color="000000"/>
        </w:rPr>
      </w:pPr>
      <w:r>
        <w:rPr>
          <w:bdr w:val="single" w:sz="8" w:space="12" w:color="000000"/>
        </w:rPr>
        <w:t>        </w:t>
      </w:r>
      <w:r>
        <w:rPr>
          <w:rFonts w:ascii="times" w:hAnsi="times"/>
          <w:sz w:val="20"/>
          <w:bdr w:val="single" w:sz="8" w:space="12" w:color="000000"/>
        </w:rPr>
        <w:t xml:space="preserve">On November 7, 2011 and November 22, 2011, the Company and certain current and former senior officers or directors were named as defendants in two putative class action lawsuits, styled </w:t>
      </w:r>
      <w:r>
        <w:rPr>
          <w:rFonts w:ascii="times" w:hAnsi="times"/>
          <w:i/>
          <w:sz w:val="20"/>
          <w:bdr w:val="single" w:sz="8" w:space="12" w:color="000000"/>
        </w:rPr>
        <w:t>Jerome Stone v. Agnico-Eagle Mines Ltd., et al.</w:t>
      </w:r>
      <w:r>
        <w:rPr>
          <w:rFonts w:ascii="times" w:hAnsi="times"/>
          <w:sz w:val="20"/>
          <w:bdr w:val="single" w:sz="8" w:space="12" w:color="000000"/>
        </w:rPr>
        <w:t xml:space="preserve">, and </w:t>
      </w:r>
      <w:r>
        <w:rPr>
          <w:rFonts w:ascii="times" w:hAnsi="times"/>
          <w:i/>
          <w:sz w:val="20"/>
          <w:bdr w:val="single" w:sz="8" w:space="12" w:color="000000"/>
        </w:rPr>
        <w:t>Chris Hastings v. Agnico-Eagle Mines Limited, et al.</w:t>
      </w:r>
      <w:r>
        <w:rPr>
          <w:rFonts w:ascii="times" w:hAnsi="times"/>
          <w:sz w:val="20"/>
          <w:bdr w:val="single" w:sz="8" w:space="12" w:color="000000"/>
        </w:rPr>
        <w:t xml:space="preserve">, respectively, which were filed in the United States District Court for the Southern District of New York. On February 6, 2012, the Court ordered that the two complaints be consolidated under the caption </w:t>
      </w:r>
      <w:r>
        <w:rPr>
          <w:rFonts w:ascii="times" w:hAnsi="times"/>
          <w:i/>
          <w:sz w:val="20"/>
          <w:bdr w:val="single" w:sz="8" w:space="12" w:color="000000"/>
        </w:rPr>
        <w:t>In re Agnico-Eagle Mines Ltd. Securities Litigation</w:t>
      </w:r>
      <w:r>
        <w:rPr>
          <w:rFonts w:ascii="times" w:hAnsi="times"/>
          <w:sz w:val="20"/>
          <w:bdr w:val="single" w:sz="8" w:space="12" w:color="000000"/>
        </w:rPr>
        <w:t xml:space="preserve">, and </w:t>
      </w:r>
    </w:p>
    <w:p>
      <w:pPr>
        <w:pStyle w:val="TextBody"/>
        <w:spacing w:lineRule="atLeast" w:line="141"/>
        <w:ind w:left="0" w:right="0" w:firstLine="240"/>
        <w:jc w:val="both"/>
        <w:rPr>
          <w:bdr w:val="single" w:sz="8" w:space="12" w:color="000000"/>
        </w:rPr>
      </w:pPr>
      <w:r>
        <w:rPr>
          <w:bdr w:val="single" w:sz="8" w:space="12" w:color="000000"/>
        </w:rPr>
        <w:t> </w:t>
      </w:r>
    </w:p>
    <w:p>
      <w:pPr>
        <w:pStyle w:val="TextBody"/>
        <w:jc w:val="center"/>
        <w:rPr>
          <w:rFonts w:ascii="times" w:hAnsi="times"/>
          <w:sz w:val="20"/>
        </w:rPr>
      </w:pPr>
      <w:r>
        <w:rPr>
          <w:rFonts w:ascii="times" w:hAnsi="times"/>
          <w:sz w:val="20"/>
        </w:rPr>
        <w:t>6</w:t>
      </w:r>
    </w:p>
    <w:p>
      <w:pPr>
        <w:pStyle w:val="HorizontalLine"/>
        <w:pBdr>
          <w:bottom w:val="single" w:sz="20" w:space="0" w:color="808080"/>
        </w:pBdr>
        <w:rPr/>
      </w:pPr>
      <w:r>
        <w:rPr/>
      </w:r>
      <w:r>
        <w:br w:type="page"/>
      </w:r>
    </w:p>
    <w:p>
      <w:pPr>
        <w:pStyle w:val="TextBody"/>
        <w:jc w:val="both"/>
        <w:rPr/>
      </w:pPr>
      <w:bookmarkStart w:id="24" w:name="page_ca48002_1_7"/>
      <w:bookmarkEnd w:id="24"/>
      <w:r>
        <w:rPr/>
        <w:t> </w:t>
      </w:r>
    </w:p>
    <w:p>
      <w:pPr>
        <w:pStyle w:val="TextBody"/>
        <w:ind w:left="0" w:right="0" w:firstLine="240"/>
        <w:jc w:val="both"/>
        <w:rPr>
          <w:rFonts w:ascii="times" w:hAnsi="times"/>
          <w:sz w:val="20"/>
          <w:bdr w:val="single" w:sz="8" w:space="12" w:color="000000"/>
        </w:rPr>
      </w:pPr>
      <w:r>
        <w:rPr>
          <w:rFonts w:ascii="times" w:hAnsi="times"/>
          <w:sz w:val="20"/>
          <w:bdr w:val="single" w:sz="8" w:space="12" w:color="000000"/>
        </w:rPr>
        <w:t xml:space="preserve">lead counsel was appointed. On April 6, 2012, a Consolidated Complaint was issued against the Company and certain of its current and former senior officers and directors. The Consolidated Complaint alleges that the Company had violated federal securities law in connection with its disclosure related to the Goldex mine. The Consolidated Complaint seeks, among other things, damages on behalf of persons who purchased or acquired securities of the Company during the period July 28, 2010 to October 19, 2011. The Consolidated Complaint has not been certified as a class action, and the Company intends to vigorously defend it. On January 14, 2013, Judge Oetken granted the Company's motion to dismiss the Consolidated Complaint and all claims therein and denied the plaintiffs' request for leave to amend the Consolidated Complaint. On February 12, 2013, the plaintiffs filed a Notice of Appeal to the United States Court for Appeals for the Second Circuit. No date has been set for the appeal. </w:t>
      </w:r>
    </w:p>
    <w:p>
      <w:pPr>
        <w:pStyle w:val="TextBody"/>
        <w:numPr>
          <w:ilvl w:val="0"/>
          <w:numId w:val="0"/>
        </w:numPr>
        <w:ind w:left="707" w:right="0" w:hanging="0"/>
        <w:jc w:val="both"/>
        <w:rPr>
          <w:rFonts w:ascii="times" w:hAnsi="times"/>
          <w:b/>
          <w:i/>
          <w:sz w:val="20"/>
          <w:bdr w:val="single" w:sz="8" w:space="12" w:color="000000"/>
        </w:rPr>
      </w:pPr>
      <w:r>
        <w:rPr>
          <w:rFonts w:ascii="times" w:hAnsi="times"/>
          <w:b/>
          <w:i/>
          <w:sz w:val="20"/>
          <w:bdr w:val="single" w:sz="8" w:space="12" w:color="000000"/>
        </w:rPr>
        <w:t xml:space="preserve">Ontario Class Action </w:t>
      </w:r>
    </w:p>
    <w:p>
      <w:pPr>
        <w:pStyle w:val="TextBody"/>
        <w:ind w:left="0" w:right="0" w:firstLine="240"/>
        <w:jc w:val="both"/>
        <w:rPr>
          <w:bdr w:val="single" w:sz="8" w:space="12" w:color="000000"/>
        </w:rPr>
      </w:pPr>
      <w:r>
        <w:rPr>
          <w:bdr w:val="single" w:sz="8" w:space="12" w:color="000000"/>
        </w:rPr>
        <w:t>        </w:t>
      </w:r>
      <w:r>
        <w:rPr>
          <w:rFonts w:ascii="times" w:hAnsi="times"/>
          <w:sz w:val="20"/>
          <w:bdr w:val="single" w:sz="8" w:space="12" w:color="000000"/>
        </w:rPr>
        <w:t xml:space="preserve">On March 8, 2012 and April 10, 2012, a Notice of Action and Statement of Claim (collectively, the "Ontario Claim") were issued by William Leslie, AFA Livforsakringsaktiebolag and certain other entities against the Company and certain of its current and former officers and directors. On September 27, 2012, the plaintiffs issued a Fresh as Amended Statement of Claim. The Fresh as Amended Statement of Claim alleges that the Company's public disclosure concerning water flow issues at its Goldex mine was misleading. The Ontario Claim was issued by the plaintiffs on behalf of all persons and entities who acquired securities of the Company during the period March 26, 2010 to October 19, 2011, excluding persons resident or domiciled in the Province of Quebec at the time they purchased or acquired such securities. The plaintiffs seek, among other things, damages of C$250 million and to certify the Ontario Claim as a class action. On April 17, 2013 an Order was granted on consent certifying a class action proceeding and granting leave for the claims under Section 138 of the </w:t>
      </w:r>
      <w:r>
        <w:rPr>
          <w:rFonts w:ascii="times" w:hAnsi="times"/>
          <w:i/>
          <w:sz w:val="20"/>
          <w:bdr w:val="single" w:sz="8" w:space="12" w:color="000000"/>
        </w:rPr>
        <w:t>Securities Act</w:t>
      </w:r>
      <w:r>
        <w:rPr>
          <w:rFonts w:ascii="times" w:hAnsi="times"/>
          <w:bdr w:val="single" w:sz="8" w:space="12" w:color="000000"/>
        </w:rPr>
        <w:t xml:space="preserve"> </w:t>
      </w:r>
      <w:r>
        <w:rPr>
          <w:rFonts w:ascii="times" w:hAnsi="times"/>
          <w:sz w:val="20"/>
          <w:bdr w:val="single" w:sz="8" w:space="12" w:color="000000"/>
        </w:rPr>
        <w:t xml:space="preserve">(Ontario) to proceed. The Company intends to vigorously defend the action on the merits. </w:t>
      </w:r>
    </w:p>
    <w:p>
      <w:pPr>
        <w:pStyle w:val="TextBody"/>
        <w:numPr>
          <w:ilvl w:val="0"/>
          <w:numId w:val="0"/>
        </w:numPr>
        <w:ind w:left="707" w:right="0" w:hanging="0"/>
        <w:jc w:val="both"/>
        <w:rPr>
          <w:rFonts w:ascii="times" w:hAnsi="times"/>
          <w:b/>
          <w:i/>
          <w:sz w:val="20"/>
          <w:bdr w:val="single" w:sz="8" w:space="12" w:color="000000"/>
        </w:rPr>
      </w:pPr>
      <w:r>
        <w:rPr>
          <w:rFonts w:ascii="times" w:hAnsi="times"/>
          <w:b/>
          <w:i/>
          <w:sz w:val="20"/>
          <w:bdr w:val="single" w:sz="8" w:space="12" w:color="000000"/>
        </w:rPr>
        <w:t xml:space="preserve">Quebec Class Action </w:t>
      </w:r>
    </w:p>
    <w:p>
      <w:pPr>
        <w:pStyle w:val="TextBody"/>
        <w:ind w:left="0" w:right="0" w:firstLine="240"/>
        <w:jc w:val="both"/>
        <w:rPr>
          <w:bdr w:val="single" w:sz="8" w:space="12" w:color="000000"/>
        </w:rPr>
      </w:pPr>
      <w:r>
        <w:rPr>
          <w:bdr w:val="single" w:sz="8" w:space="12" w:color="000000"/>
        </w:rPr>
        <w:t>        </w:t>
      </w:r>
      <w:r>
        <w:rPr>
          <w:rFonts w:ascii="times" w:hAnsi="times"/>
          <w:sz w:val="20"/>
          <w:bdr w:val="single" w:sz="8" w:space="12" w:color="000000"/>
        </w:rPr>
        <w:t xml:space="preserve">On April 12, 2012, two senior officers of the Company were served with a Motion for Leave to Institute a Class Action and for the Appointment of a Representative Plaintiff (the "Quebec Motion"). The action is on behalf of all persons and entities with fewer than 50 employees resident in Quebec who acquired securities of the Company between March 26, 2010 and October 19, 2011. The proposed class action is for damages of C$100 million arising as a result of allegedly misleading disclosure by the Company concerning its operations at the Goldex mine. On October 15, 2012, the plaintiffs served an amended Quebec Motion seeking leave to commence an action under the </w:t>
      </w:r>
      <w:r>
        <w:rPr>
          <w:rFonts w:ascii="times" w:hAnsi="times"/>
          <w:i/>
          <w:sz w:val="20"/>
          <w:bdr w:val="single" w:sz="8" w:space="12" w:color="000000"/>
        </w:rPr>
        <w:t>Securities Act</w:t>
      </w:r>
      <w:r>
        <w:rPr>
          <w:rFonts w:ascii="times" w:hAnsi="times"/>
          <w:bdr w:val="single" w:sz="8" w:space="12" w:color="000000"/>
        </w:rPr>
        <w:t xml:space="preserve"> </w:t>
      </w:r>
      <w:r>
        <w:rPr>
          <w:rFonts w:ascii="times" w:hAnsi="times"/>
          <w:sz w:val="20"/>
          <w:bdr w:val="single" w:sz="8" w:space="12" w:color="000000"/>
        </w:rPr>
        <w:t xml:space="preserve">(Quebec) in addition to seeking authorization to institute a class action. No date has been set for the hearing to argue the Quebec Motion. The Company intends to vigorously contest the Quebec Motion and defend the claim. </w:t>
      </w:r>
    </w:p>
    <w:p>
      <w:pPr>
        <w:pStyle w:val="TextBody"/>
        <w:ind w:left="0" w:right="0" w:firstLine="240"/>
        <w:jc w:val="center"/>
        <w:rPr>
          <w:rFonts w:ascii="times" w:hAnsi="times"/>
          <w:bdr w:val="single" w:sz="8" w:space="12" w:color="000000"/>
        </w:rPr>
      </w:pPr>
      <w:bookmarkStart w:id="25" w:name="toc_ca48002_4"/>
      <w:bookmarkStart w:id="26" w:name="ca48002_forward-looking_statements"/>
      <w:bookmarkEnd w:id="25"/>
      <w:bookmarkEnd w:id="26"/>
      <w:r>
        <w:rPr>
          <w:rFonts w:ascii="times" w:hAnsi="times"/>
          <w:sz w:val="20"/>
          <w:bdr w:val="single" w:sz="8" w:space="12" w:color="000000"/>
        </w:rPr>
        <w:br/>
      </w:r>
      <w:r>
        <w:rPr>
          <w:rFonts w:ascii="times" w:hAnsi="times"/>
          <w:b/>
          <w:sz w:val="20"/>
          <w:bdr w:val="single" w:sz="8" w:space="12" w:color="000000"/>
        </w:rPr>
        <w:t xml:space="preserve">FORWARD-LOOKING STATEMENTS </w:t>
      </w:r>
    </w:p>
    <w:p>
      <w:pPr>
        <w:pStyle w:val="TextBody"/>
        <w:ind w:left="0" w:right="0" w:firstLine="240"/>
        <w:jc w:val="both"/>
        <w:rPr>
          <w:bdr w:val="single" w:sz="8" w:space="12" w:color="000000"/>
        </w:rPr>
      </w:pPr>
      <w:r>
        <w:rPr>
          <w:bdr w:val="single" w:sz="8" w:space="12" w:color="000000"/>
        </w:rPr>
        <w:t>        </w:t>
      </w:r>
      <w:r>
        <w:rPr>
          <w:rFonts w:ascii="times" w:hAnsi="times"/>
          <w:sz w:val="20"/>
          <w:bdr w:val="single" w:sz="8" w:space="12" w:color="000000"/>
        </w:rPr>
        <w:t>The information contained in this prospectus has, unless otherwise specified, been prepared as of June 28, 2013 and, unless otherwise specified, the information contained in the documents incorporated by reference herein has been prepared as of the respective dates of such documents. Certain statements contained in this prospectus and in the documents incorporated by reference in this prospectus, referred to herein as "forward-looking statements", constitute "forward-looking statements" within the meaning of the United States Private Securities Litigation Reform Act of 1995 and "forward-looking information" under the provisions of Canadian provincial securities laws. These statements relate to, among other things, the Company's plans, objectives, expectations, estimates, beliefs, strategies and intentions and can generally be identified by the use of words such as "anticipate", "believe", "budget", "could", "estimate", "expect", "forecast", "intend", "likely", "may", "plan", "project", "schedule", "should", "target", "will", "would" or other variations of these terms or similar words. Forward-looking statements in this prospectus and the documents incorporated by reference herein include, but are not limited to, the following:</w:t>
      </w:r>
    </w:p>
    <w:p>
      <w:pPr>
        <w:pStyle w:val="ListHeading"/>
        <w:numPr>
          <w:ilvl w:val="0"/>
          <w:numId w:val="0"/>
        </w:numPr>
        <w:spacing w:before="0" w:after="0"/>
        <w:ind w:left="707" w:right="0" w:hanging="0"/>
        <w:rPr>
          <w:rFonts w:ascii="times" w:hAnsi="times"/>
          <w:sz w:val="20"/>
          <w:bdr w:val="single" w:sz="8" w:space="12" w:color="000000"/>
        </w:rPr>
      </w:pPr>
      <w:r>
        <w:rPr>
          <w:rFonts w:ascii="times" w:hAnsi="times"/>
          <w:sz w:val="20"/>
          <w:bdr w:val="single" w:sz="8" w:space="12" w:color="000000"/>
        </w:rPr>
        <w:t></w:t>
      </w:r>
    </w:p>
    <w:p>
      <w:pPr>
        <w:pStyle w:val="ListContents"/>
        <w:numPr>
          <w:ilvl w:val="0"/>
          <w:numId w:val="0"/>
        </w:numPr>
        <w:spacing w:before="0" w:after="283"/>
        <w:ind w:left="1274" w:right="0" w:hanging="0"/>
        <w:jc w:val="both"/>
        <w:rPr>
          <w:rFonts w:ascii="times" w:hAnsi="times"/>
          <w:sz w:val="20"/>
          <w:bdr w:val="single" w:sz="8" w:space="12" w:color="000000"/>
        </w:rPr>
      </w:pPr>
      <w:r>
        <w:rPr>
          <w:rFonts w:ascii="times" w:hAnsi="times"/>
          <w:sz w:val="20"/>
          <w:bdr w:val="single" w:sz="8" w:space="12" w:color="000000"/>
        </w:rPr>
        <w:t xml:space="preserve">the Company's outlook for 2013 and future periods; </w:t>
      </w:r>
    </w:p>
    <w:p>
      <w:pPr>
        <w:pStyle w:val="ListHeading"/>
        <w:numPr>
          <w:ilvl w:val="0"/>
          <w:numId w:val="0"/>
        </w:numPr>
        <w:spacing w:before="0" w:after="0"/>
        <w:ind w:left="707" w:right="0" w:hanging="0"/>
        <w:rPr>
          <w:rFonts w:ascii="times" w:hAnsi="times"/>
          <w:sz w:val="20"/>
          <w:bdr w:val="single" w:sz="8" w:space="12" w:color="000000"/>
        </w:rPr>
      </w:pPr>
      <w:r>
        <w:rPr>
          <w:rFonts w:ascii="times" w:hAnsi="times"/>
          <w:sz w:val="20"/>
          <w:bdr w:val="single" w:sz="8" w:space="12" w:color="000000"/>
        </w:rPr>
        <w:t></w:t>
      </w:r>
    </w:p>
    <w:p>
      <w:pPr>
        <w:pStyle w:val="ListContents"/>
        <w:numPr>
          <w:ilvl w:val="0"/>
          <w:numId w:val="0"/>
        </w:numPr>
        <w:spacing w:before="0" w:after="283"/>
        <w:ind w:left="1274" w:right="0" w:hanging="0"/>
        <w:jc w:val="both"/>
        <w:rPr>
          <w:rFonts w:ascii="times" w:hAnsi="times"/>
          <w:sz w:val="20"/>
          <w:bdr w:val="single" w:sz="8" w:space="12" w:color="000000"/>
        </w:rPr>
      </w:pPr>
      <w:r>
        <w:rPr>
          <w:rFonts w:ascii="times" w:hAnsi="times"/>
          <w:sz w:val="20"/>
          <w:bdr w:val="single" w:sz="8" w:space="12" w:color="000000"/>
        </w:rPr>
        <w:t xml:space="preserve">statements regarding future earnings, and the sensitivity of earnings to gold and other metal prices; </w:t>
      </w:r>
    </w:p>
    <w:p>
      <w:pPr>
        <w:pStyle w:val="TextBody"/>
        <w:spacing w:lineRule="atLeast" w:line="141"/>
        <w:ind w:left="0" w:right="0" w:firstLine="240"/>
        <w:jc w:val="both"/>
        <w:rPr>
          <w:bdr w:val="single" w:sz="8" w:space="12" w:color="000000"/>
        </w:rPr>
      </w:pPr>
      <w:r>
        <w:rPr>
          <w:bdr w:val="single" w:sz="8" w:space="12" w:color="000000"/>
        </w:rPr>
        <w:t> </w:t>
      </w:r>
    </w:p>
    <w:p>
      <w:pPr>
        <w:pStyle w:val="TextBody"/>
        <w:jc w:val="center"/>
        <w:rPr>
          <w:rFonts w:ascii="times" w:hAnsi="times"/>
          <w:sz w:val="20"/>
        </w:rPr>
      </w:pPr>
      <w:r>
        <w:rPr>
          <w:rFonts w:ascii="times" w:hAnsi="times"/>
          <w:sz w:val="20"/>
        </w:rPr>
        <w:t>7</w:t>
      </w:r>
    </w:p>
    <w:p>
      <w:pPr>
        <w:pStyle w:val="HorizontalLine"/>
        <w:pBdr>
          <w:bottom w:val="single" w:sz="20" w:space="0" w:color="808080"/>
        </w:pBdr>
        <w:rPr/>
      </w:pPr>
      <w:r>
        <w:rPr/>
      </w:r>
      <w:r>
        <w:br w:type="page"/>
      </w:r>
    </w:p>
    <w:p>
      <w:pPr>
        <w:pStyle w:val="TextBody"/>
        <w:jc w:val="both"/>
        <w:rPr/>
      </w:pPr>
      <w:bookmarkStart w:id="27" w:name="page_ca48002_1_8"/>
      <w:bookmarkEnd w:id="27"/>
      <w:r>
        <w:rPr/>
        <w:t> </w:t>
      </w:r>
    </w:p>
    <w:p>
      <w:pPr>
        <w:pStyle w:val="ListHeading"/>
        <w:numPr>
          <w:ilvl w:val="0"/>
          <w:numId w:val="0"/>
        </w:numPr>
        <w:spacing w:before="0" w:after="0"/>
        <w:ind w:left="707" w:right="0" w:hanging="0"/>
        <w:rPr>
          <w:rFonts w:ascii="times" w:hAnsi="times"/>
          <w:sz w:val="20"/>
          <w:bdr w:val="single" w:sz="8" w:space="12" w:color="000000"/>
        </w:rPr>
      </w:pPr>
      <w:r>
        <w:rPr>
          <w:rFonts w:ascii="times" w:hAnsi="times"/>
          <w:sz w:val="20"/>
          <w:bdr w:val="single" w:sz="8" w:space="12" w:color="000000"/>
        </w:rPr>
        <w:t></w:t>
      </w:r>
    </w:p>
    <w:p>
      <w:pPr>
        <w:pStyle w:val="ListContents"/>
        <w:numPr>
          <w:ilvl w:val="0"/>
          <w:numId w:val="0"/>
        </w:numPr>
        <w:spacing w:before="0" w:after="283"/>
        <w:ind w:left="1274" w:right="0" w:hanging="0"/>
        <w:jc w:val="both"/>
        <w:rPr>
          <w:rFonts w:ascii="times" w:hAnsi="times"/>
          <w:sz w:val="20"/>
          <w:bdr w:val="single" w:sz="8" w:space="12" w:color="000000"/>
        </w:rPr>
      </w:pPr>
      <w:r>
        <w:rPr>
          <w:rFonts w:ascii="times" w:hAnsi="times"/>
          <w:sz w:val="20"/>
          <w:bdr w:val="single" w:sz="8" w:space="12" w:color="000000"/>
        </w:rPr>
        <w:t xml:space="preserve">anticipated levels or trends for prices of gold and byproduct metals mined by the Company or for exchange rates between currencies in which capital is raised, revenue is generated or expenses are incurred by the Company; </w:t>
      </w:r>
    </w:p>
    <w:p>
      <w:pPr>
        <w:pStyle w:val="ListHeading"/>
        <w:numPr>
          <w:ilvl w:val="0"/>
          <w:numId w:val="0"/>
        </w:numPr>
        <w:spacing w:before="0" w:after="0"/>
        <w:ind w:left="707" w:right="0" w:hanging="0"/>
        <w:rPr>
          <w:rFonts w:ascii="times" w:hAnsi="times"/>
          <w:sz w:val="20"/>
          <w:bdr w:val="single" w:sz="8" w:space="12" w:color="000000"/>
        </w:rPr>
      </w:pPr>
      <w:r>
        <w:rPr>
          <w:rFonts w:ascii="times" w:hAnsi="times"/>
          <w:sz w:val="20"/>
          <w:bdr w:val="single" w:sz="8" w:space="12" w:color="000000"/>
        </w:rPr>
        <w:t></w:t>
      </w:r>
    </w:p>
    <w:p>
      <w:pPr>
        <w:pStyle w:val="ListContents"/>
        <w:numPr>
          <w:ilvl w:val="0"/>
          <w:numId w:val="0"/>
        </w:numPr>
        <w:spacing w:before="0" w:after="283"/>
        <w:ind w:left="1274" w:right="0" w:hanging="0"/>
        <w:jc w:val="both"/>
        <w:rPr>
          <w:rFonts w:ascii="times" w:hAnsi="times"/>
          <w:sz w:val="20"/>
          <w:bdr w:val="single" w:sz="8" w:space="12" w:color="000000"/>
        </w:rPr>
      </w:pPr>
      <w:r>
        <w:rPr>
          <w:rFonts w:ascii="times" w:hAnsi="times"/>
          <w:sz w:val="20"/>
          <w:bdr w:val="single" w:sz="8" w:space="12" w:color="000000"/>
        </w:rPr>
        <w:t xml:space="preserve">estimates of future mineral production and sales; </w:t>
      </w:r>
    </w:p>
    <w:p>
      <w:pPr>
        <w:pStyle w:val="ListHeading"/>
        <w:numPr>
          <w:ilvl w:val="0"/>
          <w:numId w:val="0"/>
        </w:numPr>
        <w:spacing w:before="0" w:after="0"/>
        <w:ind w:left="707" w:right="0" w:hanging="0"/>
        <w:rPr>
          <w:rFonts w:ascii="times" w:hAnsi="times"/>
          <w:sz w:val="20"/>
          <w:bdr w:val="single" w:sz="8" w:space="12" w:color="000000"/>
        </w:rPr>
      </w:pPr>
      <w:r>
        <w:rPr>
          <w:rFonts w:ascii="times" w:hAnsi="times"/>
          <w:sz w:val="20"/>
          <w:bdr w:val="single" w:sz="8" w:space="12" w:color="000000"/>
        </w:rPr>
        <w:t></w:t>
      </w:r>
    </w:p>
    <w:p>
      <w:pPr>
        <w:pStyle w:val="ListContents"/>
        <w:numPr>
          <w:ilvl w:val="0"/>
          <w:numId w:val="0"/>
        </w:numPr>
        <w:spacing w:before="0" w:after="283"/>
        <w:ind w:left="1274" w:right="0" w:hanging="0"/>
        <w:jc w:val="both"/>
        <w:rPr>
          <w:rFonts w:ascii="times" w:hAnsi="times"/>
          <w:sz w:val="20"/>
          <w:bdr w:val="single" w:sz="8" w:space="12" w:color="000000"/>
        </w:rPr>
      </w:pPr>
      <w:r>
        <w:rPr>
          <w:rFonts w:ascii="times" w:hAnsi="times"/>
          <w:sz w:val="20"/>
          <w:bdr w:val="single" w:sz="8" w:space="12" w:color="000000"/>
        </w:rPr>
        <w:t xml:space="preserve">estimates of future costs, including mining costs, total cash costs per ounce, all-in sustaining costs per ounce, minesite costs per tonne and other expenses; </w:t>
      </w:r>
    </w:p>
    <w:p>
      <w:pPr>
        <w:pStyle w:val="ListHeading"/>
        <w:numPr>
          <w:ilvl w:val="0"/>
          <w:numId w:val="0"/>
        </w:numPr>
        <w:spacing w:before="0" w:after="0"/>
        <w:ind w:left="707" w:right="0" w:hanging="0"/>
        <w:rPr>
          <w:rFonts w:ascii="times" w:hAnsi="times"/>
          <w:sz w:val="20"/>
          <w:bdr w:val="single" w:sz="8" w:space="12" w:color="000000"/>
        </w:rPr>
      </w:pPr>
      <w:r>
        <w:rPr>
          <w:rFonts w:ascii="times" w:hAnsi="times"/>
          <w:sz w:val="20"/>
          <w:bdr w:val="single" w:sz="8" w:space="12" w:color="000000"/>
        </w:rPr>
        <w:t></w:t>
      </w:r>
    </w:p>
    <w:p>
      <w:pPr>
        <w:pStyle w:val="ListContents"/>
        <w:numPr>
          <w:ilvl w:val="0"/>
          <w:numId w:val="0"/>
        </w:numPr>
        <w:spacing w:before="0" w:after="283"/>
        <w:ind w:left="1274" w:right="0" w:hanging="0"/>
        <w:jc w:val="both"/>
        <w:rPr>
          <w:rFonts w:ascii="times" w:hAnsi="times"/>
          <w:sz w:val="20"/>
          <w:bdr w:val="single" w:sz="8" w:space="12" w:color="000000"/>
        </w:rPr>
      </w:pPr>
      <w:r>
        <w:rPr>
          <w:rFonts w:ascii="times" w:hAnsi="times"/>
          <w:sz w:val="20"/>
          <w:bdr w:val="single" w:sz="8" w:space="12" w:color="000000"/>
        </w:rPr>
        <w:t xml:space="preserve">estimates of future capital expenditures, exploration expenditures and other cash needs, and expectations as to the funding thereof; </w:t>
      </w:r>
    </w:p>
    <w:p>
      <w:pPr>
        <w:pStyle w:val="ListHeading"/>
        <w:numPr>
          <w:ilvl w:val="0"/>
          <w:numId w:val="0"/>
        </w:numPr>
        <w:spacing w:before="0" w:after="0"/>
        <w:ind w:left="707" w:right="0" w:hanging="0"/>
        <w:rPr>
          <w:rFonts w:ascii="times" w:hAnsi="times"/>
          <w:sz w:val="20"/>
          <w:bdr w:val="single" w:sz="8" w:space="12" w:color="000000"/>
        </w:rPr>
      </w:pPr>
      <w:r>
        <w:rPr>
          <w:rFonts w:ascii="times" w:hAnsi="times"/>
          <w:sz w:val="20"/>
          <w:bdr w:val="single" w:sz="8" w:space="12" w:color="000000"/>
        </w:rPr>
        <w:t></w:t>
      </w:r>
    </w:p>
    <w:p>
      <w:pPr>
        <w:pStyle w:val="ListContents"/>
        <w:numPr>
          <w:ilvl w:val="0"/>
          <w:numId w:val="0"/>
        </w:numPr>
        <w:spacing w:before="0" w:after="283"/>
        <w:ind w:left="1274" w:right="0" w:hanging="0"/>
        <w:jc w:val="both"/>
        <w:rPr>
          <w:rFonts w:ascii="times" w:hAnsi="times"/>
          <w:sz w:val="20"/>
          <w:bdr w:val="single" w:sz="8" w:space="12" w:color="000000"/>
        </w:rPr>
      </w:pPr>
      <w:r>
        <w:rPr>
          <w:rFonts w:ascii="times" w:hAnsi="times"/>
          <w:sz w:val="20"/>
          <w:bdr w:val="single" w:sz="8" w:space="12" w:color="000000"/>
        </w:rPr>
        <w:t xml:space="preserve">statements regarding the projected exploration, development and exploitation of certain ore deposits, including estimates of exploration, development and production and other capital costs and estimates of the timing of such exploration, development and production or decisions with respect thereto; </w:t>
      </w:r>
    </w:p>
    <w:p>
      <w:pPr>
        <w:pStyle w:val="ListHeading"/>
        <w:numPr>
          <w:ilvl w:val="0"/>
          <w:numId w:val="0"/>
        </w:numPr>
        <w:spacing w:before="0" w:after="0"/>
        <w:ind w:left="707" w:right="0" w:hanging="0"/>
        <w:rPr>
          <w:rFonts w:ascii="times" w:hAnsi="times"/>
          <w:sz w:val="20"/>
          <w:bdr w:val="single" w:sz="8" w:space="12" w:color="000000"/>
        </w:rPr>
      </w:pPr>
      <w:r>
        <w:rPr>
          <w:rFonts w:ascii="times" w:hAnsi="times"/>
          <w:sz w:val="20"/>
          <w:bdr w:val="single" w:sz="8" w:space="12" w:color="000000"/>
        </w:rPr>
        <w:t></w:t>
      </w:r>
    </w:p>
    <w:p>
      <w:pPr>
        <w:pStyle w:val="ListContents"/>
        <w:numPr>
          <w:ilvl w:val="0"/>
          <w:numId w:val="0"/>
        </w:numPr>
        <w:spacing w:before="0" w:after="283"/>
        <w:ind w:left="1274" w:right="0" w:hanging="0"/>
        <w:jc w:val="both"/>
        <w:rPr>
          <w:rFonts w:ascii="times" w:hAnsi="times"/>
          <w:sz w:val="20"/>
          <w:bdr w:val="single" w:sz="8" w:space="12" w:color="000000"/>
        </w:rPr>
      </w:pPr>
      <w:r>
        <w:rPr>
          <w:rFonts w:ascii="times" w:hAnsi="times"/>
          <w:sz w:val="20"/>
          <w:bdr w:val="single" w:sz="8" w:space="12" w:color="000000"/>
        </w:rPr>
        <w:t xml:space="preserve">estimates of mineral reserves, mineral resources and ore grades and statements regarding anticipated future exploration results; </w:t>
      </w:r>
    </w:p>
    <w:p>
      <w:pPr>
        <w:pStyle w:val="ListHeading"/>
        <w:numPr>
          <w:ilvl w:val="0"/>
          <w:numId w:val="0"/>
        </w:numPr>
        <w:spacing w:before="0" w:after="0"/>
        <w:ind w:left="707" w:right="0" w:hanging="0"/>
        <w:rPr>
          <w:rFonts w:ascii="times" w:hAnsi="times"/>
          <w:sz w:val="20"/>
          <w:bdr w:val="single" w:sz="8" w:space="12" w:color="000000"/>
        </w:rPr>
      </w:pPr>
      <w:r>
        <w:rPr>
          <w:rFonts w:ascii="times" w:hAnsi="times"/>
          <w:sz w:val="20"/>
          <w:bdr w:val="single" w:sz="8" w:space="12" w:color="000000"/>
        </w:rPr>
        <w:t></w:t>
      </w:r>
    </w:p>
    <w:p>
      <w:pPr>
        <w:pStyle w:val="ListContents"/>
        <w:numPr>
          <w:ilvl w:val="0"/>
          <w:numId w:val="0"/>
        </w:numPr>
        <w:spacing w:before="0" w:after="283"/>
        <w:ind w:left="1274" w:right="0" w:hanging="0"/>
        <w:jc w:val="both"/>
        <w:rPr>
          <w:rFonts w:ascii="times" w:hAnsi="times"/>
          <w:sz w:val="20"/>
          <w:bdr w:val="single" w:sz="8" w:space="12" w:color="000000"/>
        </w:rPr>
      </w:pPr>
      <w:r>
        <w:rPr>
          <w:rFonts w:ascii="times" w:hAnsi="times"/>
          <w:sz w:val="20"/>
          <w:bdr w:val="single" w:sz="8" w:space="12" w:color="000000"/>
        </w:rPr>
        <w:t xml:space="preserve">estimates of cash flow; </w:t>
      </w:r>
    </w:p>
    <w:p>
      <w:pPr>
        <w:pStyle w:val="ListHeading"/>
        <w:numPr>
          <w:ilvl w:val="0"/>
          <w:numId w:val="0"/>
        </w:numPr>
        <w:spacing w:before="0" w:after="0"/>
        <w:ind w:left="707" w:right="0" w:hanging="0"/>
        <w:rPr>
          <w:rFonts w:ascii="times" w:hAnsi="times"/>
          <w:sz w:val="20"/>
          <w:bdr w:val="single" w:sz="8" w:space="12" w:color="000000"/>
        </w:rPr>
      </w:pPr>
      <w:r>
        <w:rPr>
          <w:rFonts w:ascii="times" w:hAnsi="times"/>
          <w:sz w:val="20"/>
          <w:bdr w:val="single" w:sz="8" w:space="12" w:color="000000"/>
        </w:rPr>
        <w:t></w:t>
      </w:r>
    </w:p>
    <w:p>
      <w:pPr>
        <w:pStyle w:val="ListContents"/>
        <w:numPr>
          <w:ilvl w:val="0"/>
          <w:numId w:val="0"/>
        </w:numPr>
        <w:spacing w:before="0" w:after="283"/>
        <w:ind w:left="1274" w:right="0" w:hanging="0"/>
        <w:jc w:val="both"/>
        <w:rPr>
          <w:rFonts w:ascii="times" w:hAnsi="times"/>
          <w:sz w:val="20"/>
          <w:bdr w:val="single" w:sz="8" w:space="12" w:color="000000"/>
        </w:rPr>
      </w:pPr>
      <w:r>
        <w:rPr>
          <w:rFonts w:ascii="times" w:hAnsi="times"/>
          <w:sz w:val="20"/>
          <w:bdr w:val="single" w:sz="8" w:space="12" w:color="000000"/>
        </w:rPr>
        <w:t xml:space="preserve">estimates of mine life; </w:t>
      </w:r>
    </w:p>
    <w:p>
      <w:pPr>
        <w:pStyle w:val="ListHeading"/>
        <w:numPr>
          <w:ilvl w:val="0"/>
          <w:numId w:val="0"/>
        </w:numPr>
        <w:spacing w:before="0" w:after="0"/>
        <w:ind w:left="707" w:right="0" w:hanging="0"/>
        <w:rPr>
          <w:rFonts w:ascii="times" w:hAnsi="times"/>
          <w:sz w:val="20"/>
          <w:bdr w:val="single" w:sz="8" w:space="12" w:color="000000"/>
        </w:rPr>
      </w:pPr>
      <w:r>
        <w:rPr>
          <w:rFonts w:ascii="times" w:hAnsi="times"/>
          <w:sz w:val="20"/>
          <w:bdr w:val="single" w:sz="8" w:space="12" w:color="000000"/>
        </w:rPr>
        <w:t></w:t>
      </w:r>
    </w:p>
    <w:p>
      <w:pPr>
        <w:pStyle w:val="ListContents"/>
        <w:numPr>
          <w:ilvl w:val="0"/>
          <w:numId w:val="0"/>
        </w:numPr>
        <w:spacing w:before="0" w:after="283"/>
        <w:ind w:left="1274" w:right="0" w:hanging="0"/>
        <w:jc w:val="both"/>
        <w:rPr>
          <w:rFonts w:ascii="times" w:hAnsi="times"/>
          <w:sz w:val="20"/>
          <w:bdr w:val="single" w:sz="8" w:space="12" w:color="000000"/>
        </w:rPr>
      </w:pPr>
      <w:r>
        <w:rPr>
          <w:rFonts w:ascii="times" w:hAnsi="times"/>
          <w:sz w:val="20"/>
          <w:bdr w:val="single" w:sz="8" w:space="12" w:color="000000"/>
        </w:rPr>
        <w:t xml:space="preserve">anticipated timing of events with respect to the Company's minesites, mine construction projects and exploration projects; </w:t>
      </w:r>
    </w:p>
    <w:p>
      <w:pPr>
        <w:pStyle w:val="ListHeading"/>
        <w:numPr>
          <w:ilvl w:val="0"/>
          <w:numId w:val="0"/>
        </w:numPr>
        <w:spacing w:before="0" w:after="0"/>
        <w:ind w:left="707" w:right="0" w:hanging="0"/>
        <w:rPr>
          <w:rFonts w:ascii="times" w:hAnsi="times"/>
          <w:sz w:val="20"/>
          <w:bdr w:val="single" w:sz="8" w:space="12" w:color="000000"/>
        </w:rPr>
      </w:pPr>
      <w:r>
        <w:rPr>
          <w:rFonts w:ascii="times" w:hAnsi="times"/>
          <w:sz w:val="20"/>
          <w:bdr w:val="single" w:sz="8" w:space="12" w:color="000000"/>
        </w:rPr>
        <w:t></w:t>
      </w:r>
    </w:p>
    <w:p>
      <w:pPr>
        <w:pStyle w:val="ListContents"/>
        <w:numPr>
          <w:ilvl w:val="0"/>
          <w:numId w:val="0"/>
        </w:numPr>
        <w:spacing w:before="0" w:after="283"/>
        <w:ind w:left="1274" w:right="0" w:hanging="0"/>
        <w:jc w:val="both"/>
        <w:rPr>
          <w:rFonts w:ascii="times" w:hAnsi="times"/>
          <w:sz w:val="20"/>
          <w:bdr w:val="single" w:sz="8" w:space="12" w:color="000000"/>
        </w:rPr>
      </w:pPr>
      <w:r>
        <w:rPr>
          <w:rFonts w:ascii="times" w:hAnsi="times"/>
          <w:sz w:val="20"/>
          <w:bdr w:val="single" w:sz="8" w:space="12" w:color="000000"/>
        </w:rPr>
        <w:t xml:space="preserve">estimates of future costs and other liabilities for environmental remediation; </w:t>
      </w:r>
    </w:p>
    <w:p>
      <w:pPr>
        <w:pStyle w:val="ListHeading"/>
        <w:numPr>
          <w:ilvl w:val="0"/>
          <w:numId w:val="0"/>
        </w:numPr>
        <w:spacing w:before="0" w:after="0"/>
        <w:ind w:left="707" w:right="0" w:hanging="0"/>
        <w:rPr>
          <w:rFonts w:ascii="times" w:hAnsi="times"/>
          <w:sz w:val="20"/>
          <w:bdr w:val="single" w:sz="8" w:space="12" w:color="000000"/>
        </w:rPr>
      </w:pPr>
      <w:r>
        <w:rPr>
          <w:rFonts w:ascii="times" w:hAnsi="times"/>
          <w:sz w:val="20"/>
          <w:bdr w:val="single" w:sz="8" w:space="12" w:color="000000"/>
        </w:rPr>
        <w:t></w:t>
      </w:r>
    </w:p>
    <w:p>
      <w:pPr>
        <w:pStyle w:val="ListContents"/>
        <w:numPr>
          <w:ilvl w:val="0"/>
          <w:numId w:val="0"/>
        </w:numPr>
        <w:spacing w:before="0" w:after="283"/>
        <w:ind w:left="1274" w:right="0" w:hanging="0"/>
        <w:jc w:val="both"/>
        <w:rPr>
          <w:rFonts w:ascii="times" w:hAnsi="times"/>
          <w:sz w:val="20"/>
          <w:bdr w:val="single" w:sz="8" w:space="12" w:color="000000"/>
        </w:rPr>
      </w:pPr>
      <w:r>
        <w:rPr>
          <w:rFonts w:ascii="times" w:hAnsi="times"/>
          <w:sz w:val="20"/>
          <w:bdr w:val="single" w:sz="8" w:space="12" w:color="000000"/>
        </w:rPr>
        <w:t xml:space="preserve">statements regarding anticipated legislation and regulation regarding climate change and estimates of the impact on the Company; and </w:t>
      </w:r>
    </w:p>
    <w:p>
      <w:pPr>
        <w:pStyle w:val="ListHeading"/>
        <w:numPr>
          <w:ilvl w:val="0"/>
          <w:numId w:val="0"/>
        </w:numPr>
        <w:spacing w:before="0" w:after="0"/>
        <w:ind w:left="707" w:right="0" w:hanging="0"/>
        <w:rPr>
          <w:rFonts w:ascii="times" w:hAnsi="times"/>
          <w:sz w:val="20"/>
          <w:bdr w:val="single" w:sz="8" w:space="12" w:color="000000"/>
        </w:rPr>
      </w:pPr>
      <w:r>
        <w:rPr>
          <w:rFonts w:ascii="times" w:hAnsi="times"/>
          <w:sz w:val="20"/>
          <w:bdr w:val="single" w:sz="8" w:space="12" w:color="000000"/>
        </w:rPr>
        <w:t></w:t>
      </w:r>
    </w:p>
    <w:p>
      <w:pPr>
        <w:pStyle w:val="ListContents"/>
        <w:numPr>
          <w:ilvl w:val="0"/>
          <w:numId w:val="0"/>
        </w:numPr>
        <w:spacing w:before="0" w:after="283"/>
        <w:ind w:left="1274" w:right="0" w:hanging="0"/>
        <w:jc w:val="both"/>
        <w:rPr>
          <w:rFonts w:ascii="times" w:hAnsi="times"/>
          <w:sz w:val="20"/>
          <w:bdr w:val="single" w:sz="8" w:space="12" w:color="000000"/>
        </w:rPr>
      </w:pPr>
      <w:r>
        <w:rPr>
          <w:rFonts w:ascii="times" w:hAnsi="times"/>
          <w:sz w:val="20"/>
          <w:bdr w:val="single" w:sz="8" w:space="12" w:color="000000"/>
        </w:rPr>
        <w:t xml:space="preserve">other anticipated trends with respect to the Company's capital resources and results of operations. </w:t>
      </w:r>
    </w:p>
    <w:p>
      <w:pPr>
        <w:pStyle w:val="TextBody"/>
        <w:ind w:left="0" w:right="0" w:firstLine="240"/>
        <w:jc w:val="both"/>
        <w:rPr>
          <w:bdr w:val="single" w:sz="8" w:space="12" w:color="000000"/>
        </w:rPr>
      </w:pPr>
      <w:r>
        <w:rPr>
          <w:bdr w:val="single" w:sz="8" w:space="12" w:color="000000"/>
        </w:rPr>
        <w:t>        </w:t>
      </w:r>
      <w:r>
        <w:rPr>
          <w:rFonts w:ascii="times" w:hAnsi="times"/>
          <w:sz w:val="20"/>
          <w:bdr w:val="single" w:sz="8" w:space="12" w:color="000000"/>
        </w:rPr>
        <w:t xml:space="preserve">Forward-looking statements are necessarily based upon a number of factors and assumptions that, while considered reasonable by the Company as of the date of such statements, are inherently subject to significant business, economic and competitive uncertainties and contingencies. The factors and assumptions of the Company upon which the forward-looking statements in this prospectus and the documents incorporated by reference in this prospectus are based, and which may prove to be incorrect, include, but are not limited to, the assumptions set out in this prospectus, as well as: that there are no significant disruptions affecting the Company's operations, whether due to labour disruptions, supply disruptions, damage to equipment, natural or man-made occurrences, mining or milling issues, political changes, title issues or otherwise; that permitting, development and expansion at each of the Company's mines and mine development projects proceed on a basis consistent with current expectations, and that the Company does not change its plans relating to such projects; that the exchange rates between the Canadian dollar, euro, Mexican peso and the dollar will be approximately consistent with current levels or as set out in this prospectus; that prices for gold, silver, zinc, copper and lead will be consistent with the Company's expectations; that prices for key mining and construction supplies, including labour costs, remain consistent with the Company's current expectations; that production meets expectations; that the Company's current estimates of mineral reserves, mineral resources, mineral grades and mineral recovery are accurate; that there are no material delays in the timing for completion of development projects; and that there are no material variations in the current tax and regulatory environment that affect the Company. </w:t>
      </w:r>
    </w:p>
    <w:p>
      <w:pPr>
        <w:pStyle w:val="TextBody"/>
        <w:ind w:left="0" w:right="0" w:firstLine="240"/>
        <w:jc w:val="both"/>
        <w:rPr>
          <w:bdr w:val="single" w:sz="8" w:space="12" w:color="000000"/>
        </w:rPr>
      </w:pPr>
      <w:r>
        <w:rPr>
          <w:bdr w:val="single" w:sz="8" w:space="12" w:color="000000"/>
        </w:rPr>
        <w:t>        </w:t>
      </w:r>
      <w:r>
        <w:rPr>
          <w:rFonts w:ascii="times" w:hAnsi="times"/>
          <w:sz w:val="20"/>
          <w:bdr w:val="single" w:sz="8" w:space="12" w:color="000000"/>
        </w:rPr>
        <w:t xml:space="preserve">The forward-looking statements in this prospectus reflect the Company's views as at the date of this prospectus and involve known and unknown risks, uncertainties and other factors which could cause the actual results, performance or achievements of the Company or industry results to be materially different from any future results, performance or achievements expressed or implied by such forward-looking statements. For a more detailed discussion of such risks, uncertainties and material factors or assumptions underlying these forward-looking statements, see "Risk Factors" in this prospectus, in the Form 20-F, as well as in the Company's other filings with the Canadian Securities Administrators and the SEC. Given these uncertainties, investors are </w:t>
      </w:r>
    </w:p>
    <w:p>
      <w:pPr>
        <w:pStyle w:val="TextBody"/>
        <w:spacing w:lineRule="atLeast" w:line="141"/>
        <w:ind w:left="0" w:right="0" w:firstLine="240"/>
        <w:jc w:val="both"/>
        <w:rPr>
          <w:bdr w:val="single" w:sz="8" w:space="12" w:color="000000"/>
        </w:rPr>
      </w:pPr>
      <w:r>
        <w:rPr>
          <w:bdr w:val="single" w:sz="8" w:space="12" w:color="000000"/>
        </w:rPr>
        <w:t> </w:t>
      </w:r>
    </w:p>
    <w:p>
      <w:pPr>
        <w:pStyle w:val="TextBody"/>
        <w:jc w:val="center"/>
        <w:rPr>
          <w:rFonts w:ascii="times" w:hAnsi="times"/>
          <w:sz w:val="20"/>
        </w:rPr>
      </w:pPr>
      <w:r>
        <w:rPr>
          <w:rFonts w:ascii="times" w:hAnsi="times"/>
          <w:sz w:val="20"/>
        </w:rPr>
        <w:t>8</w:t>
      </w:r>
    </w:p>
    <w:p>
      <w:pPr>
        <w:pStyle w:val="HorizontalLine"/>
        <w:pBdr>
          <w:bottom w:val="single" w:sz="20" w:space="0" w:color="808080"/>
        </w:pBdr>
        <w:rPr/>
      </w:pPr>
      <w:r>
        <w:rPr/>
      </w:r>
      <w:r>
        <w:br w:type="page"/>
      </w:r>
    </w:p>
    <w:p>
      <w:pPr>
        <w:pStyle w:val="TextBody"/>
        <w:jc w:val="both"/>
        <w:rPr/>
      </w:pPr>
      <w:bookmarkStart w:id="28" w:name="page_ca48002_1_9"/>
      <w:bookmarkEnd w:id="28"/>
      <w:r>
        <w:rPr/>
        <w:t> </w:t>
      </w:r>
    </w:p>
    <w:p>
      <w:pPr>
        <w:pStyle w:val="TextBody"/>
        <w:ind w:left="0" w:right="0" w:firstLine="240"/>
        <w:jc w:val="both"/>
        <w:rPr>
          <w:rFonts w:ascii="times" w:hAnsi="times"/>
          <w:sz w:val="20"/>
          <w:bdr w:val="single" w:sz="8" w:space="12" w:color="000000"/>
        </w:rPr>
      </w:pPr>
      <w:r>
        <w:rPr>
          <w:rFonts w:ascii="times" w:hAnsi="times"/>
          <w:sz w:val="20"/>
          <w:bdr w:val="single" w:sz="8" w:space="12" w:color="000000"/>
        </w:rPr>
        <w:t xml:space="preserve">cautioned not to place undue reliance on these forward-looking statements, which speak only as of the date made. Except as otherwise required by law, the Company expressly disclaims any obligation or undertaking to release publicly any updates or revisions to any such statements to reflect any change in the Company's expectations or any change in events, conditions or circumstances on which any such statement is based. This prospectus and the documents incorporated by reference herein contain information regarding anticipated total cash costs per ounce, all-in sustaining costs per ounce and minesite costs per tonne at certain of the Company's mines and mine development projects. The Company believes that these generally accepted industry measures are realistic indicators of operating performance and are useful in allowing year over year comparisons. Investors are cautioned that this information may not be suitable for other purposes. </w:t>
      </w:r>
    </w:p>
    <w:p>
      <w:pPr>
        <w:pStyle w:val="TextBody"/>
        <w:ind w:left="0" w:right="0" w:firstLine="240"/>
        <w:jc w:val="center"/>
        <w:rPr>
          <w:rFonts w:ascii="times" w:hAnsi="times"/>
          <w:bdr w:val="single" w:sz="8" w:space="12" w:color="000000"/>
        </w:rPr>
      </w:pPr>
      <w:bookmarkStart w:id="29" w:name="toc_ca48002_5"/>
      <w:bookmarkStart w:id="30" w:name="ca48002_risk_factors"/>
      <w:bookmarkEnd w:id="29"/>
      <w:bookmarkEnd w:id="30"/>
      <w:r>
        <w:rPr>
          <w:rFonts w:ascii="times" w:hAnsi="times"/>
          <w:sz w:val="20"/>
          <w:bdr w:val="single" w:sz="8" w:space="12" w:color="000000"/>
        </w:rPr>
        <w:br/>
      </w:r>
      <w:r>
        <w:rPr>
          <w:rFonts w:ascii="times" w:hAnsi="times"/>
          <w:b/>
          <w:sz w:val="20"/>
          <w:bdr w:val="single" w:sz="8" w:space="12" w:color="000000"/>
        </w:rPr>
        <w:t xml:space="preserve">RISK FACTORS </w:t>
      </w:r>
    </w:p>
    <w:p>
      <w:pPr>
        <w:pStyle w:val="TextBody"/>
        <w:ind w:left="0" w:right="0" w:firstLine="240"/>
        <w:jc w:val="both"/>
        <w:rPr>
          <w:bdr w:val="single" w:sz="8" w:space="12" w:color="000000"/>
        </w:rPr>
      </w:pPr>
      <w:r>
        <w:rPr>
          <w:bdr w:val="single" w:sz="8" w:space="12" w:color="000000"/>
        </w:rPr>
        <w:t>        </w:t>
      </w:r>
      <w:r>
        <w:rPr>
          <w:rFonts w:ascii="times" w:hAnsi="times"/>
          <w:b/>
          <w:i/>
          <w:sz w:val="20"/>
          <w:bdr w:val="single" w:sz="8" w:space="12" w:color="000000"/>
        </w:rPr>
        <w:t xml:space="preserve">An investment in the Securities involves certain risks. Before making an investment decision, prospective purchasers should carefully consider all of the information in this prospectus and the documents incorporated by reference herein, including the relevant Prospectus Supplement, and, in particular, should evaluate the risk factors set forth under the heading "Risk Factors" in the Form 20-F. The risks described therein are not the only ones facing the Company. Additional risks not currently known to the Company or that the Company currently deems immaterial may also impair the Company's business operations. </w:t>
      </w:r>
    </w:p>
    <w:p>
      <w:pPr>
        <w:pStyle w:val="TextBody"/>
        <w:spacing w:lineRule="atLeast" w:line="141"/>
        <w:ind w:left="0" w:right="0" w:firstLine="240"/>
        <w:jc w:val="both"/>
        <w:rPr>
          <w:bdr w:val="single" w:sz="8" w:space="12" w:color="000000"/>
        </w:rPr>
      </w:pPr>
      <w:r>
        <w:rPr>
          <w:bdr w:val="single" w:sz="8" w:space="12" w:color="000000"/>
        </w:rPr>
        <w:t> </w:t>
      </w:r>
    </w:p>
    <w:p>
      <w:pPr>
        <w:pStyle w:val="TextBody"/>
        <w:jc w:val="center"/>
        <w:rPr>
          <w:rFonts w:ascii="times" w:hAnsi="times"/>
          <w:sz w:val="20"/>
        </w:rPr>
      </w:pPr>
      <w:r>
        <w:rPr>
          <w:rFonts w:ascii="times" w:hAnsi="times"/>
          <w:sz w:val="20"/>
        </w:rPr>
        <w:t>9</w:t>
      </w:r>
    </w:p>
    <w:p>
      <w:pPr>
        <w:pStyle w:val="HorizontalLine"/>
        <w:pBdr>
          <w:bottom w:val="single" w:sz="20" w:space="0" w:color="808080"/>
        </w:pBdr>
        <w:rPr/>
      </w:pPr>
      <w:r>
        <w:rPr/>
      </w:r>
      <w:r>
        <w:br w:type="page"/>
      </w:r>
    </w:p>
    <w:p>
      <w:pPr>
        <w:pStyle w:val="TextBody"/>
        <w:jc w:val="center"/>
        <w:rPr>
          <w:rFonts w:ascii="times" w:hAnsi="times"/>
        </w:rPr>
      </w:pPr>
      <w:bookmarkStart w:id="31" w:name="toc_di48002_1"/>
      <w:bookmarkStart w:id="32" w:name="di48002_the_company"/>
      <w:bookmarkStart w:id="33" w:name="page_di48002_1_10"/>
      <w:bookmarkEnd w:id="31"/>
      <w:bookmarkEnd w:id="32"/>
      <w:bookmarkEnd w:id="33"/>
      <w:r>
        <w:rPr>
          <w:rFonts w:ascii="times" w:hAnsi="times"/>
          <w:sz w:val="20"/>
        </w:rPr>
        <w:br/>
      </w:r>
      <w:r>
        <w:rPr>
          <w:rFonts w:ascii="times" w:hAnsi="times"/>
          <w:b/>
          <w:sz w:val="20"/>
        </w:rPr>
        <w:t xml:space="preserve">THE COMPANY </w:t>
      </w:r>
    </w:p>
    <w:p>
      <w:pPr>
        <w:pStyle w:val="TextBody"/>
        <w:jc w:val="both"/>
        <w:rPr>
          <w:rFonts w:ascii="times" w:hAnsi="times"/>
          <w:b/>
          <w:sz w:val="20"/>
        </w:rPr>
      </w:pPr>
      <w:r>
        <w:rPr>
          <w:rFonts w:ascii="times" w:hAnsi="times"/>
          <w:b/>
          <w:sz w:val="20"/>
        </w:rPr>
        <w:t xml:space="preserve">Overview of the Company </w:t>
      </w:r>
    </w:p>
    <w:p>
      <w:pPr>
        <w:pStyle w:val="TextBody"/>
        <w:jc w:val="both"/>
        <w:rPr/>
      </w:pPr>
      <w:r>
        <w:rPr/>
        <w:t>        </w:t>
      </w:r>
      <w:r>
        <w:rPr>
          <w:rFonts w:ascii="times" w:hAnsi="times"/>
          <w:sz w:val="20"/>
        </w:rPr>
        <w:t xml:space="preserve">The Company is an established Canadian based international gold producer with mining operations in northwestern Quebec, northern Mexico, northern Finland and Nunavut and exploration activities in Canada, Europe, Latin America and the United States. The Company's operating history includes over three decades of continuous gold production primarily from underground operations. Since its formation in 1972, the Company has produced approximately 9.0 million ounces of gold. </w:t>
      </w:r>
    </w:p>
    <w:p>
      <w:pPr>
        <w:pStyle w:val="TextBody"/>
        <w:jc w:val="both"/>
        <w:rPr/>
      </w:pPr>
      <w:r>
        <w:rPr/>
        <w:t>        </w:t>
      </w:r>
      <w:r>
        <w:rPr>
          <w:rFonts w:ascii="times" w:hAnsi="times"/>
          <w:sz w:val="20"/>
        </w:rPr>
        <w:t xml:space="preserve">The Company's strategy is to focus on the continued exploration, development and expansion of its properties, all of which are located in politically stable jurisdictions. The Company has spent approximately $3.4 billion on mine development over the last five years. Through this development program, the Company transformed itself from a regionally focused, single-mine producer to a multi-mine international gold producer with five operating, 100% owned mines, two mine development projects, one advanced exploration project and 78 other projects. The Company plans to pursue opportunities for growth in gold production and gold reserves through the prudent acquisition or development of exploration properties, development properties, producing properties and other mining businesses in the Americas and Europe. As at December 31, 2012, on a contained gold ounces basis, the gold reserves of the Company were 18.68 million ounces (184 million tonnes grading on average 3.16 grams of gold per tonne). </w:t>
      </w:r>
    </w:p>
    <w:p>
      <w:pPr>
        <w:pStyle w:val="TextBody"/>
        <w:jc w:val="both"/>
        <w:rPr/>
      </w:pPr>
      <w:r>
        <w:rPr/>
        <w:t>        </w:t>
      </w:r>
      <w:r>
        <w:rPr>
          <w:rFonts w:ascii="times" w:hAnsi="times"/>
          <w:sz w:val="20"/>
        </w:rPr>
        <w:t xml:space="preserve">In 2012, the Company produced 1,043,811 ounces of gold at total cash costs per ounce of $640 net of revenues from byproduct metals. For 2013, the Company expects to produce between 970,000 and 1,010,000 ounces of gold at a total cash cost per ounce of gold produced of between $735 and $785 net of byproduct revenue. These expected higher total cash costs per ounce compared to 2012 reflect the higher proportion of production expected to come from the Meadowbank mine, which has higher total cash costs per ounce than the Company's average; higher costs associated with the transition to underground mining operations at the Pinos Altos mine and the Kittila mine; and increased production from the Company's mines that do not contain byproduct metals, revenue from which reduces total cash costs per ounce. In addition, the higher total cash costs per ounce also reflects the increased labour, shipping and transportation costs. During the three-month period ended March 31, 2013, the Company produced 236,975 ounces of gold at total cash costs per ounce of $740 net of revenues from byproduct metals. The Company has traditionally sold all of its production at the spot price of gold due to its general policy not to sell forward its future gold production. </w:t>
      </w:r>
    </w:p>
    <w:p>
      <w:pPr>
        <w:pStyle w:val="TextBody"/>
        <w:jc w:val="both"/>
        <w:rPr/>
      </w:pPr>
      <w:r>
        <w:rPr/>
        <w:t>        </w:t>
      </w:r>
      <w:r>
        <w:rPr>
          <w:rFonts w:ascii="times" w:hAnsi="times"/>
          <w:sz w:val="20"/>
        </w:rPr>
        <w:t xml:space="preserve">The Company expects its all-in sustaining costs for 2013 to be approximately $1,110 per ounce of gold. All-in sustaining costs is a non-GAAP measure. The Company calculates all-in sustaining costs as the sum of total cash costs (net of byproduct credits), sustaining capital expense, corporate, general and administrative expense (net of stock option expense) and exploration expense divided by the number of ounces produced. The Company's methodology for calculating all-in sustaining costs may not be similar to methodology used by other gold producers that disclose all-in sustaining costs. The Company may change the methodology it uses to calculate all-in sustaining costs in the future, including in circumstances where the World Gold Council adopts formal industry guidelines regarding this measure. </w:t>
      </w:r>
    </w:p>
    <w:p>
      <w:pPr>
        <w:pStyle w:val="TextBody"/>
        <w:jc w:val="both"/>
        <w:rPr/>
      </w:pPr>
      <w:r>
        <w:rPr/>
        <w:t>        </w:t>
      </w:r>
      <w:r>
        <w:rPr>
          <w:rFonts w:ascii="times" w:hAnsi="times"/>
          <w:sz w:val="20"/>
        </w:rPr>
        <w:t xml:space="preserve">The Company operates through four segments: Canada, Europe, Latin America and Exploration. </w:t>
      </w:r>
    </w:p>
    <w:p>
      <w:pPr>
        <w:pStyle w:val="TextBody"/>
        <w:jc w:val="both"/>
        <w:rPr/>
      </w:pPr>
      <w:r>
        <w:rPr/>
        <w:t>        </w:t>
      </w:r>
      <w:r>
        <w:rPr>
          <w:rFonts w:ascii="times" w:hAnsi="times"/>
          <w:sz w:val="20"/>
        </w:rPr>
        <w:t xml:space="preserve">The Canadian Segment is comprised of the Company's operations in the Province of Quebec and the Nunavut Territory. The Company's Quebec properties include the LaRonde mine, the Lapa mine and the Goldex mine project, each of which is held directly by the Company. In 2012, the Quebec properties accounted for approximately 25% of the Company's gold production, comprised of approximately 15% from the LaRonde mine and approximately 10% from the Lapa mine. The Company anticipates that its Quebec properties will account for approximately 29% of the Company's gold production in 2013, of which 18%, 10% and 1% of the Company's gold production will come from the LaRonde mine, the Lapa mine and the Goldex mine project, respectively. </w:t>
      </w:r>
    </w:p>
    <w:p>
      <w:pPr>
        <w:pStyle w:val="TextBody"/>
        <w:jc w:val="both"/>
        <w:rPr/>
      </w:pPr>
      <w:r>
        <w:rPr/>
        <w:t>        </w:t>
      </w:r>
      <w:r>
        <w:rPr>
          <w:rFonts w:ascii="times" w:hAnsi="times"/>
          <w:sz w:val="20"/>
        </w:rPr>
        <w:t xml:space="preserve">The Company's Nunavut properties are comprised of the Meadowbank mine and the Meliadine project, which are both held directly by the Company. In 2012, the Meadowbank mine accounted for approximately 35% of the Company's gold production and the Company anticipates that in 2013 the Meadowbank mine will account for approximately 35% of the Company's gold production. </w:t>
      </w:r>
    </w:p>
    <w:p>
      <w:pPr>
        <w:pStyle w:val="TextBody"/>
        <w:jc w:val="center"/>
        <w:rPr>
          <w:rFonts w:ascii="times" w:hAnsi="times"/>
          <w:sz w:val="20"/>
        </w:rPr>
      </w:pPr>
      <w:r>
        <w:rPr>
          <w:rFonts w:ascii="times" w:hAnsi="times"/>
          <w:sz w:val="20"/>
        </w:rPr>
        <w:t>10</w:t>
      </w:r>
    </w:p>
    <w:p>
      <w:pPr>
        <w:pStyle w:val="HorizontalLine"/>
        <w:pBdr>
          <w:bottom w:val="single" w:sz="20" w:space="0" w:color="808080"/>
        </w:pBdr>
        <w:rPr/>
      </w:pPr>
      <w:r>
        <w:rPr/>
      </w:r>
      <w:r>
        <w:br w:type="page"/>
      </w:r>
    </w:p>
    <w:p>
      <w:pPr>
        <w:pStyle w:val="TextBody"/>
        <w:jc w:val="both"/>
        <w:rPr/>
      </w:pPr>
      <w:bookmarkStart w:id="34" w:name="page_di48002_1_11"/>
      <w:bookmarkEnd w:id="34"/>
      <w:r>
        <w:rPr/>
        <w:t>        </w:t>
      </w:r>
      <w:r>
        <w:rPr>
          <w:rFonts w:ascii="times" w:hAnsi="times"/>
          <w:sz w:val="20"/>
        </w:rPr>
        <w:t xml:space="preserve">The Company's operations in the European Segment are conducted through its indirect subsidiary, Agnico Eagle Finland Oy, which owns the Kittila mine in Finland. In 2012, the Kittila mine accounted for approximately 17% of the Company's gold production and the Company anticipates that in 2013 the Kittila mine will again account for approximately 17% of the Company's gold production. </w:t>
      </w:r>
    </w:p>
    <w:p>
      <w:pPr>
        <w:pStyle w:val="TextBody"/>
        <w:jc w:val="both"/>
        <w:rPr/>
      </w:pPr>
      <w:r>
        <w:rPr/>
        <w:t>        </w:t>
      </w:r>
      <w:r>
        <w:rPr>
          <w:rFonts w:ascii="times" w:hAnsi="times"/>
          <w:sz w:val="20"/>
        </w:rPr>
        <w:t xml:space="preserve">In the Latin American Segment, the Company's mining operations at Pinos Altos are conducted through its subsidiary, Agnico Eagle Mexico, S.A. de C.V., which owns the Pinos Altos mine, including the Creston Mascota deposit. The La India mine project is owned by the Company's indirect subsidiary, Agnico Sonora, S.A. de C.V. In 2012, the Pinos Altos mine accounted for approximately 23% of the Company's gold production and the Company anticipates that in 2013 the Pinos Altos mine will account for approximately 19% of the Company's gold production. </w:t>
      </w:r>
    </w:p>
    <w:p>
      <w:pPr>
        <w:pStyle w:val="TextBody"/>
        <w:jc w:val="both"/>
        <w:rPr/>
      </w:pPr>
      <w:r>
        <w:rPr/>
        <w:t>        </w:t>
      </w:r>
      <w:r>
        <w:rPr>
          <w:rFonts w:ascii="times" w:hAnsi="times"/>
          <w:sz w:val="20"/>
        </w:rPr>
        <w:t xml:space="preserve">The Exploration Segment includes the Company's grassroots exploration operations in the United States, the European exploration office, the Canadian exploration offices and the Latin American exploration office. In addition, the Company has international exploration offices in Reno, Nevada and Vancouver, Canada. </w:t>
      </w:r>
    </w:p>
    <w:p>
      <w:pPr>
        <w:pStyle w:val="TextBody"/>
        <w:jc w:val="both"/>
        <w:rPr/>
      </w:pPr>
      <w:r>
        <w:rPr/>
        <w:t>        </w:t>
      </w:r>
      <w:r>
        <w:rPr>
          <w:rFonts w:ascii="times" w:hAnsi="times"/>
          <w:sz w:val="20"/>
        </w:rPr>
        <w:t xml:space="preserve">The Company's executive and registered office is located at 145 King Street East, Suite 400, Toronto, Ontario, Canada M5C 2Y7; telephone: (416) 947-1212; website: http://www.agnicoeagle.com. The information contained on the website is not part of this prospectus. </w:t>
      </w:r>
    </w:p>
    <w:p>
      <w:pPr>
        <w:pStyle w:val="TextBody"/>
        <w:jc w:val="both"/>
        <w:rPr>
          <w:rFonts w:ascii="times" w:hAnsi="times"/>
          <w:b/>
          <w:sz w:val="20"/>
        </w:rPr>
      </w:pPr>
      <w:r>
        <w:rPr>
          <w:rFonts w:ascii="times" w:hAnsi="times"/>
          <w:b/>
          <w:sz w:val="20"/>
        </w:rPr>
        <w:t xml:space="preserve">Proven and Probable Reserves </w:t>
      </w:r>
    </w:p>
    <w:p>
      <w:pPr>
        <w:pStyle w:val="TextBody"/>
        <w:jc w:val="both"/>
        <w:rPr/>
      </w:pPr>
      <w:r>
        <w:rPr/>
        <w:t>        </w:t>
      </w:r>
      <w:r>
        <w:rPr>
          <w:rFonts w:ascii="times" w:hAnsi="times"/>
          <w:sz w:val="20"/>
        </w:rPr>
        <w:t xml:space="preserve">Set out below are the Company's published proven and probable mineral reserves as estimated under NI 43-101. Mineral reserves and mineral resources at each of the Company's properties are estimated as at December 31, 2012. The assumptions used for the 2012 mineral reserves and resources estimates for the Lapa, Goldex, Meadowbank, Meliadine and Creston Mascota properties reported by the Company in this prospectus were based on three-year average prices for the period ending December 31, 2012 of $1,490 per ounce of gold, $29.00 per ounce of silver, $0.95 per pound of zinc, $3.67 per pound of copper, $1.00 per pound of lead and exchange rates of C$1.00 per $1.00, 12.75 Mexican pesos per $1.00 and $1.34 per €1.00. The assumptions used for the 2012 mineral reserves and resources estimates for the LaRonde, Kittila, Pinos Altos, La India and Tarachi properties reported by the Company in this prospectus used more conservative metal price assumptions of $1,345 per ounce of gold, $25.00 per ounce of silver, $0.95 per pound of zinc, $3.49 per pound of copper, $0.99 per pound of lead and exchange rates of C$1.00 per $1.00, 13.00 Mexican pesos per $1.00 and $1.30 per €1.00. For information regarding the estimation of the Company's mineral reserves and mineral resources, see "Item 4 Information on the Company  Property, Plant and Equipment  Mineral Reserves and Mineral Resources" in the Form 20-F and "Note to Investors Concerning Estimates of Mineral Reserves and Mineral Resources" in this prospectus. </w:t>
      </w:r>
    </w:p>
    <w:tbl>
      <w:tblPr>
        <w:tblW w:w="5000" w:type="pct"/>
        <w:jc w:val="center"/>
        <w:tblInd w:w="0" w:type="dxa"/>
        <w:tblCellMar>
          <w:top w:w="0" w:type="dxa"/>
          <w:left w:w="0" w:type="dxa"/>
          <w:bottom w:w="0" w:type="dxa"/>
          <w:right w:w="0" w:type="dxa"/>
        </w:tblCellMar>
      </w:tblPr>
      <w:tblGrid>
        <w:gridCol w:w="4286"/>
        <w:gridCol w:w="266"/>
        <w:gridCol w:w="155"/>
        <w:gridCol w:w="1507"/>
        <w:gridCol w:w="266"/>
        <w:gridCol w:w="155"/>
        <w:gridCol w:w="1242"/>
        <w:gridCol w:w="266"/>
        <w:gridCol w:w="155"/>
        <w:gridCol w:w="1641"/>
        <w:gridCol w:w="266"/>
      </w:tblGrid>
      <w:tr>
        <w:trPr/>
        <w:tc>
          <w:tcPr>
            <w:tcW w:w="4286" w:type="dxa"/>
            <w:tcBorders/>
            <w:shd w:fill="auto" w:val="clear"/>
            <w:vAlign w:val="center"/>
          </w:tcPr>
          <w:p>
            <w:pPr>
              <w:pStyle w:val="TableContents"/>
              <w:spacing w:before="0" w:after="283"/>
              <w:rPr>
                <w:sz w:val="4"/>
                <w:szCs w:val="4"/>
              </w:rPr>
            </w:pPr>
            <w:r>
              <w:rPr>
                <w:sz w:val="4"/>
                <w:szCs w:val="4"/>
              </w:rPr>
            </w:r>
          </w:p>
        </w:tc>
        <w:tc>
          <w:tcPr>
            <w:tcW w:w="266"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507" w:type="dxa"/>
            <w:tcBorders/>
            <w:shd w:fill="auto" w:val="clear"/>
            <w:vAlign w:val="center"/>
          </w:tcPr>
          <w:p>
            <w:pPr>
              <w:pStyle w:val="TableContents"/>
              <w:spacing w:before="0" w:after="283"/>
              <w:rPr>
                <w:sz w:val="4"/>
                <w:szCs w:val="4"/>
              </w:rPr>
            </w:pPr>
            <w:r>
              <w:rPr>
                <w:sz w:val="4"/>
                <w:szCs w:val="4"/>
              </w:rPr>
            </w:r>
          </w:p>
        </w:tc>
        <w:tc>
          <w:tcPr>
            <w:tcW w:w="266"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242" w:type="dxa"/>
            <w:tcBorders/>
            <w:shd w:fill="auto" w:val="clear"/>
            <w:vAlign w:val="center"/>
          </w:tcPr>
          <w:p>
            <w:pPr>
              <w:pStyle w:val="TableContents"/>
              <w:spacing w:before="0" w:after="283"/>
              <w:rPr>
                <w:sz w:val="4"/>
                <w:szCs w:val="4"/>
              </w:rPr>
            </w:pPr>
            <w:r>
              <w:rPr>
                <w:sz w:val="4"/>
                <w:szCs w:val="4"/>
              </w:rPr>
            </w:r>
          </w:p>
        </w:tc>
        <w:tc>
          <w:tcPr>
            <w:tcW w:w="266"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641" w:type="dxa"/>
            <w:tcBorders/>
            <w:shd w:fill="auto" w:val="clear"/>
            <w:vAlign w:val="center"/>
          </w:tcPr>
          <w:p>
            <w:pPr>
              <w:pStyle w:val="TableContents"/>
              <w:spacing w:before="0" w:after="283"/>
              <w:rPr>
                <w:sz w:val="4"/>
                <w:szCs w:val="4"/>
              </w:rPr>
            </w:pPr>
            <w:r>
              <w:rPr>
                <w:sz w:val="4"/>
                <w:szCs w:val="4"/>
              </w:rPr>
            </w:r>
          </w:p>
        </w:tc>
        <w:tc>
          <w:tcPr>
            <w:tcW w:w="266" w:type="dxa"/>
            <w:tcBorders/>
            <w:shd w:fill="auto" w:val="clear"/>
            <w:vAlign w:val="center"/>
          </w:tcPr>
          <w:p>
            <w:pPr>
              <w:pStyle w:val="TableContents"/>
              <w:spacing w:before="0" w:after="283"/>
              <w:rPr>
                <w:sz w:val="4"/>
                <w:szCs w:val="4"/>
              </w:rPr>
            </w:pPr>
            <w:r>
              <w:rPr>
                <w:sz w:val="4"/>
                <w:szCs w:val="4"/>
              </w:rPr>
            </w:r>
          </w:p>
        </w:tc>
      </w:tr>
      <w:tr>
        <w:trPr/>
        <w:tc>
          <w:tcPr>
            <w:tcW w:w="4286" w:type="dxa"/>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Property </w:t>
            </w:r>
          </w:p>
        </w:tc>
        <w:tc>
          <w:tcPr>
            <w:tcW w:w="266" w:type="dxa"/>
            <w:tcBorders/>
            <w:shd w:fill="auto" w:val="clear"/>
            <w:vAlign w:val="bottom"/>
          </w:tcPr>
          <w:p>
            <w:pPr>
              <w:pStyle w:val="TableHeading"/>
              <w:suppressLineNumbers/>
              <w:spacing w:before="0" w:after="283"/>
              <w:jc w:val="center"/>
              <w:rPr/>
            </w:pPr>
            <w:r>
              <w:rPr/>
              <w:t> </w:t>
            </w:r>
          </w:p>
        </w:tc>
        <w:tc>
          <w:tcPr>
            <w:tcW w:w="1662"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Tonnes </w:t>
            </w:r>
          </w:p>
        </w:tc>
        <w:tc>
          <w:tcPr>
            <w:tcW w:w="266" w:type="dxa"/>
            <w:tcBorders/>
            <w:shd w:fill="auto" w:val="clear"/>
            <w:vAlign w:val="bottom"/>
          </w:tcPr>
          <w:p>
            <w:pPr>
              <w:pStyle w:val="TableHeading"/>
              <w:suppressLineNumbers/>
              <w:spacing w:before="0" w:after="283"/>
              <w:jc w:val="center"/>
              <w:rPr/>
            </w:pPr>
            <w:r>
              <w:rPr/>
              <w:t> </w:t>
            </w:r>
          </w:p>
        </w:tc>
        <w:tc>
          <w:tcPr>
            <w:tcW w:w="139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Gold Grade</w:t>
              <w:br/>
              <w:t xml:space="preserve">(g/t) </w:t>
            </w:r>
          </w:p>
        </w:tc>
        <w:tc>
          <w:tcPr>
            <w:tcW w:w="266" w:type="dxa"/>
            <w:tcBorders/>
            <w:shd w:fill="auto" w:val="clear"/>
            <w:vAlign w:val="bottom"/>
          </w:tcPr>
          <w:p>
            <w:pPr>
              <w:pStyle w:val="TableHeading"/>
              <w:suppressLineNumbers/>
              <w:spacing w:before="0" w:after="283"/>
              <w:jc w:val="center"/>
              <w:rPr/>
            </w:pPr>
            <w:r>
              <w:rPr/>
              <w:t> </w:t>
            </w:r>
          </w:p>
        </w:tc>
        <w:tc>
          <w:tcPr>
            <w:tcW w:w="1796"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Contained Gold</w:t>
              <w:br/>
              <w:t xml:space="preserve">(oz) </w:t>
            </w:r>
          </w:p>
        </w:tc>
        <w:tc>
          <w:tcPr>
            <w:tcW w:w="266" w:type="dxa"/>
            <w:tcBorders/>
            <w:shd w:fill="auto" w:val="clear"/>
            <w:vAlign w:val="bottom"/>
          </w:tcPr>
          <w:p>
            <w:pPr>
              <w:pStyle w:val="TableHeading"/>
              <w:suppressLineNumbers/>
              <w:spacing w:before="0" w:after="283"/>
              <w:jc w:val="center"/>
              <w:rPr/>
            </w:pPr>
            <w:r>
              <w:rPr/>
              <w:t> </w:t>
            </w:r>
          </w:p>
        </w:tc>
      </w:tr>
      <w:tr>
        <w:trPr/>
        <w:tc>
          <w:tcPr>
            <w:tcW w:w="4286" w:type="dxa"/>
            <w:tcBorders/>
            <w:shd w:fill="CCEEFF" w:val="clear"/>
            <w:vAlign w:val="bottom"/>
          </w:tcPr>
          <w:p>
            <w:pPr>
              <w:pStyle w:val="TableContents"/>
              <w:spacing w:before="0" w:after="283"/>
              <w:ind w:left="200" w:right="0" w:hanging="200"/>
              <w:rPr>
                <w:rFonts w:ascii="times" w:hAnsi="times"/>
                <w:i/>
                <w:sz w:val="20"/>
              </w:rPr>
            </w:pPr>
            <w:r>
              <w:rPr>
                <w:rFonts w:ascii="times" w:hAnsi="times"/>
                <w:i/>
                <w:sz w:val="20"/>
              </w:rPr>
              <w:t>Proven Reserves</w:t>
            </w:r>
          </w:p>
        </w:tc>
        <w:tc>
          <w:tcPr>
            <w:tcW w:w="266"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507"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42"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641"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rPr/>
            </w:pPr>
            <w:r>
              <w:rPr/>
              <w:t> </w:t>
            </w:r>
          </w:p>
        </w:tc>
      </w:tr>
      <w:tr>
        <w:trPr/>
        <w:tc>
          <w:tcPr>
            <w:tcW w:w="428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LaRonde mine (underground)</w:t>
            </w:r>
          </w:p>
        </w:tc>
        <w:tc>
          <w:tcPr>
            <w:tcW w:w="266"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507" w:type="dxa"/>
            <w:tcBorders/>
            <w:shd w:fill="FFFFFF" w:val="clear"/>
            <w:vAlign w:val="bottom"/>
          </w:tcPr>
          <w:p>
            <w:pPr>
              <w:pStyle w:val="TableContents"/>
              <w:spacing w:before="0" w:after="283"/>
              <w:jc w:val="right"/>
              <w:rPr>
                <w:rFonts w:ascii="times" w:hAnsi="times"/>
                <w:sz w:val="20"/>
              </w:rPr>
            </w:pPr>
            <w:r>
              <w:rPr>
                <w:rFonts w:ascii="times" w:hAnsi="times"/>
                <w:sz w:val="20"/>
              </w:rPr>
              <w:t>6,323,000</w:t>
            </w:r>
          </w:p>
        </w:tc>
        <w:tc>
          <w:tcPr>
            <w:tcW w:w="266"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242" w:type="dxa"/>
            <w:tcBorders/>
            <w:shd w:fill="FFFFFF" w:val="clear"/>
            <w:vAlign w:val="bottom"/>
          </w:tcPr>
          <w:p>
            <w:pPr>
              <w:pStyle w:val="TableContents"/>
              <w:spacing w:before="0" w:after="283"/>
              <w:jc w:val="right"/>
              <w:rPr>
                <w:rFonts w:ascii="times" w:hAnsi="times"/>
                <w:sz w:val="20"/>
              </w:rPr>
            </w:pPr>
            <w:r>
              <w:rPr>
                <w:rFonts w:ascii="times" w:hAnsi="times"/>
                <w:sz w:val="20"/>
              </w:rPr>
              <w:t>2.96</w:t>
            </w:r>
          </w:p>
        </w:tc>
        <w:tc>
          <w:tcPr>
            <w:tcW w:w="266"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641" w:type="dxa"/>
            <w:tcBorders/>
            <w:shd w:fill="FFFFFF" w:val="clear"/>
            <w:vAlign w:val="bottom"/>
          </w:tcPr>
          <w:p>
            <w:pPr>
              <w:pStyle w:val="TableContents"/>
              <w:spacing w:before="0" w:after="283"/>
              <w:jc w:val="right"/>
              <w:rPr>
                <w:rFonts w:ascii="times" w:hAnsi="times"/>
                <w:sz w:val="20"/>
              </w:rPr>
            </w:pPr>
            <w:r>
              <w:rPr>
                <w:rFonts w:ascii="times" w:hAnsi="times"/>
                <w:sz w:val="20"/>
              </w:rPr>
              <w:t>602,000</w:t>
            </w:r>
          </w:p>
        </w:tc>
        <w:tc>
          <w:tcPr>
            <w:tcW w:w="266" w:type="dxa"/>
            <w:tcBorders/>
            <w:shd w:fill="FFFFFF" w:val="clear"/>
            <w:vAlign w:val="bottom"/>
          </w:tcPr>
          <w:p>
            <w:pPr>
              <w:pStyle w:val="TableContents"/>
              <w:spacing w:before="0" w:after="283"/>
              <w:rPr/>
            </w:pPr>
            <w:r>
              <w:rPr/>
              <w:t> </w:t>
            </w:r>
          </w:p>
        </w:tc>
      </w:tr>
      <w:tr>
        <w:trPr/>
        <w:tc>
          <w:tcPr>
            <w:tcW w:w="428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Lapa mine (underground)</w:t>
            </w:r>
          </w:p>
        </w:tc>
        <w:tc>
          <w:tcPr>
            <w:tcW w:w="266"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507" w:type="dxa"/>
            <w:tcBorders/>
            <w:shd w:fill="CCEEFF" w:val="clear"/>
            <w:vAlign w:val="bottom"/>
          </w:tcPr>
          <w:p>
            <w:pPr>
              <w:pStyle w:val="TableContents"/>
              <w:spacing w:before="0" w:after="283"/>
              <w:jc w:val="right"/>
              <w:rPr>
                <w:rFonts w:ascii="times" w:hAnsi="times"/>
                <w:sz w:val="20"/>
              </w:rPr>
            </w:pPr>
            <w:r>
              <w:rPr>
                <w:rFonts w:ascii="times" w:hAnsi="times"/>
                <w:sz w:val="20"/>
              </w:rPr>
              <w:t>1,129,000</w:t>
            </w:r>
          </w:p>
        </w:tc>
        <w:tc>
          <w:tcPr>
            <w:tcW w:w="266"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42" w:type="dxa"/>
            <w:tcBorders/>
            <w:shd w:fill="CCEEFF" w:val="clear"/>
            <w:vAlign w:val="bottom"/>
          </w:tcPr>
          <w:p>
            <w:pPr>
              <w:pStyle w:val="TableContents"/>
              <w:spacing w:before="0" w:after="283"/>
              <w:jc w:val="right"/>
              <w:rPr>
                <w:rFonts w:ascii="times" w:hAnsi="times"/>
                <w:sz w:val="20"/>
              </w:rPr>
            </w:pPr>
            <w:r>
              <w:rPr>
                <w:rFonts w:ascii="times" w:hAnsi="times"/>
                <w:sz w:val="20"/>
              </w:rPr>
              <w:t>6.25</w:t>
            </w:r>
          </w:p>
        </w:tc>
        <w:tc>
          <w:tcPr>
            <w:tcW w:w="266"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641" w:type="dxa"/>
            <w:tcBorders/>
            <w:shd w:fill="CCEEFF" w:val="clear"/>
            <w:vAlign w:val="bottom"/>
          </w:tcPr>
          <w:p>
            <w:pPr>
              <w:pStyle w:val="TableContents"/>
              <w:spacing w:before="0" w:after="283"/>
              <w:jc w:val="right"/>
              <w:rPr>
                <w:rFonts w:ascii="times" w:hAnsi="times"/>
                <w:sz w:val="20"/>
              </w:rPr>
            </w:pPr>
            <w:r>
              <w:rPr>
                <w:rFonts w:ascii="times" w:hAnsi="times"/>
                <w:sz w:val="20"/>
              </w:rPr>
              <w:t>227,000</w:t>
            </w:r>
          </w:p>
        </w:tc>
        <w:tc>
          <w:tcPr>
            <w:tcW w:w="266" w:type="dxa"/>
            <w:tcBorders/>
            <w:shd w:fill="CCEEFF" w:val="clear"/>
            <w:vAlign w:val="bottom"/>
          </w:tcPr>
          <w:p>
            <w:pPr>
              <w:pStyle w:val="TableContents"/>
              <w:spacing w:before="0" w:after="283"/>
              <w:rPr/>
            </w:pPr>
            <w:r>
              <w:rPr/>
              <w:t> </w:t>
            </w:r>
          </w:p>
        </w:tc>
      </w:tr>
      <w:tr>
        <w:trPr/>
        <w:tc>
          <w:tcPr>
            <w:tcW w:w="428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Goldex mine project (underground)</w:t>
            </w:r>
          </w:p>
        </w:tc>
        <w:tc>
          <w:tcPr>
            <w:tcW w:w="266"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507" w:type="dxa"/>
            <w:tcBorders/>
            <w:shd w:fill="FFFFFF" w:val="clear"/>
            <w:vAlign w:val="bottom"/>
          </w:tcPr>
          <w:p>
            <w:pPr>
              <w:pStyle w:val="TableContents"/>
              <w:spacing w:before="0" w:after="283"/>
              <w:jc w:val="right"/>
              <w:rPr>
                <w:rFonts w:ascii="times" w:hAnsi="times"/>
                <w:sz w:val="20"/>
              </w:rPr>
            </w:pPr>
            <w:r>
              <w:rPr>
                <w:rFonts w:ascii="times" w:hAnsi="times"/>
                <w:sz w:val="20"/>
              </w:rPr>
              <w:t>59,000</w:t>
            </w:r>
          </w:p>
        </w:tc>
        <w:tc>
          <w:tcPr>
            <w:tcW w:w="266"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242" w:type="dxa"/>
            <w:tcBorders/>
            <w:shd w:fill="FFFFFF" w:val="clear"/>
            <w:vAlign w:val="bottom"/>
          </w:tcPr>
          <w:p>
            <w:pPr>
              <w:pStyle w:val="TableContents"/>
              <w:spacing w:before="0" w:after="283"/>
              <w:jc w:val="right"/>
              <w:rPr>
                <w:rFonts w:ascii="times" w:hAnsi="times"/>
                <w:sz w:val="20"/>
              </w:rPr>
            </w:pPr>
            <w:r>
              <w:rPr>
                <w:rFonts w:ascii="times" w:hAnsi="times"/>
                <w:sz w:val="20"/>
              </w:rPr>
              <w:t>1.70</w:t>
            </w:r>
          </w:p>
        </w:tc>
        <w:tc>
          <w:tcPr>
            <w:tcW w:w="266"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641" w:type="dxa"/>
            <w:tcBorders/>
            <w:shd w:fill="FFFFFF" w:val="clear"/>
            <w:vAlign w:val="bottom"/>
          </w:tcPr>
          <w:p>
            <w:pPr>
              <w:pStyle w:val="TableContents"/>
              <w:spacing w:before="0" w:after="283"/>
              <w:jc w:val="right"/>
              <w:rPr>
                <w:rFonts w:ascii="times" w:hAnsi="times"/>
                <w:sz w:val="20"/>
              </w:rPr>
            </w:pPr>
            <w:r>
              <w:rPr>
                <w:rFonts w:ascii="times" w:hAnsi="times"/>
                <w:sz w:val="20"/>
              </w:rPr>
              <w:t>3,000</w:t>
            </w:r>
          </w:p>
        </w:tc>
        <w:tc>
          <w:tcPr>
            <w:tcW w:w="266" w:type="dxa"/>
            <w:tcBorders/>
            <w:shd w:fill="FFFFFF" w:val="clear"/>
            <w:vAlign w:val="bottom"/>
          </w:tcPr>
          <w:p>
            <w:pPr>
              <w:pStyle w:val="TableContents"/>
              <w:spacing w:before="0" w:after="283"/>
              <w:rPr/>
            </w:pPr>
            <w:r>
              <w:rPr/>
              <w:t> </w:t>
            </w:r>
          </w:p>
        </w:tc>
      </w:tr>
      <w:tr>
        <w:trPr/>
        <w:tc>
          <w:tcPr>
            <w:tcW w:w="428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Kittila mine (open pit)</w:t>
            </w:r>
          </w:p>
        </w:tc>
        <w:tc>
          <w:tcPr>
            <w:tcW w:w="266"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507" w:type="dxa"/>
            <w:tcBorders/>
            <w:shd w:fill="CCEEFF" w:val="clear"/>
            <w:vAlign w:val="bottom"/>
          </w:tcPr>
          <w:p>
            <w:pPr>
              <w:pStyle w:val="TableContents"/>
              <w:spacing w:before="0" w:after="283"/>
              <w:jc w:val="right"/>
              <w:rPr>
                <w:rFonts w:ascii="times" w:hAnsi="times"/>
                <w:sz w:val="20"/>
              </w:rPr>
            </w:pPr>
            <w:r>
              <w:rPr>
                <w:rFonts w:ascii="times" w:hAnsi="times"/>
                <w:sz w:val="20"/>
              </w:rPr>
              <w:t>272,000</w:t>
            </w:r>
          </w:p>
        </w:tc>
        <w:tc>
          <w:tcPr>
            <w:tcW w:w="266"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42" w:type="dxa"/>
            <w:tcBorders/>
            <w:shd w:fill="CCEEFF" w:val="clear"/>
            <w:vAlign w:val="bottom"/>
          </w:tcPr>
          <w:p>
            <w:pPr>
              <w:pStyle w:val="TableContents"/>
              <w:spacing w:before="0" w:after="283"/>
              <w:jc w:val="right"/>
              <w:rPr>
                <w:rFonts w:ascii="times" w:hAnsi="times"/>
                <w:sz w:val="20"/>
              </w:rPr>
            </w:pPr>
            <w:r>
              <w:rPr>
                <w:rFonts w:ascii="times" w:hAnsi="times"/>
                <w:sz w:val="20"/>
              </w:rPr>
              <w:t>4.30</w:t>
            </w:r>
          </w:p>
        </w:tc>
        <w:tc>
          <w:tcPr>
            <w:tcW w:w="266"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641" w:type="dxa"/>
            <w:tcBorders/>
            <w:shd w:fill="CCEEFF" w:val="clear"/>
            <w:vAlign w:val="bottom"/>
          </w:tcPr>
          <w:p>
            <w:pPr>
              <w:pStyle w:val="TableContents"/>
              <w:spacing w:before="0" w:after="283"/>
              <w:jc w:val="right"/>
              <w:rPr>
                <w:rFonts w:ascii="times" w:hAnsi="times"/>
                <w:sz w:val="20"/>
              </w:rPr>
            </w:pPr>
            <w:r>
              <w:rPr>
                <w:rFonts w:ascii="times" w:hAnsi="times"/>
                <w:sz w:val="20"/>
              </w:rPr>
              <w:t>38,000</w:t>
            </w:r>
          </w:p>
        </w:tc>
        <w:tc>
          <w:tcPr>
            <w:tcW w:w="266" w:type="dxa"/>
            <w:tcBorders/>
            <w:shd w:fill="CCEEFF" w:val="clear"/>
            <w:vAlign w:val="bottom"/>
          </w:tcPr>
          <w:p>
            <w:pPr>
              <w:pStyle w:val="TableContents"/>
              <w:spacing w:before="0" w:after="283"/>
              <w:rPr/>
            </w:pPr>
            <w:r>
              <w:rPr/>
              <w:t> </w:t>
            </w:r>
          </w:p>
        </w:tc>
      </w:tr>
      <w:tr>
        <w:trPr/>
        <w:tc>
          <w:tcPr>
            <w:tcW w:w="428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Kittila mine (underground)</w:t>
            </w:r>
          </w:p>
        </w:tc>
        <w:tc>
          <w:tcPr>
            <w:tcW w:w="266"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507" w:type="dxa"/>
            <w:tcBorders/>
            <w:shd w:fill="FFFFFF" w:val="clear"/>
            <w:vAlign w:val="bottom"/>
          </w:tcPr>
          <w:p>
            <w:pPr>
              <w:pStyle w:val="TableContents"/>
              <w:spacing w:before="0" w:after="283"/>
              <w:jc w:val="right"/>
              <w:rPr>
                <w:rFonts w:ascii="times" w:hAnsi="times"/>
                <w:sz w:val="20"/>
              </w:rPr>
            </w:pPr>
            <w:r>
              <w:rPr>
                <w:rFonts w:ascii="times" w:hAnsi="times"/>
                <w:sz w:val="20"/>
              </w:rPr>
              <w:t>1,189,000</w:t>
            </w:r>
          </w:p>
        </w:tc>
        <w:tc>
          <w:tcPr>
            <w:tcW w:w="266"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242" w:type="dxa"/>
            <w:tcBorders/>
            <w:shd w:fill="FFFFFF" w:val="clear"/>
            <w:vAlign w:val="bottom"/>
          </w:tcPr>
          <w:p>
            <w:pPr>
              <w:pStyle w:val="TableContents"/>
              <w:spacing w:before="0" w:after="283"/>
              <w:jc w:val="right"/>
              <w:rPr>
                <w:rFonts w:ascii="times" w:hAnsi="times"/>
                <w:sz w:val="20"/>
              </w:rPr>
            </w:pPr>
            <w:r>
              <w:rPr>
                <w:rFonts w:ascii="times" w:hAnsi="times"/>
                <w:sz w:val="20"/>
              </w:rPr>
              <w:t>4.66</w:t>
            </w:r>
          </w:p>
        </w:tc>
        <w:tc>
          <w:tcPr>
            <w:tcW w:w="266"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641" w:type="dxa"/>
            <w:tcBorders/>
            <w:shd w:fill="FFFFFF" w:val="clear"/>
            <w:vAlign w:val="bottom"/>
          </w:tcPr>
          <w:p>
            <w:pPr>
              <w:pStyle w:val="TableContents"/>
              <w:spacing w:before="0" w:after="283"/>
              <w:jc w:val="right"/>
              <w:rPr>
                <w:rFonts w:ascii="times" w:hAnsi="times"/>
                <w:sz w:val="20"/>
              </w:rPr>
            </w:pPr>
            <w:r>
              <w:rPr>
                <w:rFonts w:ascii="times" w:hAnsi="times"/>
                <w:sz w:val="20"/>
              </w:rPr>
              <w:t>178,000</w:t>
            </w:r>
          </w:p>
        </w:tc>
        <w:tc>
          <w:tcPr>
            <w:tcW w:w="266" w:type="dxa"/>
            <w:tcBorders/>
            <w:shd w:fill="FFFFFF" w:val="clear"/>
            <w:vAlign w:val="bottom"/>
          </w:tcPr>
          <w:p>
            <w:pPr>
              <w:pStyle w:val="TableContents"/>
              <w:spacing w:before="0" w:after="283"/>
              <w:rPr/>
            </w:pPr>
            <w:r>
              <w:rPr/>
              <w:t> </w:t>
            </w:r>
          </w:p>
        </w:tc>
      </w:tr>
      <w:tr>
        <w:trPr/>
        <w:tc>
          <w:tcPr>
            <w:tcW w:w="428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Kittila mine total proven</w:t>
            </w:r>
          </w:p>
        </w:tc>
        <w:tc>
          <w:tcPr>
            <w:tcW w:w="266"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507" w:type="dxa"/>
            <w:tcBorders/>
            <w:shd w:fill="CCEEFF" w:val="clear"/>
            <w:vAlign w:val="bottom"/>
          </w:tcPr>
          <w:p>
            <w:pPr>
              <w:pStyle w:val="TableContents"/>
              <w:spacing w:before="0" w:after="283"/>
              <w:jc w:val="right"/>
              <w:rPr>
                <w:rFonts w:ascii="times" w:hAnsi="times"/>
                <w:sz w:val="20"/>
              </w:rPr>
            </w:pPr>
            <w:r>
              <w:rPr>
                <w:rFonts w:ascii="times" w:hAnsi="times"/>
                <w:sz w:val="20"/>
              </w:rPr>
              <w:t>1,461,000</w:t>
            </w:r>
          </w:p>
        </w:tc>
        <w:tc>
          <w:tcPr>
            <w:tcW w:w="266"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42" w:type="dxa"/>
            <w:tcBorders/>
            <w:shd w:fill="CCEEFF" w:val="clear"/>
            <w:vAlign w:val="bottom"/>
          </w:tcPr>
          <w:p>
            <w:pPr>
              <w:pStyle w:val="TableContents"/>
              <w:spacing w:before="0" w:after="283"/>
              <w:jc w:val="right"/>
              <w:rPr>
                <w:rFonts w:ascii="times" w:hAnsi="times"/>
                <w:sz w:val="20"/>
              </w:rPr>
            </w:pPr>
            <w:r>
              <w:rPr>
                <w:rFonts w:ascii="times" w:hAnsi="times"/>
                <w:sz w:val="20"/>
              </w:rPr>
              <w:t>4.59</w:t>
            </w:r>
          </w:p>
        </w:tc>
        <w:tc>
          <w:tcPr>
            <w:tcW w:w="266"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641" w:type="dxa"/>
            <w:tcBorders/>
            <w:shd w:fill="CCEEFF" w:val="clear"/>
            <w:vAlign w:val="bottom"/>
          </w:tcPr>
          <w:p>
            <w:pPr>
              <w:pStyle w:val="TableContents"/>
              <w:spacing w:before="0" w:after="283"/>
              <w:jc w:val="right"/>
              <w:rPr>
                <w:rFonts w:ascii="times" w:hAnsi="times"/>
                <w:sz w:val="20"/>
              </w:rPr>
            </w:pPr>
            <w:r>
              <w:rPr>
                <w:rFonts w:ascii="times" w:hAnsi="times"/>
                <w:sz w:val="20"/>
              </w:rPr>
              <w:t>216,000</w:t>
            </w:r>
          </w:p>
        </w:tc>
        <w:tc>
          <w:tcPr>
            <w:tcW w:w="266" w:type="dxa"/>
            <w:tcBorders/>
            <w:shd w:fill="CCEEFF" w:val="clear"/>
            <w:vAlign w:val="bottom"/>
          </w:tcPr>
          <w:p>
            <w:pPr>
              <w:pStyle w:val="TableContents"/>
              <w:spacing w:before="0" w:after="283"/>
              <w:rPr/>
            </w:pPr>
            <w:r>
              <w:rPr/>
              <w:t> </w:t>
            </w:r>
          </w:p>
        </w:tc>
      </w:tr>
      <w:tr>
        <w:trPr/>
        <w:tc>
          <w:tcPr>
            <w:tcW w:w="428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Pinos Altos mine (open pit)</w:t>
            </w:r>
          </w:p>
        </w:tc>
        <w:tc>
          <w:tcPr>
            <w:tcW w:w="266"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507" w:type="dxa"/>
            <w:tcBorders/>
            <w:shd w:fill="FFFFFF" w:val="clear"/>
            <w:vAlign w:val="bottom"/>
          </w:tcPr>
          <w:p>
            <w:pPr>
              <w:pStyle w:val="TableContents"/>
              <w:spacing w:before="0" w:after="283"/>
              <w:jc w:val="right"/>
              <w:rPr>
                <w:rFonts w:ascii="times" w:hAnsi="times"/>
                <w:sz w:val="20"/>
              </w:rPr>
            </w:pPr>
            <w:r>
              <w:rPr>
                <w:rFonts w:ascii="times" w:hAnsi="times"/>
                <w:sz w:val="20"/>
              </w:rPr>
              <w:t>457,000</w:t>
            </w:r>
          </w:p>
        </w:tc>
        <w:tc>
          <w:tcPr>
            <w:tcW w:w="266"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242" w:type="dxa"/>
            <w:tcBorders/>
            <w:shd w:fill="FFFFFF" w:val="clear"/>
            <w:vAlign w:val="bottom"/>
          </w:tcPr>
          <w:p>
            <w:pPr>
              <w:pStyle w:val="TableContents"/>
              <w:spacing w:before="0" w:after="283"/>
              <w:jc w:val="right"/>
              <w:rPr>
                <w:rFonts w:ascii="times" w:hAnsi="times"/>
                <w:sz w:val="20"/>
              </w:rPr>
            </w:pPr>
            <w:r>
              <w:rPr>
                <w:rFonts w:ascii="times" w:hAnsi="times"/>
                <w:sz w:val="20"/>
              </w:rPr>
              <w:t>0.93</w:t>
            </w:r>
          </w:p>
        </w:tc>
        <w:tc>
          <w:tcPr>
            <w:tcW w:w="266"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641" w:type="dxa"/>
            <w:tcBorders/>
            <w:shd w:fill="FFFFFF" w:val="clear"/>
            <w:vAlign w:val="bottom"/>
          </w:tcPr>
          <w:p>
            <w:pPr>
              <w:pStyle w:val="TableContents"/>
              <w:spacing w:before="0" w:after="283"/>
              <w:jc w:val="right"/>
              <w:rPr>
                <w:rFonts w:ascii="times" w:hAnsi="times"/>
                <w:sz w:val="20"/>
              </w:rPr>
            </w:pPr>
            <w:r>
              <w:rPr>
                <w:rFonts w:ascii="times" w:hAnsi="times"/>
                <w:sz w:val="20"/>
              </w:rPr>
              <w:t>14,000</w:t>
            </w:r>
          </w:p>
        </w:tc>
        <w:tc>
          <w:tcPr>
            <w:tcW w:w="266" w:type="dxa"/>
            <w:tcBorders/>
            <w:shd w:fill="FFFFFF" w:val="clear"/>
            <w:vAlign w:val="bottom"/>
          </w:tcPr>
          <w:p>
            <w:pPr>
              <w:pStyle w:val="TableContents"/>
              <w:spacing w:before="0" w:after="283"/>
              <w:rPr/>
            </w:pPr>
            <w:r>
              <w:rPr/>
              <w:t> </w:t>
            </w:r>
          </w:p>
        </w:tc>
      </w:tr>
      <w:tr>
        <w:trPr/>
        <w:tc>
          <w:tcPr>
            <w:tcW w:w="428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Pinos Altos mine (underground)</w:t>
            </w:r>
          </w:p>
        </w:tc>
        <w:tc>
          <w:tcPr>
            <w:tcW w:w="266"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507" w:type="dxa"/>
            <w:tcBorders/>
            <w:shd w:fill="CCEEFF" w:val="clear"/>
            <w:vAlign w:val="bottom"/>
          </w:tcPr>
          <w:p>
            <w:pPr>
              <w:pStyle w:val="TableContents"/>
              <w:spacing w:before="0" w:after="283"/>
              <w:jc w:val="right"/>
              <w:rPr>
                <w:rFonts w:ascii="times" w:hAnsi="times"/>
                <w:sz w:val="20"/>
              </w:rPr>
            </w:pPr>
            <w:r>
              <w:rPr>
                <w:rFonts w:ascii="times" w:hAnsi="times"/>
                <w:sz w:val="20"/>
              </w:rPr>
              <w:t>2,610,000</w:t>
            </w:r>
          </w:p>
        </w:tc>
        <w:tc>
          <w:tcPr>
            <w:tcW w:w="266"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42" w:type="dxa"/>
            <w:tcBorders/>
            <w:shd w:fill="CCEEFF" w:val="clear"/>
            <w:vAlign w:val="bottom"/>
          </w:tcPr>
          <w:p>
            <w:pPr>
              <w:pStyle w:val="TableContents"/>
              <w:spacing w:before="0" w:after="283"/>
              <w:jc w:val="right"/>
              <w:rPr>
                <w:rFonts w:ascii="times" w:hAnsi="times"/>
                <w:sz w:val="20"/>
              </w:rPr>
            </w:pPr>
            <w:r>
              <w:rPr>
                <w:rFonts w:ascii="times" w:hAnsi="times"/>
                <w:sz w:val="20"/>
              </w:rPr>
              <w:t>2.82</w:t>
            </w:r>
          </w:p>
        </w:tc>
        <w:tc>
          <w:tcPr>
            <w:tcW w:w="266"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641" w:type="dxa"/>
            <w:tcBorders/>
            <w:shd w:fill="CCEEFF" w:val="clear"/>
            <w:vAlign w:val="bottom"/>
          </w:tcPr>
          <w:p>
            <w:pPr>
              <w:pStyle w:val="TableContents"/>
              <w:spacing w:before="0" w:after="283"/>
              <w:jc w:val="right"/>
              <w:rPr>
                <w:rFonts w:ascii="times" w:hAnsi="times"/>
                <w:sz w:val="20"/>
              </w:rPr>
            </w:pPr>
            <w:r>
              <w:rPr>
                <w:rFonts w:ascii="times" w:hAnsi="times"/>
                <w:sz w:val="20"/>
              </w:rPr>
              <w:t>237,000</w:t>
            </w:r>
          </w:p>
        </w:tc>
        <w:tc>
          <w:tcPr>
            <w:tcW w:w="266" w:type="dxa"/>
            <w:tcBorders/>
            <w:shd w:fill="CCEEFF" w:val="clear"/>
            <w:vAlign w:val="bottom"/>
          </w:tcPr>
          <w:p>
            <w:pPr>
              <w:pStyle w:val="TableContents"/>
              <w:spacing w:before="0" w:after="283"/>
              <w:rPr/>
            </w:pPr>
            <w:r>
              <w:rPr/>
              <w:t> </w:t>
            </w:r>
          </w:p>
        </w:tc>
      </w:tr>
      <w:tr>
        <w:trPr/>
        <w:tc>
          <w:tcPr>
            <w:tcW w:w="428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Pinos Altos mine total proven</w:t>
            </w:r>
          </w:p>
        </w:tc>
        <w:tc>
          <w:tcPr>
            <w:tcW w:w="266"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507" w:type="dxa"/>
            <w:tcBorders/>
            <w:shd w:fill="FFFFFF" w:val="clear"/>
            <w:vAlign w:val="bottom"/>
          </w:tcPr>
          <w:p>
            <w:pPr>
              <w:pStyle w:val="TableContents"/>
              <w:spacing w:before="0" w:after="283"/>
              <w:jc w:val="right"/>
              <w:rPr>
                <w:rFonts w:ascii="times" w:hAnsi="times"/>
                <w:sz w:val="20"/>
              </w:rPr>
            </w:pPr>
            <w:r>
              <w:rPr>
                <w:rFonts w:ascii="times" w:hAnsi="times"/>
                <w:sz w:val="20"/>
              </w:rPr>
              <w:t>3,067,000</w:t>
            </w:r>
          </w:p>
        </w:tc>
        <w:tc>
          <w:tcPr>
            <w:tcW w:w="266"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242" w:type="dxa"/>
            <w:tcBorders/>
            <w:shd w:fill="FFFFFF" w:val="clear"/>
            <w:vAlign w:val="bottom"/>
          </w:tcPr>
          <w:p>
            <w:pPr>
              <w:pStyle w:val="TableContents"/>
              <w:spacing w:before="0" w:after="283"/>
              <w:jc w:val="right"/>
              <w:rPr>
                <w:rFonts w:ascii="times" w:hAnsi="times"/>
                <w:sz w:val="20"/>
              </w:rPr>
            </w:pPr>
            <w:r>
              <w:rPr>
                <w:rFonts w:ascii="times" w:hAnsi="times"/>
                <w:sz w:val="20"/>
              </w:rPr>
              <w:t>2.54</w:t>
            </w:r>
          </w:p>
        </w:tc>
        <w:tc>
          <w:tcPr>
            <w:tcW w:w="266"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641" w:type="dxa"/>
            <w:tcBorders/>
            <w:shd w:fill="FFFFFF" w:val="clear"/>
            <w:vAlign w:val="bottom"/>
          </w:tcPr>
          <w:p>
            <w:pPr>
              <w:pStyle w:val="TableContents"/>
              <w:spacing w:before="0" w:after="283"/>
              <w:jc w:val="right"/>
              <w:rPr>
                <w:rFonts w:ascii="times" w:hAnsi="times"/>
                <w:sz w:val="20"/>
              </w:rPr>
            </w:pPr>
            <w:r>
              <w:rPr>
                <w:rFonts w:ascii="times" w:hAnsi="times"/>
                <w:sz w:val="20"/>
              </w:rPr>
              <w:t>250,000</w:t>
            </w:r>
          </w:p>
        </w:tc>
        <w:tc>
          <w:tcPr>
            <w:tcW w:w="266" w:type="dxa"/>
            <w:tcBorders/>
            <w:shd w:fill="FFFFFF" w:val="clear"/>
            <w:vAlign w:val="bottom"/>
          </w:tcPr>
          <w:p>
            <w:pPr>
              <w:pStyle w:val="TableContents"/>
              <w:spacing w:before="0" w:after="283"/>
              <w:rPr/>
            </w:pPr>
            <w:r>
              <w:rPr/>
              <w:t> </w:t>
            </w:r>
          </w:p>
        </w:tc>
      </w:tr>
      <w:tr>
        <w:trPr/>
        <w:tc>
          <w:tcPr>
            <w:tcW w:w="428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Meadowbank mine (open pit)</w:t>
            </w:r>
          </w:p>
        </w:tc>
        <w:tc>
          <w:tcPr>
            <w:tcW w:w="266"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507" w:type="dxa"/>
            <w:tcBorders/>
            <w:shd w:fill="CCEEFF" w:val="clear"/>
            <w:vAlign w:val="bottom"/>
          </w:tcPr>
          <w:p>
            <w:pPr>
              <w:pStyle w:val="TableContents"/>
              <w:spacing w:before="0" w:after="283"/>
              <w:jc w:val="right"/>
              <w:rPr>
                <w:rFonts w:ascii="times" w:hAnsi="times"/>
                <w:sz w:val="20"/>
              </w:rPr>
            </w:pPr>
            <w:r>
              <w:rPr>
                <w:rFonts w:ascii="times" w:hAnsi="times"/>
                <w:sz w:val="20"/>
              </w:rPr>
              <w:t>1,764,000</w:t>
            </w:r>
          </w:p>
        </w:tc>
        <w:tc>
          <w:tcPr>
            <w:tcW w:w="266"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42" w:type="dxa"/>
            <w:tcBorders/>
            <w:shd w:fill="CCEEFF" w:val="clear"/>
            <w:vAlign w:val="bottom"/>
          </w:tcPr>
          <w:p>
            <w:pPr>
              <w:pStyle w:val="TableContents"/>
              <w:spacing w:before="0" w:after="283"/>
              <w:jc w:val="right"/>
              <w:rPr>
                <w:rFonts w:ascii="times" w:hAnsi="times"/>
                <w:sz w:val="20"/>
              </w:rPr>
            </w:pPr>
            <w:r>
              <w:rPr>
                <w:rFonts w:ascii="times" w:hAnsi="times"/>
                <w:sz w:val="20"/>
              </w:rPr>
              <w:t>1.56</w:t>
            </w:r>
          </w:p>
        </w:tc>
        <w:tc>
          <w:tcPr>
            <w:tcW w:w="266"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641" w:type="dxa"/>
            <w:tcBorders/>
            <w:shd w:fill="CCEEFF" w:val="clear"/>
            <w:vAlign w:val="bottom"/>
          </w:tcPr>
          <w:p>
            <w:pPr>
              <w:pStyle w:val="TableContents"/>
              <w:spacing w:before="0" w:after="283"/>
              <w:jc w:val="right"/>
              <w:rPr>
                <w:rFonts w:ascii="times" w:hAnsi="times"/>
                <w:sz w:val="20"/>
              </w:rPr>
            </w:pPr>
            <w:r>
              <w:rPr>
                <w:rFonts w:ascii="times" w:hAnsi="times"/>
                <w:sz w:val="20"/>
              </w:rPr>
              <w:t>88,000</w:t>
            </w:r>
          </w:p>
        </w:tc>
        <w:tc>
          <w:tcPr>
            <w:tcW w:w="266" w:type="dxa"/>
            <w:tcBorders/>
            <w:shd w:fill="CCEEFF" w:val="clear"/>
            <w:vAlign w:val="bottom"/>
          </w:tcPr>
          <w:p>
            <w:pPr>
              <w:pStyle w:val="TableContents"/>
              <w:spacing w:before="0" w:after="283"/>
              <w:rPr/>
            </w:pPr>
            <w:r>
              <w:rPr/>
              <w:t> </w:t>
            </w:r>
          </w:p>
        </w:tc>
      </w:tr>
      <w:tr>
        <w:trPr/>
        <w:tc>
          <w:tcPr>
            <w:tcW w:w="428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Meliadine project (open pit)</w:t>
            </w:r>
          </w:p>
        </w:tc>
        <w:tc>
          <w:tcPr>
            <w:tcW w:w="266"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507" w:type="dxa"/>
            <w:tcBorders/>
            <w:shd w:fill="FFFFFF" w:val="clear"/>
            <w:vAlign w:val="bottom"/>
          </w:tcPr>
          <w:p>
            <w:pPr>
              <w:pStyle w:val="TableContents"/>
              <w:spacing w:before="0" w:after="283"/>
              <w:jc w:val="right"/>
              <w:rPr>
                <w:rFonts w:ascii="times" w:hAnsi="times"/>
                <w:sz w:val="20"/>
              </w:rPr>
            </w:pPr>
            <w:r>
              <w:rPr>
                <w:rFonts w:ascii="times" w:hAnsi="times"/>
                <w:sz w:val="20"/>
              </w:rPr>
              <w:t>34,000</w:t>
            </w:r>
          </w:p>
        </w:tc>
        <w:tc>
          <w:tcPr>
            <w:tcW w:w="266"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242" w:type="dxa"/>
            <w:tcBorders/>
            <w:shd w:fill="FFFFFF" w:val="clear"/>
            <w:vAlign w:val="bottom"/>
          </w:tcPr>
          <w:p>
            <w:pPr>
              <w:pStyle w:val="TableContents"/>
              <w:spacing w:before="0" w:after="283"/>
              <w:jc w:val="right"/>
              <w:rPr>
                <w:rFonts w:ascii="times" w:hAnsi="times"/>
                <w:sz w:val="20"/>
              </w:rPr>
            </w:pPr>
            <w:r>
              <w:rPr>
                <w:rFonts w:ascii="times" w:hAnsi="times"/>
                <w:sz w:val="20"/>
              </w:rPr>
              <w:t>7.31</w:t>
            </w:r>
          </w:p>
        </w:tc>
        <w:tc>
          <w:tcPr>
            <w:tcW w:w="266"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641" w:type="dxa"/>
            <w:tcBorders/>
            <w:shd w:fill="FFFFFF" w:val="clear"/>
            <w:vAlign w:val="bottom"/>
          </w:tcPr>
          <w:p>
            <w:pPr>
              <w:pStyle w:val="TableContents"/>
              <w:spacing w:before="0" w:after="283"/>
              <w:jc w:val="right"/>
              <w:rPr>
                <w:rFonts w:ascii="times" w:hAnsi="times"/>
                <w:sz w:val="20"/>
              </w:rPr>
            </w:pPr>
            <w:r>
              <w:rPr>
                <w:rFonts w:ascii="times" w:hAnsi="times"/>
                <w:sz w:val="20"/>
              </w:rPr>
              <w:t>8,000</w:t>
            </w:r>
          </w:p>
        </w:tc>
        <w:tc>
          <w:tcPr>
            <w:tcW w:w="266" w:type="dxa"/>
            <w:tcBorders/>
            <w:shd w:fill="FFFFFF" w:val="clear"/>
            <w:vAlign w:val="bottom"/>
          </w:tcPr>
          <w:p>
            <w:pPr>
              <w:pStyle w:val="TableContents"/>
              <w:spacing w:before="0" w:after="283"/>
              <w:rPr/>
            </w:pPr>
            <w:r>
              <w:rPr/>
              <w:t> </w:t>
            </w:r>
          </w:p>
        </w:tc>
      </w:tr>
      <w:tr>
        <w:trPr/>
        <w:tc>
          <w:tcPr>
            <w:tcW w:w="4286"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66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66" w:type="dxa"/>
            <w:tcBorders/>
            <w:shd w:fill="auto" w:val="clear"/>
            <w:vAlign w:val="bottom"/>
          </w:tcPr>
          <w:p>
            <w:pPr>
              <w:pStyle w:val="TableContents"/>
              <w:spacing w:before="0" w:after="283"/>
              <w:rPr/>
            </w:pPr>
            <w:r>
              <w:rPr/>
              <w:t> </w:t>
            </w:r>
          </w:p>
        </w:tc>
        <w:tc>
          <w:tcPr>
            <w:tcW w:w="139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66" w:type="dxa"/>
            <w:tcBorders/>
            <w:shd w:fill="auto" w:val="clear"/>
            <w:vAlign w:val="bottom"/>
          </w:tcPr>
          <w:p>
            <w:pPr>
              <w:pStyle w:val="TableContents"/>
              <w:spacing w:before="0" w:after="283"/>
              <w:rPr/>
            </w:pPr>
            <w:r>
              <w:rPr/>
              <w:t> </w:t>
            </w:r>
          </w:p>
        </w:tc>
        <w:tc>
          <w:tcPr>
            <w:tcW w:w="179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66" w:type="dxa"/>
            <w:tcBorders/>
            <w:shd w:fill="auto" w:val="clear"/>
            <w:vAlign w:val="bottom"/>
          </w:tcPr>
          <w:p>
            <w:pPr>
              <w:pStyle w:val="TableContents"/>
              <w:spacing w:before="0" w:after="283"/>
              <w:rPr/>
            </w:pPr>
            <w:r>
              <w:rPr/>
              <w:t> </w:t>
            </w:r>
          </w:p>
        </w:tc>
      </w:tr>
      <w:tr>
        <w:trPr/>
        <w:tc>
          <w:tcPr>
            <w:tcW w:w="4286" w:type="dxa"/>
            <w:tcBorders/>
            <w:shd w:fill="CCEEFF" w:val="clear"/>
            <w:vAlign w:val="bottom"/>
          </w:tcPr>
          <w:p>
            <w:pPr>
              <w:pStyle w:val="TableContents"/>
              <w:spacing w:before="0" w:after="283"/>
              <w:ind w:left="200" w:right="0" w:hanging="200"/>
              <w:rPr>
                <w:rFonts w:ascii="times" w:hAnsi="times"/>
                <w:b/>
                <w:sz w:val="20"/>
              </w:rPr>
            </w:pPr>
            <w:r>
              <w:rPr>
                <w:rFonts w:ascii="times" w:hAnsi="times"/>
                <w:b/>
                <w:sz w:val="20"/>
              </w:rPr>
              <w:t>Total Proven Reserves</w:t>
            </w:r>
          </w:p>
        </w:tc>
        <w:tc>
          <w:tcPr>
            <w:tcW w:w="266"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507" w:type="dxa"/>
            <w:tcBorders/>
            <w:shd w:fill="CCEEFF" w:val="clear"/>
            <w:vAlign w:val="bottom"/>
          </w:tcPr>
          <w:p>
            <w:pPr>
              <w:pStyle w:val="TableContents"/>
              <w:spacing w:before="0" w:after="283"/>
              <w:jc w:val="right"/>
              <w:rPr>
                <w:rFonts w:ascii="times" w:hAnsi="times"/>
                <w:b/>
                <w:sz w:val="20"/>
              </w:rPr>
            </w:pPr>
            <w:r>
              <w:rPr>
                <w:rFonts w:ascii="times" w:hAnsi="times"/>
                <w:b/>
                <w:sz w:val="20"/>
              </w:rPr>
              <w:t>13,836,000</w:t>
            </w:r>
          </w:p>
        </w:tc>
        <w:tc>
          <w:tcPr>
            <w:tcW w:w="266"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42" w:type="dxa"/>
            <w:tcBorders/>
            <w:shd w:fill="CCEEFF" w:val="clear"/>
            <w:vAlign w:val="bottom"/>
          </w:tcPr>
          <w:p>
            <w:pPr>
              <w:pStyle w:val="TableContents"/>
              <w:spacing w:before="0" w:after="283"/>
              <w:jc w:val="right"/>
              <w:rPr>
                <w:rFonts w:ascii="times" w:hAnsi="times"/>
                <w:b/>
                <w:sz w:val="20"/>
              </w:rPr>
            </w:pPr>
            <w:r>
              <w:rPr>
                <w:rFonts w:ascii="times" w:hAnsi="times"/>
                <w:b/>
                <w:sz w:val="20"/>
              </w:rPr>
              <w:t>3.13</w:t>
            </w:r>
          </w:p>
        </w:tc>
        <w:tc>
          <w:tcPr>
            <w:tcW w:w="266"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641" w:type="dxa"/>
            <w:tcBorders/>
            <w:shd w:fill="CCEEFF" w:val="clear"/>
            <w:vAlign w:val="bottom"/>
          </w:tcPr>
          <w:p>
            <w:pPr>
              <w:pStyle w:val="TableContents"/>
              <w:spacing w:before="0" w:after="283"/>
              <w:jc w:val="right"/>
              <w:rPr>
                <w:rFonts w:ascii="times" w:hAnsi="times"/>
                <w:b/>
                <w:sz w:val="20"/>
              </w:rPr>
            </w:pPr>
            <w:r>
              <w:rPr>
                <w:rFonts w:ascii="times" w:hAnsi="times"/>
                <w:b/>
                <w:sz w:val="20"/>
              </w:rPr>
              <w:t>1,394,000</w:t>
            </w:r>
          </w:p>
        </w:tc>
        <w:tc>
          <w:tcPr>
            <w:tcW w:w="266" w:type="dxa"/>
            <w:tcBorders/>
            <w:shd w:fill="CCEEFF" w:val="clear"/>
            <w:vAlign w:val="bottom"/>
          </w:tcPr>
          <w:p>
            <w:pPr>
              <w:pStyle w:val="TableContents"/>
              <w:spacing w:before="0" w:after="283"/>
              <w:rPr/>
            </w:pPr>
            <w:r>
              <w:rPr/>
              <w:t> </w:t>
            </w:r>
          </w:p>
        </w:tc>
      </w:tr>
      <w:tr>
        <w:trPr/>
        <w:tc>
          <w:tcPr>
            <w:tcW w:w="4286"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66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66" w:type="dxa"/>
            <w:tcBorders/>
            <w:shd w:fill="auto" w:val="clear"/>
            <w:vAlign w:val="bottom"/>
          </w:tcPr>
          <w:p>
            <w:pPr>
              <w:pStyle w:val="TableContents"/>
              <w:spacing w:before="0" w:after="283"/>
              <w:rPr/>
            </w:pPr>
            <w:r>
              <w:rPr/>
              <w:t> </w:t>
            </w:r>
          </w:p>
        </w:tc>
        <w:tc>
          <w:tcPr>
            <w:tcW w:w="139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66" w:type="dxa"/>
            <w:tcBorders/>
            <w:shd w:fill="auto" w:val="clear"/>
            <w:vAlign w:val="bottom"/>
          </w:tcPr>
          <w:p>
            <w:pPr>
              <w:pStyle w:val="TableContents"/>
              <w:spacing w:before="0" w:after="283"/>
              <w:rPr/>
            </w:pPr>
            <w:r>
              <w:rPr/>
              <w:t> </w:t>
            </w:r>
          </w:p>
        </w:tc>
        <w:tc>
          <w:tcPr>
            <w:tcW w:w="179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66" w:type="dxa"/>
            <w:tcBorders/>
            <w:shd w:fill="auto" w:val="clear"/>
            <w:vAlign w:val="bottom"/>
          </w:tcPr>
          <w:p>
            <w:pPr>
              <w:pStyle w:val="TableContents"/>
              <w:spacing w:before="0" w:after="283"/>
              <w:rPr/>
            </w:pPr>
            <w:r>
              <w:rPr/>
              <w:t> </w:t>
            </w:r>
          </w:p>
        </w:tc>
      </w:tr>
    </w:tbl>
    <w:p>
      <w:pPr>
        <w:pStyle w:val="TextBody"/>
        <w:jc w:val="center"/>
        <w:rPr>
          <w:rFonts w:ascii="times" w:hAnsi="times"/>
          <w:sz w:val="20"/>
        </w:rPr>
      </w:pPr>
      <w:r>
        <w:rPr>
          <w:rFonts w:ascii="times" w:hAnsi="times"/>
          <w:sz w:val="20"/>
        </w:rPr>
        <w:t>11</w:t>
      </w:r>
    </w:p>
    <w:p>
      <w:pPr>
        <w:pStyle w:val="HorizontalLine"/>
        <w:pBdr>
          <w:bottom w:val="single" w:sz="20" w:space="0" w:color="808080"/>
        </w:pBdr>
        <w:rPr/>
      </w:pPr>
      <w:r>
        <w:rPr/>
      </w:r>
      <w:r>
        <w:br w:type="page"/>
      </w:r>
    </w:p>
    <w:p>
      <w:pPr>
        <w:pStyle w:val="Normal"/>
        <w:spacing w:before="0" w:after="0"/>
        <w:rPr>
          <w:sz w:val="4"/>
          <w:szCs w:val="4"/>
        </w:rPr>
      </w:pPr>
      <w:r>
        <w:rPr>
          <w:sz w:val="4"/>
          <w:szCs w:val="4"/>
        </w:rPr>
      </w:r>
      <w:bookmarkStart w:id="35" w:name="page_di48002_1_12"/>
      <w:bookmarkStart w:id="36" w:name="page_di48002_1_12"/>
      <w:bookmarkEnd w:id="36"/>
    </w:p>
    <w:tbl>
      <w:tblPr>
        <w:tblW w:w="5000" w:type="pct"/>
        <w:jc w:val="center"/>
        <w:tblInd w:w="0" w:type="dxa"/>
        <w:tblCellMar>
          <w:top w:w="0" w:type="dxa"/>
          <w:left w:w="0" w:type="dxa"/>
          <w:bottom w:w="0" w:type="dxa"/>
          <w:right w:w="0" w:type="dxa"/>
        </w:tblCellMar>
      </w:tblPr>
      <w:tblGrid>
        <w:gridCol w:w="4451"/>
        <w:gridCol w:w="256"/>
        <w:gridCol w:w="149"/>
        <w:gridCol w:w="1503"/>
        <w:gridCol w:w="256"/>
        <w:gridCol w:w="150"/>
        <w:gridCol w:w="1196"/>
        <w:gridCol w:w="257"/>
        <w:gridCol w:w="149"/>
        <w:gridCol w:w="1581"/>
        <w:gridCol w:w="257"/>
      </w:tblGrid>
      <w:tr>
        <w:trPr/>
        <w:tc>
          <w:tcPr>
            <w:tcW w:w="4451" w:type="dxa"/>
            <w:tcBorders/>
            <w:shd w:fill="auto" w:val="clear"/>
            <w:vAlign w:val="center"/>
          </w:tcPr>
          <w:p>
            <w:pPr>
              <w:pStyle w:val="TableContents"/>
              <w:spacing w:before="0" w:after="283"/>
              <w:rPr>
                <w:sz w:val="4"/>
                <w:szCs w:val="4"/>
              </w:rPr>
            </w:pPr>
            <w:r>
              <w:rPr>
                <w:sz w:val="4"/>
                <w:szCs w:val="4"/>
              </w:rPr>
            </w:r>
          </w:p>
        </w:tc>
        <w:tc>
          <w:tcPr>
            <w:tcW w:w="256" w:type="dxa"/>
            <w:tcBorders/>
            <w:shd w:fill="auto" w:val="clear"/>
            <w:vAlign w:val="center"/>
          </w:tcPr>
          <w:p>
            <w:pPr>
              <w:pStyle w:val="TableContents"/>
              <w:spacing w:before="0" w:after="283"/>
              <w:rPr>
                <w:sz w:val="4"/>
                <w:szCs w:val="4"/>
              </w:rPr>
            </w:pPr>
            <w:r>
              <w:rPr>
                <w:sz w:val="4"/>
                <w:szCs w:val="4"/>
              </w:rPr>
            </w:r>
          </w:p>
        </w:tc>
        <w:tc>
          <w:tcPr>
            <w:tcW w:w="149" w:type="dxa"/>
            <w:tcBorders/>
            <w:shd w:fill="auto" w:val="clear"/>
            <w:vAlign w:val="center"/>
          </w:tcPr>
          <w:p>
            <w:pPr>
              <w:pStyle w:val="TableContents"/>
              <w:spacing w:before="0" w:after="283"/>
              <w:rPr>
                <w:sz w:val="4"/>
                <w:szCs w:val="4"/>
              </w:rPr>
            </w:pPr>
            <w:r>
              <w:rPr>
                <w:sz w:val="4"/>
                <w:szCs w:val="4"/>
              </w:rPr>
            </w:r>
          </w:p>
        </w:tc>
        <w:tc>
          <w:tcPr>
            <w:tcW w:w="1503" w:type="dxa"/>
            <w:tcBorders/>
            <w:shd w:fill="auto" w:val="clear"/>
            <w:vAlign w:val="center"/>
          </w:tcPr>
          <w:p>
            <w:pPr>
              <w:pStyle w:val="TableContents"/>
              <w:spacing w:before="0" w:after="283"/>
              <w:rPr>
                <w:sz w:val="4"/>
                <w:szCs w:val="4"/>
              </w:rPr>
            </w:pPr>
            <w:r>
              <w:rPr>
                <w:sz w:val="4"/>
                <w:szCs w:val="4"/>
              </w:rPr>
            </w:r>
          </w:p>
        </w:tc>
        <w:tc>
          <w:tcPr>
            <w:tcW w:w="256" w:type="dxa"/>
            <w:tcBorders/>
            <w:shd w:fill="auto" w:val="clear"/>
            <w:vAlign w:val="center"/>
          </w:tcPr>
          <w:p>
            <w:pPr>
              <w:pStyle w:val="TableContents"/>
              <w:spacing w:before="0" w:after="283"/>
              <w:rPr>
                <w:sz w:val="4"/>
                <w:szCs w:val="4"/>
              </w:rPr>
            </w:pPr>
            <w:r>
              <w:rPr>
                <w:sz w:val="4"/>
                <w:szCs w:val="4"/>
              </w:rPr>
            </w:r>
          </w:p>
        </w:tc>
        <w:tc>
          <w:tcPr>
            <w:tcW w:w="150" w:type="dxa"/>
            <w:tcBorders/>
            <w:shd w:fill="auto" w:val="clear"/>
            <w:vAlign w:val="center"/>
          </w:tcPr>
          <w:p>
            <w:pPr>
              <w:pStyle w:val="TableContents"/>
              <w:spacing w:before="0" w:after="283"/>
              <w:rPr>
                <w:sz w:val="4"/>
                <w:szCs w:val="4"/>
              </w:rPr>
            </w:pPr>
            <w:r>
              <w:rPr>
                <w:sz w:val="4"/>
                <w:szCs w:val="4"/>
              </w:rPr>
            </w:r>
          </w:p>
        </w:tc>
        <w:tc>
          <w:tcPr>
            <w:tcW w:w="1196" w:type="dxa"/>
            <w:tcBorders/>
            <w:shd w:fill="auto" w:val="clear"/>
            <w:vAlign w:val="center"/>
          </w:tcPr>
          <w:p>
            <w:pPr>
              <w:pStyle w:val="TableContents"/>
              <w:spacing w:before="0" w:after="283"/>
              <w:rPr>
                <w:sz w:val="4"/>
                <w:szCs w:val="4"/>
              </w:rPr>
            </w:pPr>
            <w:r>
              <w:rPr>
                <w:sz w:val="4"/>
                <w:szCs w:val="4"/>
              </w:rPr>
            </w:r>
          </w:p>
        </w:tc>
        <w:tc>
          <w:tcPr>
            <w:tcW w:w="257" w:type="dxa"/>
            <w:tcBorders/>
            <w:shd w:fill="auto" w:val="clear"/>
            <w:vAlign w:val="center"/>
          </w:tcPr>
          <w:p>
            <w:pPr>
              <w:pStyle w:val="TableContents"/>
              <w:spacing w:before="0" w:after="283"/>
              <w:rPr>
                <w:sz w:val="4"/>
                <w:szCs w:val="4"/>
              </w:rPr>
            </w:pPr>
            <w:r>
              <w:rPr>
                <w:sz w:val="4"/>
                <w:szCs w:val="4"/>
              </w:rPr>
            </w:r>
          </w:p>
        </w:tc>
        <w:tc>
          <w:tcPr>
            <w:tcW w:w="149" w:type="dxa"/>
            <w:tcBorders/>
            <w:shd w:fill="auto" w:val="clear"/>
            <w:vAlign w:val="center"/>
          </w:tcPr>
          <w:p>
            <w:pPr>
              <w:pStyle w:val="TableContents"/>
              <w:spacing w:before="0" w:after="283"/>
              <w:rPr>
                <w:sz w:val="4"/>
                <w:szCs w:val="4"/>
              </w:rPr>
            </w:pPr>
            <w:r>
              <w:rPr>
                <w:sz w:val="4"/>
                <w:szCs w:val="4"/>
              </w:rPr>
            </w:r>
          </w:p>
        </w:tc>
        <w:tc>
          <w:tcPr>
            <w:tcW w:w="1581" w:type="dxa"/>
            <w:tcBorders/>
            <w:shd w:fill="auto" w:val="clear"/>
            <w:vAlign w:val="center"/>
          </w:tcPr>
          <w:p>
            <w:pPr>
              <w:pStyle w:val="TableContents"/>
              <w:spacing w:before="0" w:after="283"/>
              <w:rPr>
                <w:sz w:val="4"/>
                <w:szCs w:val="4"/>
              </w:rPr>
            </w:pPr>
            <w:r>
              <w:rPr>
                <w:sz w:val="4"/>
                <w:szCs w:val="4"/>
              </w:rPr>
            </w:r>
          </w:p>
        </w:tc>
        <w:tc>
          <w:tcPr>
            <w:tcW w:w="257" w:type="dxa"/>
            <w:tcBorders/>
            <w:shd w:fill="auto" w:val="clear"/>
            <w:vAlign w:val="center"/>
          </w:tcPr>
          <w:p>
            <w:pPr>
              <w:pStyle w:val="TableContents"/>
              <w:spacing w:before="0" w:after="283"/>
              <w:rPr>
                <w:sz w:val="4"/>
                <w:szCs w:val="4"/>
              </w:rPr>
            </w:pPr>
            <w:r>
              <w:rPr>
                <w:sz w:val="4"/>
                <w:szCs w:val="4"/>
              </w:rPr>
            </w:r>
          </w:p>
        </w:tc>
      </w:tr>
      <w:tr>
        <w:trPr/>
        <w:tc>
          <w:tcPr>
            <w:tcW w:w="4451" w:type="dxa"/>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Property </w:t>
            </w:r>
          </w:p>
        </w:tc>
        <w:tc>
          <w:tcPr>
            <w:tcW w:w="256" w:type="dxa"/>
            <w:tcBorders/>
            <w:shd w:fill="auto" w:val="clear"/>
            <w:vAlign w:val="bottom"/>
          </w:tcPr>
          <w:p>
            <w:pPr>
              <w:pStyle w:val="TableHeading"/>
              <w:suppressLineNumbers/>
              <w:spacing w:before="0" w:after="283"/>
              <w:jc w:val="center"/>
              <w:rPr/>
            </w:pPr>
            <w:r>
              <w:rPr/>
              <w:t> </w:t>
            </w:r>
          </w:p>
        </w:tc>
        <w:tc>
          <w:tcPr>
            <w:tcW w:w="1652"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Tonnes </w:t>
            </w:r>
          </w:p>
        </w:tc>
        <w:tc>
          <w:tcPr>
            <w:tcW w:w="256" w:type="dxa"/>
            <w:tcBorders/>
            <w:shd w:fill="auto" w:val="clear"/>
            <w:vAlign w:val="bottom"/>
          </w:tcPr>
          <w:p>
            <w:pPr>
              <w:pStyle w:val="TableHeading"/>
              <w:suppressLineNumbers/>
              <w:spacing w:before="0" w:after="283"/>
              <w:jc w:val="center"/>
              <w:rPr/>
            </w:pPr>
            <w:r>
              <w:rPr/>
              <w:t> </w:t>
            </w:r>
          </w:p>
        </w:tc>
        <w:tc>
          <w:tcPr>
            <w:tcW w:w="1346"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Gold Grade</w:t>
              <w:br/>
              <w:t xml:space="preserve">(g/t) </w:t>
            </w:r>
          </w:p>
        </w:tc>
        <w:tc>
          <w:tcPr>
            <w:tcW w:w="257" w:type="dxa"/>
            <w:tcBorders/>
            <w:shd w:fill="auto" w:val="clear"/>
            <w:vAlign w:val="bottom"/>
          </w:tcPr>
          <w:p>
            <w:pPr>
              <w:pStyle w:val="TableHeading"/>
              <w:suppressLineNumbers/>
              <w:spacing w:before="0" w:after="283"/>
              <w:jc w:val="center"/>
              <w:rPr/>
            </w:pPr>
            <w:r>
              <w:rPr/>
              <w:t> </w:t>
            </w:r>
          </w:p>
        </w:tc>
        <w:tc>
          <w:tcPr>
            <w:tcW w:w="173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Contained Gold</w:t>
              <w:br/>
              <w:t xml:space="preserve">(oz) </w:t>
            </w:r>
          </w:p>
        </w:tc>
        <w:tc>
          <w:tcPr>
            <w:tcW w:w="257" w:type="dxa"/>
            <w:tcBorders/>
            <w:shd w:fill="auto" w:val="clear"/>
            <w:vAlign w:val="bottom"/>
          </w:tcPr>
          <w:p>
            <w:pPr>
              <w:pStyle w:val="TableHeading"/>
              <w:suppressLineNumbers/>
              <w:spacing w:before="0" w:after="283"/>
              <w:jc w:val="center"/>
              <w:rPr/>
            </w:pPr>
            <w:r>
              <w:rPr/>
              <w:t> </w:t>
            </w:r>
          </w:p>
        </w:tc>
      </w:tr>
      <w:tr>
        <w:trPr/>
        <w:tc>
          <w:tcPr>
            <w:tcW w:w="4451" w:type="dxa"/>
            <w:tcBorders/>
            <w:shd w:fill="CCEEFF" w:val="clear"/>
            <w:vAlign w:val="bottom"/>
          </w:tcPr>
          <w:p>
            <w:pPr>
              <w:pStyle w:val="TableContents"/>
              <w:spacing w:before="0" w:after="283"/>
              <w:ind w:left="200" w:right="0" w:hanging="200"/>
              <w:rPr>
                <w:rFonts w:ascii="times" w:hAnsi="times"/>
                <w:i/>
                <w:sz w:val="20"/>
              </w:rPr>
            </w:pPr>
            <w:r>
              <w:rPr>
                <w:rFonts w:ascii="times" w:hAnsi="times"/>
                <w:i/>
                <w:sz w:val="20"/>
              </w:rPr>
              <w:t>Probable Reserves</w:t>
            </w:r>
          </w:p>
        </w:tc>
        <w:tc>
          <w:tcPr>
            <w:tcW w:w="256"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503"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196"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581"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r>
      <w:tr>
        <w:trPr/>
        <w:tc>
          <w:tcPr>
            <w:tcW w:w="4451"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LaRonde mine (underground)</w:t>
            </w:r>
          </w:p>
        </w:tc>
        <w:tc>
          <w:tcPr>
            <w:tcW w:w="256" w:type="dxa"/>
            <w:tcBorders/>
            <w:shd w:fill="FFFFFF" w:val="clear"/>
            <w:vAlign w:val="bottom"/>
          </w:tcPr>
          <w:p>
            <w:pPr>
              <w:pStyle w:val="TableContents"/>
              <w:spacing w:before="0" w:after="283"/>
              <w:rPr/>
            </w:pPr>
            <w:r>
              <w:rPr/>
              <w:t> </w:t>
            </w:r>
          </w:p>
        </w:tc>
        <w:tc>
          <w:tcPr>
            <w:tcW w:w="149" w:type="dxa"/>
            <w:tcBorders/>
            <w:shd w:fill="FFFFFF" w:val="clear"/>
            <w:vAlign w:val="bottom"/>
          </w:tcPr>
          <w:p>
            <w:pPr>
              <w:pStyle w:val="TableContents"/>
              <w:spacing w:before="0" w:after="283"/>
              <w:rPr/>
            </w:pPr>
            <w:r>
              <w:rPr/>
              <w:t> </w:t>
            </w:r>
          </w:p>
        </w:tc>
        <w:tc>
          <w:tcPr>
            <w:tcW w:w="1503" w:type="dxa"/>
            <w:tcBorders/>
            <w:shd w:fill="FFFFFF" w:val="clear"/>
            <w:vAlign w:val="bottom"/>
          </w:tcPr>
          <w:p>
            <w:pPr>
              <w:pStyle w:val="TableContents"/>
              <w:spacing w:before="0" w:after="283"/>
              <w:jc w:val="right"/>
              <w:rPr>
                <w:rFonts w:ascii="times" w:hAnsi="times"/>
                <w:sz w:val="20"/>
              </w:rPr>
            </w:pPr>
            <w:r>
              <w:rPr>
                <w:rFonts w:ascii="times" w:hAnsi="times"/>
                <w:sz w:val="20"/>
              </w:rPr>
              <w:t>22,462,000</w:t>
            </w:r>
          </w:p>
        </w:tc>
        <w:tc>
          <w:tcPr>
            <w:tcW w:w="256" w:type="dxa"/>
            <w:tcBorders/>
            <w:shd w:fill="FFFFFF" w:val="clear"/>
            <w:vAlign w:val="bottom"/>
          </w:tcPr>
          <w:p>
            <w:pPr>
              <w:pStyle w:val="TableContents"/>
              <w:spacing w:before="0" w:after="283"/>
              <w:rPr/>
            </w:pPr>
            <w:r>
              <w:rPr/>
              <w:t> </w:t>
            </w:r>
          </w:p>
        </w:tc>
        <w:tc>
          <w:tcPr>
            <w:tcW w:w="150" w:type="dxa"/>
            <w:tcBorders/>
            <w:shd w:fill="FFFFFF" w:val="clear"/>
            <w:vAlign w:val="bottom"/>
          </w:tcPr>
          <w:p>
            <w:pPr>
              <w:pStyle w:val="TableContents"/>
              <w:spacing w:before="0" w:after="283"/>
              <w:rPr/>
            </w:pPr>
            <w:r>
              <w:rPr/>
              <w:t> </w:t>
            </w:r>
          </w:p>
        </w:tc>
        <w:tc>
          <w:tcPr>
            <w:tcW w:w="1196" w:type="dxa"/>
            <w:tcBorders/>
            <w:shd w:fill="FFFFFF" w:val="clear"/>
            <w:vAlign w:val="bottom"/>
          </w:tcPr>
          <w:p>
            <w:pPr>
              <w:pStyle w:val="TableContents"/>
              <w:spacing w:before="0" w:after="283"/>
              <w:jc w:val="right"/>
              <w:rPr>
                <w:rFonts w:ascii="times" w:hAnsi="times"/>
                <w:sz w:val="20"/>
              </w:rPr>
            </w:pPr>
            <w:r>
              <w:rPr>
                <w:rFonts w:ascii="times" w:hAnsi="times"/>
                <w:sz w:val="20"/>
              </w:rPr>
              <w:t>4.99</w:t>
            </w:r>
          </w:p>
        </w:tc>
        <w:tc>
          <w:tcPr>
            <w:tcW w:w="257" w:type="dxa"/>
            <w:tcBorders/>
            <w:shd w:fill="FFFFFF" w:val="clear"/>
            <w:vAlign w:val="bottom"/>
          </w:tcPr>
          <w:p>
            <w:pPr>
              <w:pStyle w:val="TableContents"/>
              <w:spacing w:before="0" w:after="283"/>
              <w:rPr/>
            </w:pPr>
            <w:r>
              <w:rPr/>
              <w:t> </w:t>
            </w:r>
          </w:p>
        </w:tc>
        <w:tc>
          <w:tcPr>
            <w:tcW w:w="149" w:type="dxa"/>
            <w:tcBorders/>
            <w:shd w:fill="FFFFFF" w:val="clear"/>
            <w:vAlign w:val="bottom"/>
          </w:tcPr>
          <w:p>
            <w:pPr>
              <w:pStyle w:val="TableContents"/>
              <w:spacing w:before="0" w:after="283"/>
              <w:rPr/>
            </w:pPr>
            <w:r>
              <w:rPr/>
              <w:t> </w:t>
            </w:r>
          </w:p>
        </w:tc>
        <w:tc>
          <w:tcPr>
            <w:tcW w:w="1581" w:type="dxa"/>
            <w:tcBorders/>
            <w:shd w:fill="FFFFFF" w:val="clear"/>
            <w:vAlign w:val="bottom"/>
          </w:tcPr>
          <w:p>
            <w:pPr>
              <w:pStyle w:val="TableContents"/>
              <w:spacing w:before="0" w:after="283"/>
              <w:jc w:val="right"/>
              <w:rPr>
                <w:rFonts w:ascii="times" w:hAnsi="times"/>
                <w:sz w:val="20"/>
              </w:rPr>
            </w:pPr>
            <w:r>
              <w:rPr>
                <w:rFonts w:ascii="times" w:hAnsi="times"/>
                <w:sz w:val="20"/>
              </w:rPr>
              <w:t>3,604,000</w:t>
            </w:r>
          </w:p>
        </w:tc>
        <w:tc>
          <w:tcPr>
            <w:tcW w:w="257" w:type="dxa"/>
            <w:tcBorders/>
            <w:shd w:fill="FFFFFF" w:val="clear"/>
            <w:vAlign w:val="bottom"/>
          </w:tcPr>
          <w:p>
            <w:pPr>
              <w:pStyle w:val="TableContents"/>
              <w:spacing w:before="0" w:after="283"/>
              <w:rPr/>
            </w:pPr>
            <w:r>
              <w:rPr/>
              <w:t> </w:t>
            </w:r>
          </w:p>
        </w:tc>
      </w:tr>
      <w:tr>
        <w:trPr/>
        <w:tc>
          <w:tcPr>
            <w:tcW w:w="4451"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Bousquet (open pit)</w:t>
            </w:r>
          </w:p>
        </w:tc>
        <w:tc>
          <w:tcPr>
            <w:tcW w:w="256"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503" w:type="dxa"/>
            <w:tcBorders/>
            <w:shd w:fill="CCEEFF" w:val="clear"/>
            <w:vAlign w:val="bottom"/>
          </w:tcPr>
          <w:p>
            <w:pPr>
              <w:pStyle w:val="TableContents"/>
              <w:spacing w:before="0" w:after="283"/>
              <w:jc w:val="right"/>
              <w:rPr>
                <w:rFonts w:ascii="times" w:hAnsi="times"/>
                <w:sz w:val="20"/>
              </w:rPr>
            </w:pPr>
            <w:r>
              <w:rPr>
                <w:rFonts w:ascii="times" w:hAnsi="times"/>
                <w:sz w:val="20"/>
              </w:rPr>
              <w:t>2,943,000</w:t>
            </w:r>
          </w:p>
        </w:tc>
        <w:tc>
          <w:tcPr>
            <w:tcW w:w="256"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196" w:type="dxa"/>
            <w:tcBorders/>
            <w:shd w:fill="CCEEFF" w:val="clear"/>
            <w:vAlign w:val="bottom"/>
          </w:tcPr>
          <w:p>
            <w:pPr>
              <w:pStyle w:val="TableContents"/>
              <w:spacing w:before="0" w:after="283"/>
              <w:jc w:val="right"/>
              <w:rPr>
                <w:rFonts w:ascii="times" w:hAnsi="times"/>
                <w:sz w:val="20"/>
              </w:rPr>
            </w:pPr>
            <w:r>
              <w:rPr>
                <w:rFonts w:ascii="times" w:hAnsi="times"/>
                <w:sz w:val="20"/>
              </w:rPr>
              <w:t>1.88</w:t>
            </w:r>
          </w:p>
        </w:tc>
        <w:tc>
          <w:tcPr>
            <w:tcW w:w="257"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581" w:type="dxa"/>
            <w:tcBorders/>
            <w:shd w:fill="CCEEFF" w:val="clear"/>
            <w:vAlign w:val="bottom"/>
          </w:tcPr>
          <w:p>
            <w:pPr>
              <w:pStyle w:val="TableContents"/>
              <w:spacing w:before="0" w:after="283"/>
              <w:jc w:val="right"/>
              <w:rPr>
                <w:rFonts w:ascii="times" w:hAnsi="times"/>
                <w:sz w:val="20"/>
              </w:rPr>
            </w:pPr>
            <w:r>
              <w:rPr>
                <w:rFonts w:ascii="times" w:hAnsi="times"/>
                <w:sz w:val="20"/>
              </w:rPr>
              <w:t>178,000</w:t>
            </w:r>
          </w:p>
        </w:tc>
        <w:tc>
          <w:tcPr>
            <w:tcW w:w="257" w:type="dxa"/>
            <w:tcBorders/>
            <w:shd w:fill="CCEEFF" w:val="clear"/>
            <w:vAlign w:val="bottom"/>
          </w:tcPr>
          <w:p>
            <w:pPr>
              <w:pStyle w:val="TableContents"/>
              <w:spacing w:before="0" w:after="283"/>
              <w:rPr/>
            </w:pPr>
            <w:r>
              <w:rPr/>
              <w:t> </w:t>
            </w:r>
          </w:p>
        </w:tc>
      </w:tr>
      <w:tr>
        <w:trPr/>
        <w:tc>
          <w:tcPr>
            <w:tcW w:w="4451"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Lapa mine (underground)</w:t>
            </w:r>
          </w:p>
        </w:tc>
        <w:tc>
          <w:tcPr>
            <w:tcW w:w="256" w:type="dxa"/>
            <w:tcBorders/>
            <w:shd w:fill="FFFFFF" w:val="clear"/>
            <w:vAlign w:val="bottom"/>
          </w:tcPr>
          <w:p>
            <w:pPr>
              <w:pStyle w:val="TableContents"/>
              <w:spacing w:before="0" w:after="283"/>
              <w:rPr/>
            </w:pPr>
            <w:r>
              <w:rPr/>
              <w:t> </w:t>
            </w:r>
          </w:p>
        </w:tc>
        <w:tc>
          <w:tcPr>
            <w:tcW w:w="149" w:type="dxa"/>
            <w:tcBorders/>
            <w:shd w:fill="FFFFFF" w:val="clear"/>
            <w:vAlign w:val="bottom"/>
          </w:tcPr>
          <w:p>
            <w:pPr>
              <w:pStyle w:val="TableContents"/>
              <w:spacing w:before="0" w:after="283"/>
              <w:rPr/>
            </w:pPr>
            <w:r>
              <w:rPr/>
              <w:t> </w:t>
            </w:r>
          </w:p>
        </w:tc>
        <w:tc>
          <w:tcPr>
            <w:tcW w:w="1503" w:type="dxa"/>
            <w:tcBorders/>
            <w:shd w:fill="FFFFFF" w:val="clear"/>
            <w:vAlign w:val="bottom"/>
          </w:tcPr>
          <w:p>
            <w:pPr>
              <w:pStyle w:val="TableContents"/>
              <w:spacing w:before="0" w:after="283"/>
              <w:jc w:val="right"/>
              <w:rPr>
                <w:rFonts w:ascii="times" w:hAnsi="times"/>
                <w:sz w:val="20"/>
              </w:rPr>
            </w:pPr>
            <w:r>
              <w:rPr>
                <w:rFonts w:ascii="times" w:hAnsi="times"/>
                <w:sz w:val="20"/>
              </w:rPr>
              <w:t>939,000</w:t>
            </w:r>
          </w:p>
        </w:tc>
        <w:tc>
          <w:tcPr>
            <w:tcW w:w="256" w:type="dxa"/>
            <w:tcBorders/>
            <w:shd w:fill="FFFFFF" w:val="clear"/>
            <w:vAlign w:val="bottom"/>
          </w:tcPr>
          <w:p>
            <w:pPr>
              <w:pStyle w:val="TableContents"/>
              <w:spacing w:before="0" w:after="283"/>
              <w:rPr/>
            </w:pPr>
            <w:r>
              <w:rPr/>
              <w:t> </w:t>
            </w:r>
          </w:p>
        </w:tc>
        <w:tc>
          <w:tcPr>
            <w:tcW w:w="150" w:type="dxa"/>
            <w:tcBorders/>
            <w:shd w:fill="FFFFFF" w:val="clear"/>
            <w:vAlign w:val="bottom"/>
          </w:tcPr>
          <w:p>
            <w:pPr>
              <w:pStyle w:val="TableContents"/>
              <w:spacing w:before="0" w:after="283"/>
              <w:rPr/>
            </w:pPr>
            <w:r>
              <w:rPr/>
              <w:t> </w:t>
            </w:r>
          </w:p>
        </w:tc>
        <w:tc>
          <w:tcPr>
            <w:tcW w:w="1196" w:type="dxa"/>
            <w:tcBorders/>
            <w:shd w:fill="FFFFFF" w:val="clear"/>
            <w:vAlign w:val="bottom"/>
          </w:tcPr>
          <w:p>
            <w:pPr>
              <w:pStyle w:val="TableContents"/>
              <w:spacing w:before="0" w:after="283"/>
              <w:jc w:val="right"/>
              <w:rPr>
                <w:rFonts w:ascii="times" w:hAnsi="times"/>
                <w:sz w:val="20"/>
              </w:rPr>
            </w:pPr>
            <w:r>
              <w:rPr>
                <w:rFonts w:ascii="times" w:hAnsi="times"/>
                <w:sz w:val="20"/>
              </w:rPr>
              <w:t>5.58</w:t>
            </w:r>
          </w:p>
        </w:tc>
        <w:tc>
          <w:tcPr>
            <w:tcW w:w="257" w:type="dxa"/>
            <w:tcBorders/>
            <w:shd w:fill="FFFFFF" w:val="clear"/>
            <w:vAlign w:val="bottom"/>
          </w:tcPr>
          <w:p>
            <w:pPr>
              <w:pStyle w:val="TableContents"/>
              <w:spacing w:before="0" w:after="283"/>
              <w:rPr/>
            </w:pPr>
            <w:r>
              <w:rPr/>
              <w:t> </w:t>
            </w:r>
          </w:p>
        </w:tc>
        <w:tc>
          <w:tcPr>
            <w:tcW w:w="149" w:type="dxa"/>
            <w:tcBorders/>
            <w:shd w:fill="FFFFFF" w:val="clear"/>
            <w:vAlign w:val="bottom"/>
          </w:tcPr>
          <w:p>
            <w:pPr>
              <w:pStyle w:val="TableContents"/>
              <w:spacing w:before="0" w:after="283"/>
              <w:rPr/>
            </w:pPr>
            <w:r>
              <w:rPr/>
              <w:t> </w:t>
            </w:r>
          </w:p>
        </w:tc>
        <w:tc>
          <w:tcPr>
            <w:tcW w:w="1581" w:type="dxa"/>
            <w:tcBorders/>
            <w:shd w:fill="FFFFFF" w:val="clear"/>
            <w:vAlign w:val="bottom"/>
          </w:tcPr>
          <w:p>
            <w:pPr>
              <w:pStyle w:val="TableContents"/>
              <w:spacing w:before="0" w:after="283"/>
              <w:jc w:val="right"/>
              <w:rPr>
                <w:rFonts w:ascii="times" w:hAnsi="times"/>
                <w:sz w:val="20"/>
              </w:rPr>
            </w:pPr>
            <w:r>
              <w:rPr>
                <w:rFonts w:ascii="times" w:hAnsi="times"/>
                <w:sz w:val="20"/>
              </w:rPr>
              <w:t>168,000</w:t>
            </w:r>
          </w:p>
        </w:tc>
        <w:tc>
          <w:tcPr>
            <w:tcW w:w="257" w:type="dxa"/>
            <w:tcBorders/>
            <w:shd w:fill="FFFFFF" w:val="clear"/>
            <w:vAlign w:val="bottom"/>
          </w:tcPr>
          <w:p>
            <w:pPr>
              <w:pStyle w:val="TableContents"/>
              <w:spacing w:before="0" w:after="283"/>
              <w:rPr/>
            </w:pPr>
            <w:r>
              <w:rPr/>
              <w:t> </w:t>
            </w:r>
          </w:p>
        </w:tc>
      </w:tr>
      <w:tr>
        <w:trPr/>
        <w:tc>
          <w:tcPr>
            <w:tcW w:w="4451"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Goldex mine project (underground)</w:t>
            </w:r>
          </w:p>
        </w:tc>
        <w:tc>
          <w:tcPr>
            <w:tcW w:w="256"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503" w:type="dxa"/>
            <w:tcBorders/>
            <w:shd w:fill="CCEEFF" w:val="clear"/>
            <w:vAlign w:val="bottom"/>
          </w:tcPr>
          <w:p>
            <w:pPr>
              <w:pStyle w:val="TableContents"/>
              <w:spacing w:before="0" w:after="283"/>
              <w:jc w:val="right"/>
              <w:rPr>
                <w:rFonts w:ascii="times" w:hAnsi="times"/>
                <w:sz w:val="20"/>
              </w:rPr>
            </w:pPr>
            <w:r>
              <w:rPr>
                <w:rFonts w:ascii="times" w:hAnsi="times"/>
                <w:sz w:val="20"/>
              </w:rPr>
              <w:t>6,936,000</w:t>
            </w:r>
          </w:p>
        </w:tc>
        <w:tc>
          <w:tcPr>
            <w:tcW w:w="256"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196" w:type="dxa"/>
            <w:tcBorders/>
            <w:shd w:fill="CCEEFF" w:val="clear"/>
            <w:vAlign w:val="bottom"/>
          </w:tcPr>
          <w:p>
            <w:pPr>
              <w:pStyle w:val="TableContents"/>
              <w:spacing w:before="0" w:after="283"/>
              <w:jc w:val="right"/>
              <w:rPr>
                <w:rFonts w:ascii="times" w:hAnsi="times"/>
                <w:sz w:val="20"/>
              </w:rPr>
            </w:pPr>
            <w:r>
              <w:rPr>
                <w:rFonts w:ascii="times" w:hAnsi="times"/>
                <w:sz w:val="20"/>
              </w:rPr>
              <w:t>1.55</w:t>
            </w:r>
          </w:p>
        </w:tc>
        <w:tc>
          <w:tcPr>
            <w:tcW w:w="257"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581" w:type="dxa"/>
            <w:tcBorders/>
            <w:shd w:fill="CCEEFF" w:val="clear"/>
            <w:vAlign w:val="bottom"/>
          </w:tcPr>
          <w:p>
            <w:pPr>
              <w:pStyle w:val="TableContents"/>
              <w:spacing w:before="0" w:after="283"/>
              <w:jc w:val="right"/>
              <w:rPr>
                <w:rFonts w:ascii="times" w:hAnsi="times"/>
                <w:sz w:val="20"/>
              </w:rPr>
            </w:pPr>
            <w:r>
              <w:rPr>
                <w:rFonts w:ascii="times" w:hAnsi="times"/>
                <w:sz w:val="20"/>
              </w:rPr>
              <w:t>346,000</w:t>
            </w:r>
          </w:p>
        </w:tc>
        <w:tc>
          <w:tcPr>
            <w:tcW w:w="257" w:type="dxa"/>
            <w:tcBorders/>
            <w:shd w:fill="CCEEFF" w:val="clear"/>
            <w:vAlign w:val="bottom"/>
          </w:tcPr>
          <w:p>
            <w:pPr>
              <w:pStyle w:val="TableContents"/>
              <w:spacing w:before="0" w:after="283"/>
              <w:rPr/>
            </w:pPr>
            <w:r>
              <w:rPr/>
              <w:t> </w:t>
            </w:r>
          </w:p>
        </w:tc>
      </w:tr>
      <w:tr>
        <w:trPr/>
        <w:tc>
          <w:tcPr>
            <w:tcW w:w="4451"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Kittila mine (open pit)</w:t>
            </w:r>
          </w:p>
        </w:tc>
        <w:tc>
          <w:tcPr>
            <w:tcW w:w="256" w:type="dxa"/>
            <w:tcBorders/>
            <w:shd w:fill="FFFFFF" w:val="clear"/>
            <w:vAlign w:val="bottom"/>
          </w:tcPr>
          <w:p>
            <w:pPr>
              <w:pStyle w:val="TableContents"/>
              <w:spacing w:before="0" w:after="283"/>
              <w:rPr/>
            </w:pPr>
            <w:r>
              <w:rPr/>
              <w:t> </w:t>
            </w:r>
          </w:p>
        </w:tc>
        <w:tc>
          <w:tcPr>
            <w:tcW w:w="149" w:type="dxa"/>
            <w:tcBorders/>
            <w:shd w:fill="FFFFFF" w:val="clear"/>
            <w:vAlign w:val="bottom"/>
          </w:tcPr>
          <w:p>
            <w:pPr>
              <w:pStyle w:val="TableContents"/>
              <w:spacing w:before="0" w:after="283"/>
              <w:rPr/>
            </w:pPr>
            <w:r>
              <w:rPr/>
              <w:t> </w:t>
            </w:r>
          </w:p>
        </w:tc>
        <w:tc>
          <w:tcPr>
            <w:tcW w:w="1503" w:type="dxa"/>
            <w:tcBorders/>
            <w:shd w:fill="FFFFFF" w:val="clear"/>
            <w:vAlign w:val="bottom"/>
          </w:tcPr>
          <w:p>
            <w:pPr>
              <w:pStyle w:val="TableContents"/>
              <w:spacing w:before="0" w:after="283"/>
              <w:jc w:val="right"/>
              <w:rPr>
                <w:rFonts w:ascii="times" w:hAnsi="times"/>
                <w:sz w:val="20"/>
              </w:rPr>
            </w:pPr>
            <w:r>
              <w:rPr>
                <w:rFonts w:ascii="times" w:hAnsi="times"/>
                <w:sz w:val="20"/>
              </w:rPr>
              <w:t>182,000</w:t>
            </w:r>
          </w:p>
        </w:tc>
        <w:tc>
          <w:tcPr>
            <w:tcW w:w="256" w:type="dxa"/>
            <w:tcBorders/>
            <w:shd w:fill="FFFFFF" w:val="clear"/>
            <w:vAlign w:val="bottom"/>
          </w:tcPr>
          <w:p>
            <w:pPr>
              <w:pStyle w:val="TableContents"/>
              <w:spacing w:before="0" w:after="283"/>
              <w:rPr/>
            </w:pPr>
            <w:r>
              <w:rPr/>
              <w:t> </w:t>
            </w:r>
          </w:p>
        </w:tc>
        <w:tc>
          <w:tcPr>
            <w:tcW w:w="150" w:type="dxa"/>
            <w:tcBorders/>
            <w:shd w:fill="FFFFFF" w:val="clear"/>
            <w:vAlign w:val="bottom"/>
          </w:tcPr>
          <w:p>
            <w:pPr>
              <w:pStyle w:val="TableContents"/>
              <w:spacing w:before="0" w:after="283"/>
              <w:rPr/>
            </w:pPr>
            <w:r>
              <w:rPr/>
              <w:t> </w:t>
            </w:r>
          </w:p>
        </w:tc>
        <w:tc>
          <w:tcPr>
            <w:tcW w:w="1196" w:type="dxa"/>
            <w:tcBorders/>
            <w:shd w:fill="FFFFFF" w:val="clear"/>
            <w:vAlign w:val="bottom"/>
          </w:tcPr>
          <w:p>
            <w:pPr>
              <w:pStyle w:val="TableContents"/>
              <w:spacing w:before="0" w:after="283"/>
              <w:jc w:val="right"/>
              <w:rPr>
                <w:rFonts w:ascii="times" w:hAnsi="times"/>
                <w:sz w:val="20"/>
              </w:rPr>
            </w:pPr>
            <w:r>
              <w:rPr>
                <w:rFonts w:ascii="times" w:hAnsi="times"/>
                <w:sz w:val="20"/>
              </w:rPr>
              <w:t>3.51</w:t>
            </w:r>
          </w:p>
        </w:tc>
        <w:tc>
          <w:tcPr>
            <w:tcW w:w="257" w:type="dxa"/>
            <w:tcBorders/>
            <w:shd w:fill="FFFFFF" w:val="clear"/>
            <w:vAlign w:val="bottom"/>
          </w:tcPr>
          <w:p>
            <w:pPr>
              <w:pStyle w:val="TableContents"/>
              <w:spacing w:before="0" w:after="283"/>
              <w:rPr/>
            </w:pPr>
            <w:r>
              <w:rPr/>
              <w:t> </w:t>
            </w:r>
          </w:p>
        </w:tc>
        <w:tc>
          <w:tcPr>
            <w:tcW w:w="149" w:type="dxa"/>
            <w:tcBorders/>
            <w:shd w:fill="FFFFFF" w:val="clear"/>
            <w:vAlign w:val="bottom"/>
          </w:tcPr>
          <w:p>
            <w:pPr>
              <w:pStyle w:val="TableContents"/>
              <w:spacing w:before="0" w:after="283"/>
              <w:rPr/>
            </w:pPr>
            <w:r>
              <w:rPr/>
              <w:t> </w:t>
            </w:r>
          </w:p>
        </w:tc>
        <w:tc>
          <w:tcPr>
            <w:tcW w:w="1581" w:type="dxa"/>
            <w:tcBorders/>
            <w:shd w:fill="FFFFFF" w:val="clear"/>
            <w:vAlign w:val="bottom"/>
          </w:tcPr>
          <w:p>
            <w:pPr>
              <w:pStyle w:val="TableContents"/>
              <w:spacing w:before="0" w:after="283"/>
              <w:jc w:val="right"/>
              <w:rPr>
                <w:rFonts w:ascii="times" w:hAnsi="times"/>
                <w:sz w:val="20"/>
              </w:rPr>
            </w:pPr>
            <w:r>
              <w:rPr>
                <w:rFonts w:ascii="times" w:hAnsi="times"/>
                <w:sz w:val="20"/>
              </w:rPr>
              <w:t>21,000</w:t>
            </w:r>
          </w:p>
        </w:tc>
        <w:tc>
          <w:tcPr>
            <w:tcW w:w="257" w:type="dxa"/>
            <w:tcBorders/>
            <w:shd w:fill="FFFFFF" w:val="clear"/>
            <w:vAlign w:val="bottom"/>
          </w:tcPr>
          <w:p>
            <w:pPr>
              <w:pStyle w:val="TableContents"/>
              <w:spacing w:before="0" w:after="283"/>
              <w:rPr/>
            </w:pPr>
            <w:r>
              <w:rPr/>
              <w:t> </w:t>
            </w:r>
          </w:p>
        </w:tc>
      </w:tr>
      <w:tr>
        <w:trPr/>
        <w:tc>
          <w:tcPr>
            <w:tcW w:w="4451"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Kittila mine (underground)</w:t>
            </w:r>
          </w:p>
        </w:tc>
        <w:tc>
          <w:tcPr>
            <w:tcW w:w="256"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503" w:type="dxa"/>
            <w:tcBorders/>
            <w:shd w:fill="CCEEFF" w:val="clear"/>
            <w:vAlign w:val="bottom"/>
          </w:tcPr>
          <w:p>
            <w:pPr>
              <w:pStyle w:val="TableContents"/>
              <w:spacing w:before="0" w:after="283"/>
              <w:jc w:val="right"/>
              <w:rPr>
                <w:rFonts w:ascii="times" w:hAnsi="times"/>
                <w:sz w:val="20"/>
              </w:rPr>
            </w:pPr>
            <w:r>
              <w:rPr>
                <w:rFonts w:ascii="times" w:hAnsi="times"/>
                <w:sz w:val="20"/>
              </w:rPr>
              <w:t>31,480,000</w:t>
            </w:r>
          </w:p>
        </w:tc>
        <w:tc>
          <w:tcPr>
            <w:tcW w:w="256"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196" w:type="dxa"/>
            <w:tcBorders/>
            <w:shd w:fill="CCEEFF" w:val="clear"/>
            <w:vAlign w:val="bottom"/>
          </w:tcPr>
          <w:p>
            <w:pPr>
              <w:pStyle w:val="TableContents"/>
              <w:spacing w:before="0" w:after="283"/>
              <w:jc w:val="right"/>
              <w:rPr>
                <w:rFonts w:ascii="times" w:hAnsi="times"/>
                <w:sz w:val="20"/>
              </w:rPr>
            </w:pPr>
            <w:r>
              <w:rPr>
                <w:rFonts w:ascii="times" w:hAnsi="times"/>
                <w:sz w:val="20"/>
              </w:rPr>
              <w:t>4.49</w:t>
            </w:r>
          </w:p>
        </w:tc>
        <w:tc>
          <w:tcPr>
            <w:tcW w:w="257"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581" w:type="dxa"/>
            <w:tcBorders/>
            <w:shd w:fill="CCEEFF" w:val="clear"/>
            <w:vAlign w:val="bottom"/>
          </w:tcPr>
          <w:p>
            <w:pPr>
              <w:pStyle w:val="TableContents"/>
              <w:spacing w:before="0" w:after="283"/>
              <w:jc w:val="right"/>
              <w:rPr>
                <w:rFonts w:ascii="times" w:hAnsi="times"/>
                <w:sz w:val="20"/>
              </w:rPr>
            </w:pPr>
            <w:r>
              <w:rPr>
                <w:rFonts w:ascii="times" w:hAnsi="times"/>
                <w:sz w:val="20"/>
              </w:rPr>
              <w:t>4,547,000</w:t>
            </w:r>
          </w:p>
        </w:tc>
        <w:tc>
          <w:tcPr>
            <w:tcW w:w="257" w:type="dxa"/>
            <w:tcBorders/>
            <w:shd w:fill="CCEEFF" w:val="clear"/>
            <w:vAlign w:val="bottom"/>
          </w:tcPr>
          <w:p>
            <w:pPr>
              <w:pStyle w:val="TableContents"/>
              <w:spacing w:before="0" w:after="283"/>
              <w:rPr/>
            </w:pPr>
            <w:r>
              <w:rPr/>
              <w:t> </w:t>
            </w:r>
          </w:p>
        </w:tc>
      </w:tr>
      <w:tr>
        <w:trPr/>
        <w:tc>
          <w:tcPr>
            <w:tcW w:w="4451"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Kittila mine total probable</w:t>
            </w:r>
          </w:p>
        </w:tc>
        <w:tc>
          <w:tcPr>
            <w:tcW w:w="256" w:type="dxa"/>
            <w:tcBorders/>
            <w:shd w:fill="FFFFFF" w:val="clear"/>
            <w:vAlign w:val="bottom"/>
          </w:tcPr>
          <w:p>
            <w:pPr>
              <w:pStyle w:val="TableContents"/>
              <w:spacing w:before="0" w:after="283"/>
              <w:rPr/>
            </w:pPr>
            <w:r>
              <w:rPr/>
              <w:t> </w:t>
            </w:r>
          </w:p>
        </w:tc>
        <w:tc>
          <w:tcPr>
            <w:tcW w:w="149" w:type="dxa"/>
            <w:tcBorders/>
            <w:shd w:fill="FFFFFF" w:val="clear"/>
            <w:vAlign w:val="bottom"/>
          </w:tcPr>
          <w:p>
            <w:pPr>
              <w:pStyle w:val="TableContents"/>
              <w:spacing w:before="0" w:after="283"/>
              <w:rPr/>
            </w:pPr>
            <w:r>
              <w:rPr/>
              <w:t> </w:t>
            </w:r>
          </w:p>
        </w:tc>
        <w:tc>
          <w:tcPr>
            <w:tcW w:w="1503" w:type="dxa"/>
            <w:tcBorders/>
            <w:shd w:fill="FFFFFF" w:val="clear"/>
            <w:vAlign w:val="bottom"/>
          </w:tcPr>
          <w:p>
            <w:pPr>
              <w:pStyle w:val="TableContents"/>
              <w:spacing w:before="0" w:after="283"/>
              <w:jc w:val="right"/>
              <w:rPr>
                <w:rFonts w:ascii="times" w:hAnsi="times"/>
                <w:sz w:val="20"/>
              </w:rPr>
            </w:pPr>
            <w:r>
              <w:rPr>
                <w:rFonts w:ascii="times" w:hAnsi="times"/>
                <w:sz w:val="20"/>
              </w:rPr>
              <w:t>31,662,000</w:t>
            </w:r>
          </w:p>
        </w:tc>
        <w:tc>
          <w:tcPr>
            <w:tcW w:w="256" w:type="dxa"/>
            <w:tcBorders/>
            <w:shd w:fill="FFFFFF" w:val="clear"/>
            <w:vAlign w:val="bottom"/>
          </w:tcPr>
          <w:p>
            <w:pPr>
              <w:pStyle w:val="TableContents"/>
              <w:spacing w:before="0" w:after="283"/>
              <w:rPr/>
            </w:pPr>
            <w:r>
              <w:rPr/>
              <w:t> </w:t>
            </w:r>
          </w:p>
        </w:tc>
        <w:tc>
          <w:tcPr>
            <w:tcW w:w="150" w:type="dxa"/>
            <w:tcBorders/>
            <w:shd w:fill="FFFFFF" w:val="clear"/>
            <w:vAlign w:val="bottom"/>
          </w:tcPr>
          <w:p>
            <w:pPr>
              <w:pStyle w:val="TableContents"/>
              <w:spacing w:before="0" w:after="283"/>
              <w:rPr/>
            </w:pPr>
            <w:r>
              <w:rPr/>
              <w:t> </w:t>
            </w:r>
          </w:p>
        </w:tc>
        <w:tc>
          <w:tcPr>
            <w:tcW w:w="1196" w:type="dxa"/>
            <w:tcBorders/>
            <w:shd w:fill="FFFFFF" w:val="clear"/>
            <w:vAlign w:val="bottom"/>
          </w:tcPr>
          <w:p>
            <w:pPr>
              <w:pStyle w:val="TableContents"/>
              <w:spacing w:before="0" w:after="283"/>
              <w:jc w:val="right"/>
              <w:rPr>
                <w:rFonts w:ascii="times" w:hAnsi="times"/>
                <w:sz w:val="20"/>
              </w:rPr>
            </w:pPr>
            <w:r>
              <w:rPr>
                <w:rFonts w:ascii="times" w:hAnsi="times"/>
                <w:sz w:val="20"/>
              </w:rPr>
              <w:t>4.49</w:t>
            </w:r>
          </w:p>
        </w:tc>
        <w:tc>
          <w:tcPr>
            <w:tcW w:w="257" w:type="dxa"/>
            <w:tcBorders/>
            <w:shd w:fill="FFFFFF" w:val="clear"/>
            <w:vAlign w:val="bottom"/>
          </w:tcPr>
          <w:p>
            <w:pPr>
              <w:pStyle w:val="TableContents"/>
              <w:spacing w:before="0" w:after="283"/>
              <w:rPr/>
            </w:pPr>
            <w:r>
              <w:rPr/>
              <w:t> </w:t>
            </w:r>
          </w:p>
        </w:tc>
        <w:tc>
          <w:tcPr>
            <w:tcW w:w="149" w:type="dxa"/>
            <w:tcBorders/>
            <w:shd w:fill="FFFFFF" w:val="clear"/>
            <w:vAlign w:val="bottom"/>
          </w:tcPr>
          <w:p>
            <w:pPr>
              <w:pStyle w:val="TableContents"/>
              <w:spacing w:before="0" w:after="283"/>
              <w:rPr/>
            </w:pPr>
            <w:r>
              <w:rPr/>
              <w:t> </w:t>
            </w:r>
          </w:p>
        </w:tc>
        <w:tc>
          <w:tcPr>
            <w:tcW w:w="1581" w:type="dxa"/>
            <w:tcBorders/>
            <w:shd w:fill="FFFFFF" w:val="clear"/>
            <w:vAlign w:val="bottom"/>
          </w:tcPr>
          <w:p>
            <w:pPr>
              <w:pStyle w:val="TableContents"/>
              <w:spacing w:before="0" w:after="283"/>
              <w:jc w:val="right"/>
              <w:rPr>
                <w:rFonts w:ascii="times" w:hAnsi="times"/>
                <w:sz w:val="20"/>
              </w:rPr>
            </w:pPr>
            <w:r>
              <w:rPr>
                <w:rFonts w:ascii="times" w:hAnsi="times"/>
                <w:sz w:val="20"/>
              </w:rPr>
              <w:t>4,567,000</w:t>
            </w:r>
          </w:p>
        </w:tc>
        <w:tc>
          <w:tcPr>
            <w:tcW w:w="257" w:type="dxa"/>
            <w:tcBorders/>
            <w:shd w:fill="FFFFFF" w:val="clear"/>
            <w:vAlign w:val="bottom"/>
          </w:tcPr>
          <w:p>
            <w:pPr>
              <w:pStyle w:val="TableContents"/>
              <w:spacing w:before="0" w:after="283"/>
              <w:rPr/>
            </w:pPr>
            <w:r>
              <w:rPr/>
              <w:t> </w:t>
            </w:r>
          </w:p>
        </w:tc>
      </w:tr>
      <w:tr>
        <w:trPr/>
        <w:tc>
          <w:tcPr>
            <w:tcW w:w="4451"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Pinos Altos mine (open pit)</w:t>
            </w:r>
          </w:p>
        </w:tc>
        <w:tc>
          <w:tcPr>
            <w:tcW w:w="256"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503" w:type="dxa"/>
            <w:tcBorders/>
            <w:shd w:fill="CCEEFF" w:val="clear"/>
            <w:vAlign w:val="bottom"/>
          </w:tcPr>
          <w:p>
            <w:pPr>
              <w:pStyle w:val="TableContents"/>
              <w:spacing w:before="0" w:after="283"/>
              <w:jc w:val="right"/>
              <w:rPr>
                <w:rFonts w:ascii="times" w:hAnsi="times"/>
                <w:sz w:val="20"/>
              </w:rPr>
            </w:pPr>
            <w:r>
              <w:rPr>
                <w:rFonts w:ascii="times" w:hAnsi="times"/>
                <w:sz w:val="20"/>
              </w:rPr>
              <w:t>15,692,000</w:t>
            </w:r>
          </w:p>
        </w:tc>
        <w:tc>
          <w:tcPr>
            <w:tcW w:w="256"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196" w:type="dxa"/>
            <w:tcBorders/>
            <w:shd w:fill="CCEEFF" w:val="clear"/>
            <w:vAlign w:val="bottom"/>
          </w:tcPr>
          <w:p>
            <w:pPr>
              <w:pStyle w:val="TableContents"/>
              <w:spacing w:before="0" w:after="283"/>
              <w:jc w:val="right"/>
              <w:rPr>
                <w:rFonts w:ascii="times" w:hAnsi="times"/>
                <w:sz w:val="20"/>
              </w:rPr>
            </w:pPr>
            <w:r>
              <w:rPr>
                <w:rFonts w:ascii="times" w:hAnsi="times"/>
                <w:sz w:val="20"/>
              </w:rPr>
              <w:t>1.75</w:t>
            </w:r>
          </w:p>
        </w:tc>
        <w:tc>
          <w:tcPr>
            <w:tcW w:w="257"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581" w:type="dxa"/>
            <w:tcBorders/>
            <w:shd w:fill="CCEEFF" w:val="clear"/>
            <w:vAlign w:val="bottom"/>
          </w:tcPr>
          <w:p>
            <w:pPr>
              <w:pStyle w:val="TableContents"/>
              <w:spacing w:before="0" w:after="283"/>
              <w:jc w:val="right"/>
              <w:rPr>
                <w:rFonts w:ascii="times" w:hAnsi="times"/>
                <w:sz w:val="20"/>
              </w:rPr>
            </w:pPr>
            <w:r>
              <w:rPr>
                <w:rFonts w:ascii="times" w:hAnsi="times"/>
                <w:sz w:val="20"/>
              </w:rPr>
              <w:t>884,000</w:t>
            </w:r>
          </w:p>
        </w:tc>
        <w:tc>
          <w:tcPr>
            <w:tcW w:w="257" w:type="dxa"/>
            <w:tcBorders/>
            <w:shd w:fill="CCEEFF" w:val="clear"/>
            <w:vAlign w:val="bottom"/>
          </w:tcPr>
          <w:p>
            <w:pPr>
              <w:pStyle w:val="TableContents"/>
              <w:spacing w:before="0" w:after="283"/>
              <w:rPr/>
            </w:pPr>
            <w:r>
              <w:rPr/>
              <w:t> </w:t>
            </w:r>
          </w:p>
        </w:tc>
      </w:tr>
      <w:tr>
        <w:trPr/>
        <w:tc>
          <w:tcPr>
            <w:tcW w:w="4451"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Pinos Altos mine (underground)</w:t>
            </w:r>
          </w:p>
        </w:tc>
        <w:tc>
          <w:tcPr>
            <w:tcW w:w="256" w:type="dxa"/>
            <w:tcBorders/>
            <w:shd w:fill="FFFFFF" w:val="clear"/>
            <w:vAlign w:val="bottom"/>
          </w:tcPr>
          <w:p>
            <w:pPr>
              <w:pStyle w:val="TableContents"/>
              <w:spacing w:before="0" w:after="283"/>
              <w:rPr/>
            </w:pPr>
            <w:r>
              <w:rPr/>
              <w:t> </w:t>
            </w:r>
          </w:p>
        </w:tc>
        <w:tc>
          <w:tcPr>
            <w:tcW w:w="149" w:type="dxa"/>
            <w:tcBorders/>
            <w:shd w:fill="FFFFFF" w:val="clear"/>
            <w:vAlign w:val="bottom"/>
          </w:tcPr>
          <w:p>
            <w:pPr>
              <w:pStyle w:val="TableContents"/>
              <w:spacing w:before="0" w:after="283"/>
              <w:rPr/>
            </w:pPr>
            <w:r>
              <w:rPr/>
              <w:t> </w:t>
            </w:r>
          </w:p>
        </w:tc>
        <w:tc>
          <w:tcPr>
            <w:tcW w:w="1503" w:type="dxa"/>
            <w:tcBorders/>
            <w:shd w:fill="FFFFFF" w:val="clear"/>
            <w:vAlign w:val="bottom"/>
          </w:tcPr>
          <w:p>
            <w:pPr>
              <w:pStyle w:val="TableContents"/>
              <w:spacing w:before="0" w:after="283"/>
              <w:jc w:val="right"/>
              <w:rPr>
                <w:rFonts w:ascii="times" w:hAnsi="times"/>
                <w:sz w:val="20"/>
              </w:rPr>
            </w:pPr>
            <w:r>
              <w:rPr>
                <w:rFonts w:ascii="times" w:hAnsi="times"/>
                <w:sz w:val="20"/>
              </w:rPr>
              <w:t>19,382,000</w:t>
            </w:r>
          </w:p>
        </w:tc>
        <w:tc>
          <w:tcPr>
            <w:tcW w:w="256" w:type="dxa"/>
            <w:tcBorders/>
            <w:shd w:fill="FFFFFF" w:val="clear"/>
            <w:vAlign w:val="bottom"/>
          </w:tcPr>
          <w:p>
            <w:pPr>
              <w:pStyle w:val="TableContents"/>
              <w:spacing w:before="0" w:after="283"/>
              <w:rPr/>
            </w:pPr>
            <w:r>
              <w:rPr/>
              <w:t> </w:t>
            </w:r>
          </w:p>
        </w:tc>
        <w:tc>
          <w:tcPr>
            <w:tcW w:w="150" w:type="dxa"/>
            <w:tcBorders/>
            <w:shd w:fill="FFFFFF" w:val="clear"/>
            <w:vAlign w:val="bottom"/>
          </w:tcPr>
          <w:p>
            <w:pPr>
              <w:pStyle w:val="TableContents"/>
              <w:spacing w:before="0" w:after="283"/>
              <w:rPr/>
            </w:pPr>
            <w:r>
              <w:rPr/>
              <w:t> </w:t>
            </w:r>
          </w:p>
        </w:tc>
        <w:tc>
          <w:tcPr>
            <w:tcW w:w="1196" w:type="dxa"/>
            <w:tcBorders/>
            <w:shd w:fill="FFFFFF" w:val="clear"/>
            <w:vAlign w:val="bottom"/>
          </w:tcPr>
          <w:p>
            <w:pPr>
              <w:pStyle w:val="TableContents"/>
              <w:spacing w:before="0" w:after="283"/>
              <w:jc w:val="right"/>
              <w:rPr>
                <w:rFonts w:ascii="times" w:hAnsi="times"/>
                <w:sz w:val="20"/>
              </w:rPr>
            </w:pPr>
            <w:r>
              <w:rPr>
                <w:rFonts w:ascii="times" w:hAnsi="times"/>
                <w:sz w:val="20"/>
              </w:rPr>
              <w:t>2.54</w:t>
            </w:r>
          </w:p>
        </w:tc>
        <w:tc>
          <w:tcPr>
            <w:tcW w:w="257" w:type="dxa"/>
            <w:tcBorders/>
            <w:shd w:fill="FFFFFF" w:val="clear"/>
            <w:vAlign w:val="bottom"/>
          </w:tcPr>
          <w:p>
            <w:pPr>
              <w:pStyle w:val="TableContents"/>
              <w:spacing w:before="0" w:after="283"/>
              <w:rPr/>
            </w:pPr>
            <w:r>
              <w:rPr/>
              <w:t> </w:t>
            </w:r>
          </w:p>
        </w:tc>
        <w:tc>
          <w:tcPr>
            <w:tcW w:w="149" w:type="dxa"/>
            <w:tcBorders/>
            <w:shd w:fill="FFFFFF" w:val="clear"/>
            <w:vAlign w:val="bottom"/>
          </w:tcPr>
          <w:p>
            <w:pPr>
              <w:pStyle w:val="TableContents"/>
              <w:spacing w:before="0" w:after="283"/>
              <w:rPr/>
            </w:pPr>
            <w:r>
              <w:rPr/>
              <w:t> </w:t>
            </w:r>
          </w:p>
        </w:tc>
        <w:tc>
          <w:tcPr>
            <w:tcW w:w="1581" w:type="dxa"/>
            <w:tcBorders/>
            <w:shd w:fill="FFFFFF" w:val="clear"/>
            <w:vAlign w:val="bottom"/>
          </w:tcPr>
          <w:p>
            <w:pPr>
              <w:pStyle w:val="TableContents"/>
              <w:spacing w:before="0" w:after="283"/>
              <w:jc w:val="right"/>
              <w:rPr>
                <w:rFonts w:ascii="times" w:hAnsi="times"/>
                <w:sz w:val="20"/>
              </w:rPr>
            </w:pPr>
            <w:r>
              <w:rPr>
                <w:rFonts w:ascii="times" w:hAnsi="times"/>
                <w:sz w:val="20"/>
              </w:rPr>
              <w:t>1,580,000</w:t>
            </w:r>
          </w:p>
        </w:tc>
        <w:tc>
          <w:tcPr>
            <w:tcW w:w="257" w:type="dxa"/>
            <w:tcBorders/>
            <w:shd w:fill="FFFFFF" w:val="clear"/>
            <w:vAlign w:val="bottom"/>
          </w:tcPr>
          <w:p>
            <w:pPr>
              <w:pStyle w:val="TableContents"/>
              <w:spacing w:before="0" w:after="283"/>
              <w:rPr/>
            </w:pPr>
            <w:r>
              <w:rPr/>
              <w:t> </w:t>
            </w:r>
          </w:p>
        </w:tc>
      </w:tr>
      <w:tr>
        <w:trPr/>
        <w:tc>
          <w:tcPr>
            <w:tcW w:w="4451"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Pinos Altos mine total probable</w:t>
            </w:r>
          </w:p>
        </w:tc>
        <w:tc>
          <w:tcPr>
            <w:tcW w:w="256"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503" w:type="dxa"/>
            <w:tcBorders/>
            <w:shd w:fill="CCEEFF" w:val="clear"/>
            <w:vAlign w:val="bottom"/>
          </w:tcPr>
          <w:p>
            <w:pPr>
              <w:pStyle w:val="TableContents"/>
              <w:spacing w:before="0" w:after="283"/>
              <w:jc w:val="right"/>
              <w:rPr>
                <w:rFonts w:ascii="times" w:hAnsi="times"/>
                <w:sz w:val="20"/>
              </w:rPr>
            </w:pPr>
            <w:r>
              <w:rPr>
                <w:rFonts w:ascii="times" w:hAnsi="times"/>
                <w:sz w:val="20"/>
              </w:rPr>
              <w:t>35,074,000</w:t>
            </w:r>
          </w:p>
        </w:tc>
        <w:tc>
          <w:tcPr>
            <w:tcW w:w="256"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196" w:type="dxa"/>
            <w:tcBorders/>
            <w:shd w:fill="CCEEFF" w:val="clear"/>
            <w:vAlign w:val="bottom"/>
          </w:tcPr>
          <w:p>
            <w:pPr>
              <w:pStyle w:val="TableContents"/>
              <w:spacing w:before="0" w:after="283"/>
              <w:jc w:val="right"/>
              <w:rPr>
                <w:rFonts w:ascii="times" w:hAnsi="times"/>
                <w:sz w:val="20"/>
              </w:rPr>
            </w:pPr>
            <w:r>
              <w:rPr>
                <w:rFonts w:ascii="times" w:hAnsi="times"/>
                <w:sz w:val="20"/>
              </w:rPr>
              <w:t>2.18</w:t>
            </w:r>
          </w:p>
        </w:tc>
        <w:tc>
          <w:tcPr>
            <w:tcW w:w="257"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581" w:type="dxa"/>
            <w:tcBorders/>
            <w:shd w:fill="CCEEFF" w:val="clear"/>
            <w:vAlign w:val="bottom"/>
          </w:tcPr>
          <w:p>
            <w:pPr>
              <w:pStyle w:val="TableContents"/>
              <w:spacing w:before="0" w:after="283"/>
              <w:jc w:val="right"/>
              <w:rPr>
                <w:rFonts w:ascii="times" w:hAnsi="times"/>
                <w:sz w:val="20"/>
              </w:rPr>
            </w:pPr>
            <w:r>
              <w:rPr>
                <w:rFonts w:ascii="times" w:hAnsi="times"/>
                <w:sz w:val="20"/>
              </w:rPr>
              <w:t>2,464,000</w:t>
            </w:r>
          </w:p>
        </w:tc>
        <w:tc>
          <w:tcPr>
            <w:tcW w:w="257" w:type="dxa"/>
            <w:tcBorders/>
            <w:shd w:fill="CCEEFF" w:val="clear"/>
            <w:vAlign w:val="bottom"/>
          </w:tcPr>
          <w:p>
            <w:pPr>
              <w:pStyle w:val="TableContents"/>
              <w:spacing w:before="0" w:after="283"/>
              <w:rPr/>
            </w:pPr>
            <w:r>
              <w:rPr/>
              <w:t> </w:t>
            </w:r>
          </w:p>
        </w:tc>
      </w:tr>
      <w:tr>
        <w:trPr/>
        <w:tc>
          <w:tcPr>
            <w:tcW w:w="4451"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La India mine project (open pit)</w:t>
            </w:r>
          </w:p>
        </w:tc>
        <w:tc>
          <w:tcPr>
            <w:tcW w:w="256" w:type="dxa"/>
            <w:tcBorders/>
            <w:shd w:fill="FFFFFF" w:val="clear"/>
            <w:vAlign w:val="bottom"/>
          </w:tcPr>
          <w:p>
            <w:pPr>
              <w:pStyle w:val="TableContents"/>
              <w:spacing w:before="0" w:after="283"/>
              <w:rPr/>
            </w:pPr>
            <w:r>
              <w:rPr/>
              <w:t> </w:t>
            </w:r>
          </w:p>
        </w:tc>
        <w:tc>
          <w:tcPr>
            <w:tcW w:w="149" w:type="dxa"/>
            <w:tcBorders/>
            <w:shd w:fill="FFFFFF" w:val="clear"/>
            <w:vAlign w:val="bottom"/>
          </w:tcPr>
          <w:p>
            <w:pPr>
              <w:pStyle w:val="TableContents"/>
              <w:spacing w:before="0" w:after="283"/>
              <w:rPr/>
            </w:pPr>
            <w:r>
              <w:rPr/>
              <w:t> </w:t>
            </w:r>
          </w:p>
        </w:tc>
        <w:tc>
          <w:tcPr>
            <w:tcW w:w="1503" w:type="dxa"/>
            <w:tcBorders/>
            <w:shd w:fill="FFFFFF" w:val="clear"/>
            <w:vAlign w:val="bottom"/>
          </w:tcPr>
          <w:p>
            <w:pPr>
              <w:pStyle w:val="TableContents"/>
              <w:spacing w:before="0" w:after="283"/>
              <w:jc w:val="right"/>
              <w:rPr>
                <w:rFonts w:ascii="times" w:hAnsi="times"/>
                <w:sz w:val="20"/>
              </w:rPr>
            </w:pPr>
            <w:r>
              <w:rPr>
                <w:rFonts w:ascii="times" w:hAnsi="times"/>
                <w:sz w:val="20"/>
              </w:rPr>
              <w:t>33,457,000</w:t>
            </w:r>
          </w:p>
        </w:tc>
        <w:tc>
          <w:tcPr>
            <w:tcW w:w="256" w:type="dxa"/>
            <w:tcBorders/>
            <w:shd w:fill="FFFFFF" w:val="clear"/>
            <w:vAlign w:val="bottom"/>
          </w:tcPr>
          <w:p>
            <w:pPr>
              <w:pStyle w:val="TableContents"/>
              <w:spacing w:before="0" w:after="283"/>
              <w:rPr/>
            </w:pPr>
            <w:r>
              <w:rPr/>
              <w:t> </w:t>
            </w:r>
          </w:p>
        </w:tc>
        <w:tc>
          <w:tcPr>
            <w:tcW w:w="150" w:type="dxa"/>
            <w:tcBorders/>
            <w:shd w:fill="FFFFFF" w:val="clear"/>
            <w:vAlign w:val="bottom"/>
          </w:tcPr>
          <w:p>
            <w:pPr>
              <w:pStyle w:val="TableContents"/>
              <w:spacing w:before="0" w:after="283"/>
              <w:rPr/>
            </w:pPr>
            <w:r>
              <w:rPr/>
              <w:t> </w:t>
            </w:r>
          </w:p>
        </w:tc>
        <w:tc>
          <w:tcPr>
            <w:tcW w:w="1196" w:type="dxa"/>
            <w:tcBorders/>
            <w:shd w:fill="FFFFFF" w:val="clear"/>
            <w:vAlign w:val="bottom"/>
          </w:tcPr>
          <w:p>
            <w:pPr>
              <w:pStyle w:val="TableContents"/>
              <w:spacing w:before="0" w:after="283"/>
              <w:jc w:val="right"/>
              <w:rPr>
                <w:rFonts w:ascii="times" w:hAnsi="times"/>
                <w:sz w:val="20"/>
              </w:rPr>
            </w:pPr>
            <w:r>
              <w:rPr>
                <w:rFonts w:ascii="times" w:hAnsi="times"/>
                <w:sz w:val="20"/>
              </w:rPr>
              <w:t>0.72</w:t>
            </w:r>
          </w:p>
        </w:tc>
        <w:tc>
          <w:tcPr>
            <w:tcW w:w="257" w:type="dxa"/>
            <w:tcBorders/>
            <w:shd w:fill="FFFFFF" w:val="clear"/>
            <w:vAlign w:val="bottom"/>
          </w:tcPr>
          <w:p>
            <w:pPr>
              <w:pStyle w:val="TableContents"/>
              <w:spacing w:before="0" w:after="283"/>
              <w:rPr/>
            </w:pPr>
            <w:r>
              <w:rPr/>
              <w:t> </w:t>
            </w:r>
          </w:p>
        </w:tc>
        <w:tc>
          <w:tcPr>
            <w:tcW w:w="149" w:type="dxa"/>
            <w:tcBorders/>
            <w:shd w:fill="FFFFFF" w:val="clear"/>
            <w:vAlign w:val="bottom"/>
          </w:tcPr>
          <w:p>
            <w:pPr>
              <w:pStyle w:val="TableContents"/>
              <w:spacing w:before="0" w:after="283"/>
              <w:rPr/>
            </w:pPr>
            <w:r>
              <w:rPr/>
              <w:t> </w:t>
            </w:r>
          </w:p>
        </w:tc>
        <w:tc>
          <w:tcPr>
            <w:tcW w:w="1581" w:type="dxa"/>
            <w:tcBorders/>
            <w:shd w:fill="FFFFFF" w:val="clear"/>
            <w:vAlign w:val="bottom"/>
          </w:tcPr>
          <w:p>
            <w:pPr>
              <w:pStyle w:val="TableContents"/>
              <w:spacing w:before="0" w:after="283"/>
              <w:jc w:val="right"/>
              <w:rPr>
                <w:rFonts w:ascii="times" w:hAnsi="times"/>
                <w:sz w:val="20"/>
              </w:rPr>
            </w:pPr>
            <w:r>
              <w:rPr>
                <w:rFonts w:ascii="times" w:hAnsi="times"/>
                <w:sz w:val="20"/>
              </w:rPr>
              <w:t>776,000</w:t>
            </w:r>
          </w:p>
        </w:tc>
        <w:tc>
          <w:tcPr>
            <w:tcW w:w="257" w:type="dxa"/>
            <w:tcBorders/>
            <w:shd w:fill="FFFFFF" w:val="clear"/>
            <w:vAlign w:val="bottom"/>
          </w:tcPr>
          <w:p>
            <w:pPr>
              <w:pStyle w:val="TableContents"/>
              <w:spacing w:before="0" w:after="283"/>
              <w:rPr/>
            </w:pPr>
            <w:r>
              <w:rPr/>
              <w:t> </w:t>
            </w:r>
          </w:p>
        </w:tc>
      </w:tr>
      <w:tr>
        <w:trPr/>
        <w:tc>
          <w:tcPr>
            <w:tcW w:w="4451"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Meadowbank mine (open pit)</w:t>
            </w:r>
          </w:p>
        </w:tc>
        <w:tc>
          <w:tcPr>
            <w:tcW w:w="256"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503" w:type="dxa"/>
            <w:tcBorders/>
            <w:shd w:fill="CCEEFF" w:val="clear"/>
            <w:vAlign w:val="bottom"/>
          </w:tcPr>
          <w:p>
            <w:pPr>
              <w:pStyle w:val="TableContents"/>
              <w:spacing w:before="0" w:after="283"/>
              <w:jc w:val="right"/>
              <w:rPr>
                <w:rFonts w:ascii="times" w:hAnsi="times"/>
                <w:sz w:val="20"/>
              </w:rPr>
            </w:pPr>
            <w:r>
              <w:rPr>
                <w:rFonts w:ascii="times" w:hAnsi="times"/>
                <w:sz w:val="20"/>
              </w:rPr>
              <w:t>23,560,000</w:t>
            </w:r>
          </w:p>
        </w:tc>
        <w:tc>
          <w:tcPr>
            <w:tcW w:w="256"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196" w:type="dxa"/>
            <w:tcBorders/>
            <w:shd w:fill="CCEEFF" w:val="clear"/>
            <w:vAlign w:val="bottom"/>
          </w:tcPr>
          <w:p>
            <w:pPr>
              <w:pStyle w:val="TableContents"/>
              <w:spacing w:before="0" w:after="283"/>
              <w:jc w:val="right"/>
              <w:rPr>
                <w:rFonts w:ascii="times" w:hAnsi="times"/>
                <w:sz w:val="20"/>
              </w:rPr>
            </w:pPr>
            <w:r>
              <w:rPr>
                <w:rFonts w:ascii="times" w:hAnsi="times"/>
                <w:sz w:val="20"/>
              </w:rPr>
              <w:t>2.91</w:t>
            </w:r>
          </w:p>
        </w:tc>
        <w:tc>
          <w:tcPr>
            <w:tcW w:w="257"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581" w:type="dxa"/>
            <w:tcBorders/>
            <w:shd w:fill="CCEEFF" w:val="clear"/>
            <w:vAlign w:val="bottom"/>
          </w:tcPr>
          <w:p>
            <w:pPr>
              <w:pStyle w:val="TableContents"/>
              <w:spacing w:before="0" w:after="283"/>
              <w:jc w:val="right"/>
              <w:rPr>
                <w:rFonts w:ascii="times" w:hAnsi="times"/>
                <w:sz w:val="20"/>
              </w:rPr>
            </w:pPr>
            <w:r>
              <w:rPr>
                <w:rFonts w:ascii="times" w:hAnsi="times"/>
                <w:sz w:val="20"/>
              </w:rPr>
              <w:t>2,206,000</w:t>
            </w:r>
          </w:p>
        </w:tc>
        <w:tc>
          <w:tcPr>
            <w:tcW w:w="257" w:type="dxa"/>
            <w:tcBorders/>
            <w:shd w:fill="CCEEFF" w:val="clear"/>
            <w:vAlign w:val="bottom"/>
          </w:tcPr>
          <w:p>
            <w:pPr>
              <w:pStyle w:val="TableContents"/>
              <w:spacing w:before="0" w:after="283"/>
              <w:rPr/>
            </w:pPr>
            <w:r>
              <w:rPr/>
              <w:t> </w:t>
            </w:r>
          </w:p>
        </w:tc>
      </w:tr>
      <w:tr>
        <w:trPr/>
        <w:tc>
          <w:tcPr>
            <w:tcW w:w="4451"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Meliadine project (open pit)</w:t>
            </w:r>
          </w:p>
        </w:tc>
        <w:tc>
          <w:tcPr>
            <w:tcW w:w="256" w:type="dxa"/>
            <w:tcBorders/>
            <w:shd w:fill="FFFFFF" w:val="clear"/>
            <w:vAlign w:val="bottom"/>
          </w:tcPr>
          <w:p>
            <w:pPr>
              <w:pStyle w:val="TableContents"/>
              <w:spacing w:before="0" w:after="283"/>
              <w:rPr/>
            </w:pPr>
            <w:r>
              <w:rPr/>
              <w:t> </w:t>
            </w:r>
          </w:p>
        </w:tc>
        <w:tc>
          <w:tcPr>
            <w:tcW w:w="149" w:type="dxa"/>
            <w:tcBorders/>
            <w:shd w:fill="FFFFFF" w:val="clear"/>
            <w:vAlign w:val="bottom"/>
          </w:tcPr>
          <w:p>
            <w:pPr>
              <w:pStyle w:val="TableContents"/>
              <w:spacing w:before="0" w:after="283"/>
              <w:rPr/>
            </w:pPr>
            <w:r>
              <w:rPr/>
              <w:t> </w:t>
            </w:r>
          </w:p>
        </w:tc>
        <w:tc>
          <w:tcPr>
            <w:tcW w:w="1503" w:type="dxa"/>
            <w:tcBorders/>
            <w:shd w:fill="FFFFFF" w:val="clear"/>
            <w:vAlign w:val="bottom"/>
          </w:tcPr>
          <w:p>
            <w:pPr>
              <w:pStyle w:val="TableContents"/>
              <w:spacing w:before="0" w:after="283"/>
              <w:jc w:val="right"/>
              <w:rPr>
                <w:rFonts w:ascii="times" w:hAnsi="times"/>
                <w:sz w:val="20"/>
              </w:rPr>
            </w:pPr>
            <w:r>
              <w:rPr>
                <w:rFonts w:ascii="times" w:hAnsi="times"/>
                <w:sz w:val="20"/>
              </w:rPr>
              <w:t>5,172,000</w:t>
            </w:r>
          </w:p>
        </w:tc>
        <w:tc>
          <w:tcPr>
            <w:tcW w:w="256" w:type="dxa"/>
            <w:tcBorders/>
            <w:shd w:fill="FFFFFF" w:val="clear"/>
            <w:vAlign w:val="bottom"/>
          </w:tcPr>
          <w:p>
            <w:pPr>
              <w:pStyle w:val="TableContents"/>
              <w:spacing w:before="0" w:after="283"/>
              <w:rPr/>
            </w:pPr>
            <w:r>
              <w:rPr/>
              <w:t> </w:t>
            </w:r>
          </w:p>
        </w:tc>
        <w:tc>
          <w:tcPr>
            <w:tcW w:w="150" w:type="dxa"/>
            <w:tcBorders/>
            <w:shd w:fill="FFFFFF" w:val="clear"/>
            <w:vAlign w:val="bottom"/>
          </w:tcPr>
          <w:p>
            <w:pPr>
              <w:pStyle w:val="TableContents"/>
              <w:spacing w:before="0" w:after="283"/>
              <w:rPr/>
            </w:pPr>
            <w:r>
              <w:rPr/>
              <w:t> </w:t>
            </w:r>
          </w:p>
        </w:tc>
        <w:tc>
          <w:tcPr>
            <w:tcW w:w="1196" w:type="dxa"/>
            <w:tcBorders/>
            <w:shd w:fill="FFFFFF" w:val="clear"/>
            <w:vAlign w:val="bottom"/>
          </w:tcPr>
          <w:p>
            <w:pPr>
              <w:pStyle w:val="TableContents"/>
              <w:spacing w:before="0" w:after="283"/>
              <w:jc w:val="right"/>
              <w:rPr>
                <w:rFonts w:ascii="times" w:hAnsi="times"/>
                <w:sz w:val="20"/>
              </w:rPr>
            </w:pPr>
            <w:r>
              <w:rPr>
                <w:rFonts w:ascii="times" w:hAnsi="times"/>
                <w:sz w:val="20"/>
              </w:rPr>
              <w:t>5.85</w:t>
            </w:r>
          </w:p>
        </w:tc>
        <w:tc>
          <w:tcPr>
            <w:tcW w:w="257" w:type="dxa"/>
            <w:tcBorders/>
            <w:shd w:fill="FFFFFF" w:val="clear"/>
            <w:vAlign w:val="bottom"/>
          </w:tcPr>
          <w:p>
            <w:pPr>
              <w:pStyle w:val="TableContents"/>
              <w:spacing w:before="0" w:after="283"/>
              <w:rPr/>
            </w:pPr>
            <w:r>
              <w:rPr/>
              <w:t> </w:t>
            </w:r>
          </w:p>
        </w:tc>
        <w:tc>
          <w:tcPr>
            <w:tcW w:w="149" w:type="dxa"/>
            <w:tcBorders/>
            <w:shd w:fill="FFFFFF" w:val="clear"/>
            <w:vAlign w:val="bottom"/>
          </w:tcPr>
          <w:p>
            <w:pPr>
              <w:pStyle w:val="TableContents"/>
              <w:spacing w:before="0" w:after="283"/>
              <w:rPr/>
            </w:pPr>
            <w:r>
              <w:rPr/>
              <w:t> </w:t>
            </w:r>
          </w:p>
        </w:tc>
        <w:tc>
          <w:tcPr>
            <w:tcW w:w="1581" w:type="dxa"/>
            <w:tcBorders/>
            <w:shd w:fill="FFFFFF" w:val="clear"/>
            <w:vAlign w:val="bottom"/>
          </w:tcPr>
          <w:p>
            <w:pPr>
              <w:pStyle w:val="TableContents"/>
              <w:spacing w:before="0" w:after="283"/>
              <w:jc w:val="right"/>
              <w:rPr>
                <w:rFonts w:ascii="times" w:hAnsi="times"/>
                <w:sz w:val="20"/>
              </w:rPr>
            </w:pPr>
            <w:r>
              <w:rPr>
                <w:rFonts w:ascii="times" w:hAnsi="times"/>
                <w:sz w:val="20"/>
              </w:rPr>
              <w:t>973,000</w:t>
            </w:r>
          </w:p>
        </w:tc>
        <w:tc>
          <w:tcPr>
            <w:tcW w:w="257" w:type="dxa"/>
            <w:tcBorders/>
            <w:shd w:fill="FFFFFF" w:val="clear"/>
            <w:vAlign w:val="bottom"/>
          </w:tcPr>
          <w:p>
            <w:pPr>
              <w:pStyle w:val="TableContents"/>
              <w:spacing w:before="0" w:after="283"/>
              <w:rPr/>
            </w:pPr>
            <w:r>
              <w:rPr/>
              <w:t> </w:t>
            </w:r>
          </w:p>
        </w:tc>
      </w:tr>
      <w:tr>
        <w:trPr/>
        <w:tc>
          <w:tcPr>
            <w:tcW w:w="4451"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Meliadine project (underground)</w:t>
            </w:r>
          </w:p>
        </w:tc>
        <w:tc>
          <w:tcPr>
            <w:tcW w:w="256"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503" w:type="dxa"/>
            <w:tcBorders/>
            <w:shd w:fill="CCEEFF" w:val="clear"/>
            <w:vAlign w:val="bottom"/>
          </w:tcPr>
          <w:p>
            <w:pPr>
              <w:pStyle w:val="TableContents"/>
              <w:spacing w:before="0" w:after="283"/>
              <w:jc w:val="right"/>
              <w:rPr>
                <w:rFonts w:ascii="times" w:hAnsi="times"/>
                <w:sz w:val="20"/>
              </w:rPr>
            </w:pPr>
            <w:r>
              <w:rPr>
                <w:rFonts w:ascii="times" w:hAnsi="times"/>
                <w:sz w:val="20"/>
              </w:rPr>
              <w:t>8,094,000</w:t>
            </w:r>
          </w:p>
        </w:tc>
        <w:tc>
          <w:tcPr>
            <w:tcW w:w="256"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196" w:type="dxa"/>
            <w:tcBorders/>
            <w:shd w:fill="CCEEFF" w:val="clear"/>
            <w:vAlign w:val="bottom"/>
          </w:tcPr>
          <w:p>
            <w:pPr>
              <w:pStyle w:val="TableContents"/>
              <w:spacing w:before="0" w:after="283"/>
              <w:jc w:val="right"/>
              <w:rPr>
                <w:rFonts w:ascii="times" w:hAnsi="times"/>
                <w:sz w:val="20"/>
              </w:rPr>
            </w:pPr>
            <w:r>
              <w:rPr>
                <w:rFonts w:ascii="times" w:hAnsi="times"/>
                <w:sz w:val="20"/>
              </w:rPr>
              <w:t>7.71</w:t>
            </w:r>
          </w:p>
        </w:tc>
        <w:tc>
          <w:tcPr>
            <w:tcW w:w="257"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581" w:type="dxa"/>
            <w:tcBorders/>
            <w:shd w:fill="CCEEFF" w:val="clear"/>
            <w:vAlign w:val="bottom"/>
          </w:tcPr>
          <w:p>
            <w:pPr>
              <w:pStyle w:val="TableContents"/>
              <w:spacing w:before="0" w:after="283"/>
              <w:jc w:val="right"/>
              <w:rPr>
                <w:rFonts w:ascii="times" w:hAnsi="times"/>
                <w:sz w:val="20"/>
              </w:rPr>
            </w:pPr>
            <w:r>
              <w:rPr>
                <w:rFonts w:ascii="times" w:hAnsi="times"/>
                <w:sz w:val="20"/>
              </w:rPr>
              <w:t>2,006,000</w:t>
            </w:r>
          </w:p>
        </w:tc>
        <w:tc>
          <w:tcPr>
            <w:tcW w:w="257" w:type="dxa"/>
            <w:tcBorders/>
            <w:shd w:fill="CCEEFF" w:val="clear"/>
            <w:vAlign w:val="bottom"/>
          </w:tcPr>
          <w:p>
            <w:pPr>
              <w:pStyle w:val="TableContents"/>
              <w:spacing w:before="0" w:after="283"/>
              <w:rPr/>
            </w:pPr>
            <w:r>
              <w:rPr/>
              <w:t> </w:t>
            </w:r>
          </w:p>
        </w:tc>
      </w:tr>
      <w:tr>
        <w:trPr/>
        <w:tc>
          <w:tcPr>
            <w:tcW w:w="4451"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Meliadine project total probable</w:t>
            </w:r>
          </w:p>
        </w:tc>
        <w:tc>
          <w:tcPr>
            <w:tcW w:w="256" w:type="dxa"/>
            <w:tcBorders/>
            <w:shd w:fill="FFFFFF" w:val="clear"/>
            <w:vAlign w:val="bottom"/>
          </w:tcPr>
          <w:p>
            <w:pPr>
              <w:pStyle w:val="TableContents"/>
              <w:spacing w:before="0" w:after="283"/>
              <w:rPr/>
            </w:pPr>
            <w:r>
              <w:rPr/>
              <w:t> </w:t>
            </w:r>
          </w:p>
        </w:tc>
        <w:tc>
          <w:tcPr>
            <w:tcW w:w="149" w:type="dxa"/>
            <w:tcBorders/>
            <w:shd w:fill="FFFFFF" w:val="clear"/>
            <w:vAlign w:val="bottom"/>
          </w:tcPr>
          <w:p>
            <w:pPr>
              <w:pStyle w:val="TableContents"/>
              <w:spacing w:before="0" w:after="283"/>
              <w:rPr/>
            </w:pPr>
            <w:r>
              <w:rPr/>
              <w:t> </w:t>
            </w:r>
          </w:p>
        </w:tc>
        <w:tc>
          <w:tcPr>
            <w:tcW w:w="1503" w:type="dxa"/>
            <w:tcBorders/>
            <w:shd w:fill="FFFFFF" w:val="clear"/>
            <w:vAlign w:val="bottom"/>
          </w:tcPr>
          <w:p>
            <w:pPr>
              <w:pStyle w:val="TableContents"/>
              <w:spacing w:before="0" w:after="283"/>
              <w:jc w:val="right"/>
              <w:rPr>
                <w:rFonts w:ascii="times" w:hAnsi="times"/>
                <w:sz w:val="20"/>
              </w:rPr>
            </w:pPr>
            <w:r>
              <w:rPr>
                <w:rFonts w:ascii="times" w:hAnsi="times"/>
                <w:sz w:val="20"/>
              </w:rPr>
              <w:t>13,266,000</w:t>
            </w:r>
          </w:p>
        </w:tc>
        <w:tc>
          <w:tcPr>
            <w:tcW w:w="256" w:type="dxa"/>
            <w:tcBorders/>
            <w:shd w:fill="FFFFFF" w:val="clear"/>
            <w:vAlign w:val="bottom"/>
          </w:tcPr>
          <w:p>
            <w:pPr>
              <w:pStyle w:val="TableContents"/>
              <w:spacing w:before="0" w:after="283"/>
              <w:rPr/>
            </w:pPr>
            <w:r>
              <w:rPr/>
              <w:t> </w:t>
            </w:r>
          </w:p>
        </w:tc>
        <w:tc>
          <w:tcPr>
            <w:tcW w:w="150" w:type="dxa"/>
            <w:tcBorders/>
            <w:shd w:fill="FFFFFF" w:val="clear"/>
            <w:vAlign w:val="bottom"/>
          </w:tcPr>
          <w:p>
            <w:pPr>
              <w:pStyle w:val="TableContents"/>
              <w:spacing w:before="0" w:after="283"/>
              <w:rPr/>
            </w:pPr>
            <w:r>
              <w:rPr/>
              <w:t> </w:t>
            </w:r>
          </w:p>
        </w:tc>
        <w:tc>
          <w:tcPr>
            <w:tcW w:w="1196" w:type="dxa"/>
            <w:tcBorders/>
            <w:shd w:fill="FFFFFF" w:val="clear"/>
            <w:vAlign w:val="bottom"/>
          </w:tcPr>
          <w:p>
            <w:pPr>
              <w:pStyle w:val="TableContents"/>
              <w:spacing w:before="0" w:after="283"/>
              <w:jc w:val="right"/>
              <w:rPr>
                <w:rFonts w:ascii="times" w:hAnsi="times"/>
                <w:sz w:val="20"/>
              </w:rPr>
            </w:pPr>
            <w:r>
              <w:rPr>
                <w:rFonts w:ascii="times" w:hAnsi="times"/>
                <w:sz w:val="20"/>
              </w:rPr>
              <w:t>6.98</w:t>
            </w:r>
          </w:p>
        </w:tc>
        <w:tc>
          <w:tcPr>
            <w:tcW w:w="257" w:type="dxa"/>
            <w:tcBorders/>
            <w:shd w:fill="FFFFFF" w:val="clear"/>
            <w:vAlign w:val="bottom"/>
          </w:tcPr>
          <w:p>
            <w:pPr>
              <w:pStyle w:val="TableContents"/>
              <w:spacing w:before="0" w:after="283"/>
              <w:rPr/>
            </w:pPr>
            <w:r>
              <w:rPr/>
              <w:t> </w:t>
            </w:r>
          </w:p>
        </w:tc>
        <w:tc>
          <w:tcPr>
            <w:tcW w:w="149" w:type="dxa"/>
            <w:tcBorders/>
            <w:shd w:fill="FFFFFF" w:val="clear"/>
            <w:vAlign w:val="bottom"/>
          </w:tcPr>
          <w:p>
            <w:pPr>
              <w:pStyle w:val="TableContents"/>
              <w:spacing w:before="0" w:after="283"/>
              <w:rPr/>
            </w:pPr>
            <w:r>
              <w:rPr/>
              <w:t> </w:t>
            </w:r>
          </w:p>
        </w:tc>
        <w:tc>
          <w:tcPr>
            <w:tcW w:w="1581" w:type="dxa"/>
            <w:tcBorders/>
            <w:shd w:fill="FFFFFF" w:val="clear"/>
            <w:vAlign w:val="bottom"/>
          </w:tcPr>
          <w:p>
            <w:pPr>
              <w:pStyle w:val="TableContents"/>
              <w:spacing w:before="0" w:after="283"/>
              <w:jc w:val="right"/>
              <w:rPr>
                <w:rFonts w:ascii="times" w:hAnsi="times"/>
                <w:sz w:val="20"/>
              </w:rPr>
            </w:pPr>
            <w:r>
              <w:rPr>
                <w:rFonts w:ascii="times" w:hAnsi="times"/>
                <w:sz w:val="20"/>
              </w:rPr>
              <w:t>2,979,000</w:t>
            </w:r>
          </w:p>
        </w:tc>
        <w:tc>
          <w:tcPr>
            <w:tcW w:w="257" w:type="dxa"/>
            <w:tcBorders/>
            <w:shd w:fill="FFFFFF" w:val="clear"/>
            <w:vAlign w:val="bottom"/>
          </w:tcPr>
          <w:p>
            <w:pPr>
              <w:pStyle w:val="TableContents"/>
              <w:spacing w:before="0" w:after="283"/>
              <w:rPr/>
            </w:pPr>
            <w:r>
              <w:rPr/>
              <w:t> </w:t>
            </w:r>
          </w:p>
        </w:tc>
      </w:tr>
      <w:tr>
        <w:trPr/>
        <w:tc>
          <w:tcPr>
            <w:tcW w:w="4451" w:type="dxa"/>
            <w:tcBorders/>
            <w:shd w:fill="CCEEFF" w:val="clear"/>
            <w:vAlign w:val="bottom"/>
          </w:tcPr>
          <w:p>
            <w:pPr>
              <w:pStyle w:val="TableContents"/>
              <w:spacing w:before="0" w:after="283"/>
              <w:ind w:left="200" w:right="0" w:hanging="200"/>
              <w:rPr>
                <w:rFonts w:ascii="times" w:hAnsi="times"/>
                <w:b/>
                <w:sz w:val="20"/>
              </w:rPr>
            </w:pPr>
            <w:r>
              <w:rPr>
                <w:rFonts w:ascii="times" w:hAnsi="times"/>
                <w:b/>
                <w:sz w:val="20"/>
              </w:rPr>
              <w:t>Total Probable Reserves</w:t>
            </w:r>
          </w:p>
        </w:tc>
        <w:tc>
          <w:tcPr>
            <w:tcW w:w="256"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503" w:type="dxa"/>
            <w:tcBorders/>
            <w:shd w:fill="CCEEFF" w:val="clear"/>
            <w:vAlign w:val="bottom"/>
          </w:tcPr>
          <w:p>
            <w:pPr>
              <w:pStyle w:val="TableContents"/>
              <w:spacing w:before="0" w:after="283"/>
              <w:jc w:val="right"/>
              <w:rPr>
                <w:rFonts w:ascii="times" w:hAnsi="times"/>
                <w:b/>
                <w:sz w:val="20"/>
              </w:rPr>
            </w:pPr>
            <w:r>
              <w:rPr>
                <w:rFonts w:ascii="times" w:hAnsi="times"/>
                <w:b/>
                <w:sz w:val="20"/>
              </w:rPr>
              <w:t>170,300,000</w:t>
            </w:r>
          </w:p>
        </w:tc>
        <w:tc>
          <w:tcPr>
            <w:tcW w:w="256"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196" w:type="dxa"/>
            <w:tcBorders/>
            <w:shd w:fill="CCEEFF" w:val="clear"/>
            <w:vAlign w:val="bottom"/>
          </w:tcPr>
          <w:p>
            <w:pPr>
              <w:pStyle w:val="TableContents"/>
              <w:spacing w:before="0" w:after="283"/>
              <w:jc w:val="right"/>
              <w:rPr>
                <w:rFonts w:ascii="times" w:hAnsi="times"/>
                <w:b/>
                <w:sz w:val="20"/>
              </w:rPr>
            </w:pPr>
            <w:r>
              <w:rPr>
                <w:rFonts w:ascii="times" w:hAnsi="times"/>
                <w:b/>
                <w:sz w:val="20"/>
              </w:rPr>
              <w:t>3.16</w:t>
            </w:r>
          </w:p>
        </w:tc>
        <w:tc>
          <w:tcPr>
            <w:tcW w:w="257"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581" w:type="dxa"/>
            <w:tcBorders/>
            <w:shd w:fill="CCEEFF" w:val="clear"/>
            <w:vAlign w:val="bottom"/>
          </w:tcPr>
          <w:p>
            <w:pPr>
              <w:pStyle w:val="TableContents"/>
              <w:spacing w:before="0" w:after="283"/>
              <w:jc w:val="right"/>
              <w:rPr>
                <w:rFonts w:ascii="times" w:hAnsi="times"/>
                <w:b/>
                <w:sz w:val="20"/>
              </w:rPr>
            </w:pPr>
            <w:r>
              <w:rPr>
                <w:rFonts w:ascii="times" w:hAnsi="times"/>
                <w:b/>
                <w:sz w:val="20"/>
              </w:rPr>
              <w:t>17,286,000</w:t>
            </w:r>
          </w:p>
        </w:tc>
        <w:tc>
          <w:tcPr>
            <w:tcW w:w="257" w:type="dxa"/>
            <w:tcBorders/>
            <w:shd w:fill="CCEEFF" w:val="clear"/>
            <w:vAlign w:val="bottom"/>
          </w:tcPr>
          <w:p>
            <w:pPr>
              <w:pStyle w:val="TableContents"/>
              <w:spacing w:before="0" w:after="283"/>
              <w:rPr/>
            </w:pPr>
            <w:r>
              <w:rPr/>
              <w:t> </w:t>
            </w:r>
          </w:p>
        </w:tc>
      </w:tr>
      <w:tr>
        <w:trPr/>
        <w:tc>
          <w:tcPr>
            <w:tcW w:w="4451"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165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56" w:type="dxa"/>
            <w:tcBorders/>
            <w:shd w:fill="auto" w:val="clear"/>
            <w:vAlign w:val="bottom"/>
          </w:tcPr>
          <w:p>
            <w:pPr>
              <w:pStyle w:val="TableContents"/>
              <w:spacing w:before="0" w:after="283"/>
              <w:rPr/>
            </w:pPr>
            <w:r>
              <w:rPr/>
              <w:t> </w:t>
            </w:r>
          </w:p>
        </w:tc>
        <w:tc>
          <w:tcPr>
            <w:tcW w:w="134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57" w:type="dxa"/>
            <w:tcBorders/>
            <w:shd w:fill="auto" w:val="clear"/>
            <w:vAlign w:val="bottom"/>
          </w:tcPr>
          <w:p>
            <w:pPr>
              <w:pStyle w:val="TableContents"/>
              <w:spacing w:before="0" w:after="283"/>
              <w:rPr/>
            </w:pPr>
            <w:r>
              <w:rPr/>
              <w:t> </w:t>
            </w:r>
          </w:p>
        </w:tc>
        <w:tc>
          <w:tcPr>
            <w:tcW w:w="173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57" w:type="dxa"/>
            <w:tcBorders/>
            <w:shd w:fill="auto" w:val="clear"/>
            <w:vAlign w:val="bottom"/>
          </w:tcPr>
          <w:p>
            <w:pPr>
              <w:pStyle w:val="TableContents"/>
              <w:spacing w:before="0" w:after="283"/>
              <w:rPr/>
            </w:pPr>
            <w:r>
              <w:rPr/>
              <w:t> </w:t>
            </w:r>
          </w:p>
        </w:tc>
      </w:tr>
      <w:tr>
        <w:trPr/>
        <w:tc>
          <w:tcPr>
            <w:tcW w:w="4451" w:type="dxa"/>
            <w:tcBorders/>
            <w:shd w:fill="FFFFFF" w:val="clear"/>
            <w:vAlign w:val="bottom"/>
          </w:tcPr>
          <w:p>
            <w:pPr>
              <w:pStyle w:val="TableContents"/>
              <w:spacing w:before="0" w:after="283"/>
              <w:ind w:left="200" w:right="0" w:hanging="200"/>
              <w:rPr>
                <w:rFonts w:ascii="times" w:hAnsi="times"/>
                <w:b/>
                <w:sz w:val="20"/>
              </w:rPr>
            </w:pPr>
            <w:r>
              <w:rPr>
                <w:rFonts w:ascii="times" w:hAnsi="times"/>
                <w:b/>
                <w:sz w:val="20"/>
              </w:rPr>
              <w:t>Total Proven and Probable Reserves</w:t>
            </w:r>
          </w:p>
        </w:tc>
        <w:tc>
          <w:tcPr>
            <w:tcW w:w="256" w:type="dxa"/>
            <w:tcBorders/>
            <w:shd w:fill="FFFFFF" w:val="clear"/>
            <w:vAlign w:val="bottom"/>
          </w:tcPr>
          <w:p>
            <w:pPr>
              <w:pStyle w:val="TableContents"/>
              <w:spacing w:before="0" w:after="283"/>
              <w:rPr/>
            </w:pPr>
            <w:r>
              <w:rPr/>
              <w:t> </w:t>
            </w:r>
          </w:p>
        </w:tc>
        <w:tc>
          <w:tcPr>
            <w:tcW w:w="149" w:type="dxa"/>
            <w:tcBorders/>
            <w:shd w:fill="FFFFFF" w:val="clear"/>
            <w:vAlign w:val="bottom"/>
          </w:tcPr>
          <w:p>
            <w:pPr>
              <w:pStyle w:val="TableContents"/>
              <w:spacing w:before="0" w:after="283"/>
              <w:rPr/>
            </w:pPr>
            <w:r>
              <w:rPr/>
              <w:t> </w:t>
            </w:r>
          </w:p>
        </w:tc>
        <w:tc>
          <w:tcPr>
            <w:tcW w:w="1503" w:type="dxa"/>
            <w:tcBorders/>
            <w:shd w:fill="FFFFFF" w:val="clear"/>
            <w:vAlign w:val="bottom"/>
          </w:tcPr>
          <w:p>
            <w:pPr>
              <w:pStyle w:val="TableContents"/>
              <w:spacing w:before="0" w:after="283"/>
              <w:jc w:val="right"/>
              <w:rPr>
                <w:rFonts w:ascii="times" w:hAnsi="times"/>
                <w:b/>
                <w:sz w:val="20"/>
              </w:rPr>
            </w:pPr>
            <w:r>
              <w:rPr>
                <w:rFonts w:ascii="times" w:hAnsi="times"/>
                <w:b/>
                <w:sz w:val="20"/>
              </w:rPr>
              <w:t>184,136,000</w:t>
            </w:r>
          </w:p>
        </w:tc>
        <w:tc>
          <w:tcPr>
            <w:tcW w:w="256" w:type="dxa"/>
            <w:tcBorders/>
            <w:shd w:fill="FFFFFF" w:val="clear"/>
            <w:vAlign w:val="bottom"/>
          </w:tcPr>
          <w:p>
            <w:pPr>
              <w:pStyle w:val="TableContents"/>
              <w:spacing w:before="0" w:after="283"/>
              <w:rPr/>
            </w:pPr>
            <w:r>
              <w:rPr/>
              <w:t> </w:t>
            </w:r>
          </w:p>
        </w:tc>
        <w:tc>
          <w:tcPr>
            <w:tcW w:w="150" w:type="dxa"/>
            <w:tcBorders/>
            <w:shd w:fill="FFFFFF" w:val="clear"/>
            <w:vAlign w:val="bottom"/>
          </w:tcPr>
          <w:p>
            <w:pPr>
              <w:pStyle w:val="TableContents"/>
              <w:spacing w:before="0" w:after="283"/>
              <w:rPr/>
            </w:pPr>
            <w:r>
              <w:rPr/>
              <w:t> </w:t>
            </w:r>
          </w:p>
        </w:tc>
        <w:tc>
          <w:tcPr>
            <w:tcW w:w="1196" w:type="dxa"/>
            <w:tcBorders/>
            <w:shd w:fill="FFFFFF" w:val="clear"/>
            <w:vAlign w:val="bottom"/>
          </w:tcPr>
          <w:p>
            <w:pPr>
              <w:pStyle w:val="TableContents"/>
              <w:spacing w:before="0" w:after="283"/>
              <w:jc w:val="right"/>
              <w:rPr>
                <w:rFonts w:ascii="times" w:hAnsi="times"/>
                <w:b/>
                <w:sz w:val="20"/>
              </w:rPr>
            </w:pPr>
            <w:r>
              <w:rPr>
                <w:rFonts w:ascii="times" w:hAnsi="times"/>
                <w:b/>
                <w:sz w:val="20"/>
              </w:rPr>
              <w:t>3.16</w:t>
            </w:r>
          </w:p>
        </w:tc>
        <w:tc>
          <w:tcPr>
            <w:tcW w:w="257" w:type="dxa"/>
            <w:tcBorders/>
            <w:shd w:fill="FFFFFF" w:val="clear"/>
            <w:vAlign w:val="bottom"/>
          </w:tcPr>
          <w:p>
            <w:pPr>
              <w:pStyle w:val="TableContents"/>
              <w:spacing w:before="0" w:after="283"/>
              <w:rPr/>
            </w:pPr>
            <w:r>
              <w:rPr/>
              <w:t> </w:t>
            </w:r>
          </w:p>
        </w:tc>
        <w:tc>
          <w:tcPr>
            <w:tcW w:w="149" w:type="dxa"/>
            <w:tcBorders/>
            <w:shd w:fill="FFFFFF" w:val="clear"/>
            <w:vAlign w:val="bottom"/>
          </w:tcPr>
          <w:p>
            <w:pPr>
              <w:pStyle w:val="TableContents"/>
              <w:spacing w:before="0" w:after="283"/>
              <w:rPr/>
            </w:pPr>
            <w:r>
              <w:rPr/>
              <w:t> </w:t>
            </w:r>
          </w:p>
        </w:tc>
        <w:tc>
          <w:tcPr>
            <w:tcW w:w="1581" w:type="dxa"/>
            <w:tcBorders/>
            <w:shd w:fill="FFFFFF" w:val="clear"/>
            <w:vAlign w:val="bottom"/>
          </w:tcPr>
          <w:p>
            <w:pPr>
              <w:pStyle w:val="TableContents"/>
              <w:spacing w:before="0" w:after="283"/>
              <w:jc w:val="right"/>
              <w:rPr>
                <w:rFonts w:ascii="times" w:hAnsi="times"/>
                <w:b/>
                <w:sz w:val="20"/>
              </w:rPr>
            </w:pPr>
            <w:r>
              <w:rPr>
                <w:rFonts w:ascii="times" w:hAnsi="times"/>
                <w:b/>
                <w:sz w:val="20"/>
              </w:rPr>
              <w:t>18,681,000</w:t>
            </w:r>
          </w:p>
        </w:tc>
        <w:tc>
          <w:tcPr>
            <w:tcW w:w="257" w:type="dxa"/>
            <w:tcBorders/>
            <w:shd w:fill="FFFFFF" w:val="clear"/>
            <w:vAlign w:val="bottom"/>
          </w:tcPr>
          <w:p>
            <w:pPr>
              <w:pStyle w:val="TableContents"/>
              <w:spacing w:before="0" w:after="283"/>
              <w:rPr/>
            </w:pPr>
            <w:r>
              <w:rPr/>
              <w:t> </w:t>
            </w:r>
          </w:p>
        </w:tc>
      </w:tr>
      <w:tr>
        <w:trPr/>
        <w:tc>
          <w:tcPr>
            <w:tcW w:w="4451"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1652"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56" w:type="dxa"/>
            <w:tcBorders/>
            <w:shd w:fill="auto" w:val="clear"/>
            <w:vAlign w:val="bottom"/>
          </w:tcPr>
          <w:p>
            <w:pPr>
              <w:pStyle w:val="TableContents"/>
              <w:spacing w:before="0" w:after="283"/>
              <w:rPr/>
            </w:pPr>
            <w:r>
              <w:rPr/>
              <w:t> </w:t>
            </w:r>
          </w:p>
        </w:tc>
        <w:tc>
          <w:tcPr>
            <w:tcW w:w="1346"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57" w:type="dxa"/>
            <w:tcBorders/>
            <w:shd w:fill="auto" w:val="clear"/>
            <w:vAlign w:val="bottom"/>
          </w:tcPr>
          <w:p>
            <w:pPr>
              <w:pStyle w:val="TableContents"/>
              <w:spacing w:before="0" w:after="283"/>
              <w:rPr/>
            </w:pPr>
            <w:r>
              <w:rPr/>
              <w:t> </w:t>
            </w:r>
          </w:p>
        </w:tc>
        <w:tc>
          <w:tcPr>
            <w:tcW w:w="173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57" w:type="dxa"/>
            <w:tcBorders/>
            <w:shd w:fill="auto" w:val="clear"/>
            <w:vAlign w:val="bottom"/>
          </w:tcPr>
          <w:p>
            <w:pPr>
              <w:pStyle w:val="TableContents"/>
              <w:spacing w:before="0" w:after="283"/>
              <w:rPr/>
            </w:pPr>
            <w:r>
              <w:rPr/>
              <w:t> </w:t>
            </w:r>
          </w:p>
        </w:tc>
      </w:tr>
    </w:tbl>
    <w:p>
      <w:pPr>
        <w:pStyle w:val="HorizontalLine"/>
        <w:pBdr>
          <w:bottom w:val="single" w:sz="6" w:space="0" w:color="000000"/>
        </w:pBdr>
        <w:ind w:left="0" w:right="8981" w:hanging="0"/>
        <w:rPr/>
      </w:pPr>
      <w:r>
        <w:rPr/>
      </w:r>
    </w:p>
    <w:p>
      <w:pPr>
        <w:pStyle w:val="TextBody"/>
        <w:jc w:val="both"/>
        <w:rPr>
          <w:rFonts w:ascii="times" w:hAnsi="times"/>
          <w:sz w:val="14"/>
        </w:rPr>
      </w:pPr>
      <w:r>
        <w:rPr>
          <w:rFonts w:ascii="times" w:hAnsi="times"/>
          <w:sz w:val="14"/>
        </w:rPr>
        <w:t xml:space="preserve">Note:  Complete information on the verification procedures, quality assurance program, quality control procedures, parameters and methods and other factors that may materially affect scientific and technical information presented in this prospectus and definitions of certain terms used herein may be found in: the Form 20-F under the captions "Item 4 Information on the Company  Property, Plant and Equipment  Mineral Reserves and Mineral Resources" and "Item 4 Information on the Company  Property, Plant and Equipment  Glossary of Selected Mining Terms"; the 2005 LaRonde Mineral Resource &amp; Mineral Reserve Estimate filed with Canadian securities regulatory authorities on SEDAR on March 23, 2005; the Technical Report on the Lapa Gold Project, Cadillac Township, Quebec, Canada filed with Canadian securities regulatory authorities on SEDAR on June 8, 2006; the Technical Report on Production of the M and E Zones at Goldex Mine dated October 14, 2012 filed with the Canadian securities regulatory authorities on SEDAR on November 1, 2012; the Technical Report on the December 31, 2009, Mineral Resource and Mineral Reserve Estimate and the Suuri Extension Project, Kittila Mine, Finland, filed with the Canadian securities regulatory authorities on SEDAR on March 4, 2010; the Pinos Altos Gold-Silver Mining Project, Chihuahua State, Mexico, Technical Report on the Mineral Resources and Reserves as of December 31, 2008 filed with the Canadian securities regulatory authorities on SEDAR on March 25, 2009; the Technical Report on the June 30, 2012 Update of the Mineral Resources and Mineral Reserves, La India Gold Project, Municipality of Sahuaripa, Sonora, Mexico, dated August 31, 2012, filed with the Canadian securities regulatory authorities on SEDAR on October 12, 2012; the Technical Report on the Mineral Resources and Mineral Reserves at Meadowbank Gold Mine, Nunavut, Canada as at December 31, 2011 filed with Canadian securities regulatory authorities on SEDAR on March 23, 2012; and the Technical Report on the December 31, 2010 Mineral Resource and Mineral Reserve Estimate, Meliadine Gold Project, Nunavut, Canada filed with the Canadian securities regulatory authorities on SEDAR on March 8, 2011. </w:t>
      </w:r>
    </w:p>
    <w:p>
      <w:pPr>
        <w:pStyle w:val="TextBody"/>
        <w:jc w:val="both"/>
        <w:rPr>
          <w:rFonts w:ascii="times" w:hAnsi="times"/>
          <w:b/>
          <w:i/>
          <w:sz w:val="20"/>
        </w:rPr>
      </w:pPr>
      <w:r>
        <w:rPr>
          <w:rFonts w:ascii="times" w:hAnsi="times"/>
          <w:b/>
          <w:i/>
          <w:sz w:val="20"/>
        </w:rPr>
        <w:t xml:space="preserve">Key Operating Strengths </w:t>
      </w:r>
    </w:p>
    <w:p>
      <w:pPr>
        <w:pStyle w:val="TextBody"/>
        <w:jc w:val="both"/>
        <w:rPr/>
      </w:pPr>
      <w:r>
        <w:rPr/>
        <w:t>        </w:t>
      </w:r>
      <w:r>
        <w:rPr>
          <w:rFonts w:ascii="times" w:hAnsi="times"/>
          <w:sz w:val="20"/>
        </w:rPr>
        <w:t xml:space="preserve">The Company believes that it has a number of key operating strengths that provide distinct competitive advantages. </w:t>
      </w:r>
    </w:p>
    <w:p>
      <w:pPr>
        <w:pStyle w:val="TextBody"/>
        <w:jc w:val="both"/>
        <w:rPr/>
      </w:pPr>
      <w:r>
        <w:rPr/>
        <w:t>        </w:t>
      </w:r>
      <w:r>
        <w:rPr>
          <w:rFonts w:ascii="times" w:hAnsi="times"/>
          <w:i/>
          <w:sz w:val="20"/>
        </w:rPr>
        <w:t>Growth Profile.</w:t>
      </w:r>
      <w:r>
        <w:rPr>
          <w:rFonts w:ascii="times" w:hAnsi="times"/>
        </w:rPr>
        <w:t>    </w:t>
      </w:r>
      <w:r>
        <w:rPr>
          <w:rFonts w:ascii="times" w:hAnsi="times"/>
          <w:sz w:val="20"/>
        </w:rPr>
        <w:t xml:space="preserve">The Company has a proven track record of increasing production capacity through a combination of acquisitions, operational improvements, expansions and development. The suspension of mining operations at the Goldex mine in October 2011 had a negative impact on the growth profile, however, the Company anticipates production of between 970,000 and 1,010,000 ounces of gold in 2013, including gold production that is expected with the commencement of production at the Goldex and La India mine projects in the fourth quarter of 2013 and the first quarter of 2014, respectively. Over the last five years, the Company has spent approximately $3.4 billion on the development of five new mines and the significant extension of the LaRonde mine at depth. Future capital expenditures are expected to be primarily for incremental expansion projects and exploration and development of the La India and Goldex mine projects and the Meliadine project. </w:t>
      </w:r>
    </w:p>
    <w:p>
      <w:pPr>
        <w:pStyle w:val="TextBody"/>
        <w:jc w:val="both"/>
        <w:rPr/>
      </w:pPr>
      <w:r>
        <w:rPr/>
        <w:t>        </w:t>
      </w:r>
      <w:r>
        <w:rPr>
          <w:rFonts w:ascii="times" w:hAnsi="times"/>
          <w:i/>
          <w:sz w:val="20"/>
        </w:rPr>
        <w:t>Operations in Mining-Friendly Regions.</w:t>
      </w:r>
      <w:r>
        <w:rPr>
          <w:rFonts w:ascii="times" w:hAnsi="times"/>
        </w:rPr>
        <w:t>    </w:t>
      </w:r>
      <w:r>
        <w:rPr>
          <w:rFonts w:ascii="times" w:hAnsi="times"/>
          <w:sz w:val="20"/>
        </w:rPr>
        <w:t xml:space="preserve">The Company and its predecessors have almost four decades of continuous gold production experience and expertise in metals mining. The Company's operations and </w:t>
      </w:r>
    </w:p>
    <w:p>
      <w:pPr>
        <w:pStyle w:val="TextBody"/>
        <w:jc w:val="center"/>
        <w:rPr>
          <w:rFonts w:ascii="times" w:hAnsi="times"/>
          <w:sz w:val="20"/>
        </w:rPr>
      </w:pPr>
      <w:r>
        <w:rPr>
          <w:rFonts w:ascii="times" w:hAnsi="times"/>
          <w:sz w:val="20"/>
        </w:rPr>
        <w:t>12</w:t>
      </w:r>
    </w:p>
    <w:p>
      <w:pPr>
        <w:pStyle w:val="HorizontalLine"/>
        <w:pBdr>
          <w:bottom w:val="single" w:sz="20" w:space="0" w:color="808080"/>
        </w:pBdr>
        <w:rPr/>
      </w:pPr>
      <w:r>
        <w:rPr/>
      </w:r>
      <w:r>
        <w:br w:type="page"/>
      </w:r>
    </w:p>
    <w:p>
      <w:pPr>
        <w:pStyle w:val="TextBody"/>
        <w:jc w:val="both"/>
        <w:rPr>
          <w:rFonts w:ascii="times" w:hAnsi="times"/>
          <w:sz w:val="20"/>
        </w:rPr>
      </w:pPr>
      <w:bookmarkStart w:id="37" w:name="page_di48002_1_13"/>
      <w:bookmarkEnd w:id="37"/>
      <w:r>
        <w:rPr>
          <w:rFonts w:ascii="times" w:hAnsi="times"/>
          <w:sz w:val="20"/>
        </w:rPr>
        <w:t xml:space="preserve">exploration and development projects are located in regions that the Company believes are supportive of the mining industry. The Company's LaRonde and Lapa mines and Goldex mine project are located in the Abitibi region of northwestern Quebec, one of North America's principal gold-producing regions. The Company's Kittila mine in northern Finland, Pinos Altos mine and La India mine project in northern Mexico and Meadowbank mine and Meliadine project in Nunavut are also located in regions which the Company believes are supportive of the mining industry. </w:t>
      </w:r>
    </w:p>
    <w:p>
      <w:pPr>
        <w:pStyle w:val="TextBody"/>
        <w:jc w:val="both"/>
        <w:rPr/>
      </w:pPr>
      <w:r>
        <w:rPr/>
        <w:t>        </w:t>
      </w:r>
      <w:r>
        <w:rPr>
          <w:rFonts w:ascii="times" w:hAnsi="times"/>
          <w:i/>
          <w:sz w:val="20"/>
        </w:rPr>
        <w:t>Strong Operating Base.</w:t>
      </w:r>
      <w:r>
        <w:rPr>
          <w:rFonts w:ascii="times" w:hAnsi="times"/>
        </w:rPr>
        <w:t>    </w:t>
      </w:r>
      <w:r>
        <w:rPr>
          <w:rFonts w:ascii="times" w:hAnsi="times"/>
          <w:sz w:val="20"/>
        </w:rPr>
        <w:t xml:space="preserve">Through its acquisition, exploration and development program, the Company has been transformed from a regionally focused, single mine producer to a multi-mine international gold producer with five operating, 100% owned mines. The Company's operations at its existing mines provide a strong base for additional mineral reserve and production development at these properties and for the development of its mines and growth projects in Nunavut, Finland, Mexico and the Abitibi region. The experience gained through building and operating the LaRonde mine has assisted with the Company's development of its other mine projects. In addition, the extensive infrastructure associated with the LaRonde mine supports the nearby Lapa mine and the Goldex mine project. Experience gained at the Meadowbank mine in Nunavut is assisting with the Company's permitting and exploration work at the Meliadine project 290 kilometres away. Similarly, experience building and operating the Pinos Altos mine in Chihuahua, Mexico has assisted the Company's efforts to develop the La India mine project 70 kilometres away in Sonora, Mexico. </w:t>
      </w:r>
    </w:p>
    <w:p>
      <w:pPr>
        <w:pStyle w:val="TextBody"/>
        <w:jc w:val="both"/>
        <w:rPr/>
      </w:pPr>
      <w:r>
        <w:rPr/>
        <w:t>        </w:t>
      </w:r>
      <w:r>
        <w:rPr>
          <w:rFonts w:ascii="times" w:hAnsi="times"/>
          <w:i/>
          <w:sz w:val="20"/>
        </w:rPr>
        <w:t>Highly Experienced Management Team.</w:t>
      </w:r>
      <w:r>
        <w:rPr>
          <w:rFonts w:ascii="times" w:hAnsi="times"/>
        </w:rPr>
        <w:t>    </w:t>
      </w:r>
      <w:r>
        <w:rPr>
          <w:rFonts w:ascii="times" w:hAnsi="times"/>
          <w:sz w:val="20"/>
        </w:rPr>
        <w:t xml:space="preserve">The members of the Company's senior management team have an average of over 22 years of experience in the mining industry. Management's significant experience has underpinned the Company's historical growth and provides a solid base upon which to expand the Company's operations. </w:t>
      </w:r>
    </w:p>
    <w:p>
      <w:pPr>
        <w:pStyle w:val="TextBody"/>
        <w:jc w:val="both"/>
        <w:rPr/>
      </w:pPr>
      <w:r>
        <w:rPr/>
        <w:t>        </w:t>
      </w:r>
      <w:r>
        <w:rPr>
          <w:rFonts w:ascii="times" w:hAnsi="times"/>
          <w:sz w:val="20"/>
        </w:rPr>
        <w:t xml:space="preserve">Based on these strengths, the Company's corporate strategy is to grow production and reserves in mining-friendly regions. </w:t>
      </w:r>
    </w:p>
    <w:p>
      <w:pPr>
        <w:pStyle w:val="TextBody"/>
        <w:jc w:val="both"/>
        <w:rPr>
          <w:rFonts w:ascii="times" w:hAnsi="times"/>
          <w:b/>
          <w:sz w:val="20"/>
        </w:rPr>
      </w:pPr>
      <w:r>
        <w:rPr>
          <w:rFonts w:ascii="times" w:hAnsi="times"/>
          <w:b/>
          <w:sz w:val="20"/>
        </w:rPr>
        <w:t xml:space="preserve">Growth Strategy </w:t>
      </w:r>
    </w:p>
    <w:p>
      <w:pPr>
        <w:pStyle w:val="TextBody"/>
        <w:jc w:val="both"/>
        <w:rPr/>
      </w:pPr>
      <w:r>
        <w:rPr/>
        <w:t>        </w:t>
      </w:r>
      <w:r>
        <w:rPr>
          <w:rFonts w:ascii="times" w:hAnsi="times"/>
          <w:i/>
          <w:sz w:val="20"/>
        </w:rPr>
        <w:t>Optimize and Further Expand Operations.</w:t>
      </w:r>
      <w:r>
        <w:rPr>
          <w:rFonts w:ascii="times" w:hAnsi="times"/>
        </w:rPr>
        <w:t>    </w:t>
      </w:r>
      <w:r>
        <w:rPr>
          <w:rFonts w:ascii="times" w:hAnsi="times"/>
          <w:sz w:val="20"/>
        </w:rPr>
        <w:t xml:space="preserve">The Company continues to focus its resources and efforts on the exploration and development of its properties in Quebec, Nunavut, Finland and Mexico with a view to increasing gold mineral reserves and annual gold production. </w:t>
      </w:r>
    </w:p>
    <w:p>
      <w:pPr>
        <w:pStyle w:val="TextBody"/>
        <w:jc w:val="both"/>
        <w:rPr/>
      </w:pPr>
      <w:r>
        <w:rPr/>
        <w:t>        </w:t>
      </w:r>
      <w:r>
        <w:rPr>
          <w:rFonts w:ascii="times" w:hAnsi="times"/>
          <w:i/>
          <w:sz w:val="20"/>
        </w:rPr>
        <w:t>Leverage Mining Experience.</w:t>
      </w:r>
      <w:r>
        <w:rPr>
          <w:rFonts w:ascii="times" w:hAnsi="times"/>
        </w:rPr>
        <w:t>    </w:t>
      </w:r>
      <w:r>
        <w:rPr>
          <w:rFonts w:ascii="times" w:hAnsi="times"/>
          <w:sz w:val="20"/>
        </w:rPr>
        <w:t xml:space="preserve">The Company believes it can benefit not only from the existing infrastructure at its mines but also from the geological knowledge that it has gained in mining and developing its properties. The Company's strategy is to capitalize on its mining expertise to exploit fully the potential of its properties. </w:t>
      </w:r>
    </w:p>
    <w:p>
      <w:pPr>
        <w:pStyle w:val="TextBody"/>
        <w:jc w:val="both"/>
        <w:rPr/>
      </w:pPr>
      <w:r>
        <w:rPr/>
        <w:t>        </w:t>
      </w:r>
      <w:r>
        <w:rPr>
          <w:rFonts w:ascii="times" w:hAnsi="times"/>
          <w:i/>
          <w:sz w:val="20"/>
        </w:rPr>
        <w:t>Maintain or Expand Gold Reserves.</w:t>
      </w:r>
      <w:r>
        <w:rPr>
          <w:rFonts w:ascii="times" w:hAnsi="times"/>
        </w:rPr>
        <w:t>    </w:t>
      </w:r>
      <w:r>
        <w:rPr>
          <w:rFonts w:ascii="times" w:hAnsi="times"/>
          <w:sz w:val="20"/>
        </w:rPr>
        <w:t xml:space="preserve">The Company is conducting drilling programs at all of its properties with a goal of maintaining or increasing its gold reserves. Since December 31, 2007, on a contained gold ounces basis, the Company has increased its reserves by 12% to 18.68 million ounces (184 million tonnes grading on average 3.16 grams of gold per tonne), including the replacement of 3.34 million ounces of gold produced during that period and 1.43 million ounces of reserves that were reclassified as resources in connection with the suspension of mining operations at the GEZ deposit at Goldex. </w:t>
      </w:r>
    </w:p>
    <w:p>
      <w:pPr>
        <w:pStyle w:val="TextBody"/>
        <w:jc w:val="both"/>
        <w:rPr/>
      </w:pPr>
      <w:r>
        <w:rPr/>
        <w:t>        </w:t>
      </w:r>
      <w:r>
        <w:rPr>
          <w:rFonts w:ascii="times" w:hAnsi="times"/>
          <w:i/>
          <w:sz w:val="20"/>
        </w:rPr>
        <w:t>Growth Through Primary Exploration and Acquisitions.</w:t>
      </w:r>
      <w:r>
        <w:rPr>
          <w:rFonts w:ascii="times" w:hAnsi="times"/>
        </w:rPr>
        <w:t>    </w:t>
      </w:r>
      <w:r>
        <w:rPr>
          <w:rFonts w:ascii="times" w:hAnsi="times"/>
          <w:sz w:val="20"/>
        </w:rPr>
        <w:t xml:space="preserve">The Company's growth strategy has been to pursue the expansion of its development base through the acquisition of additional properties in the Americas and Europe. Historically, the Company's producing properties have resulted from a combination of investments in advanced exploration companies and primary exploration activities. By investing in pre-development stage companies, the Company believes that it has been able to acquire control of projects at favourable prices and reasonable valuations. The Company plans to pursue opportunities for potential growth in gold production and gold reserves through the prudent acquisition or development of exploration properties, development properties, producing properties and other mining business in the Americas and Europe. </w:t>
      </w:r>
    </w:p>
    <w:p>
      <w:pPr>
        <w:pStyle w:val="TextBody"/>
        <w:jc w:val="center"/>
        <w:rPr>
          <w:rFonts w:ascii="times" w:hAnsi="times"/>
        </w:rPr>
      </w:pPr>
      <w:bookmarkStart w:id="38" w:name="toc_di48002_2"/>
      <w:bookmarkStart w:id="39" w:name="di48002_consolidated_capitalization"/>
      <w:bookmarkEnd w:id="38"/>
      <w:bookmarkEnd w:id="39"/>
      <w:r>
        <w:rPr>
          <w:rFonts w:ascii="times" w:hAnsi="times"/>
          <w:sz w:val="20"/>
        </w:rPr>
        <w:br/>
      </w:r>
      <w:r>
        <w:rPr>
          <w:rFonts w:ascii="times" w:hAnsi="times"/>
          <w:b/>
          <w:sz w:val="20"/>
        </w:rPr>
        <w:t xml:space="preserve">CONSOLIDATED CAPITALIZATION </w:t>
      </w:r>
    </w:p>
    <w:p>
      <w:pPr>
        <w:pStyle w:val="TextBody"/>
        <w:jc w:val="both"/>
        <w:rPr/>
      </w:pPr>
      <w:r>
        <w:rPr/>
        <w:t>        </w:t>
      </w:r>
      <w:r>
        <w:rPr>
          <w:rFonts w:ascii="times" w:hAnsi="times"/>
          <w:sz w:val="20"/>
        </w:rPr>
        <w:t xml:space="preserve">There have been no material changes in the Company's share and loan capital, on a consolidated basis, since March 31, 2013, the date of the Company's most recently filed financial statements. </w:t>
      </w:r>
    </w:p>
    <w:p>
      <w:pPr>
        <w:pStyle w:val="TextBody"/>
        <w:jc w:val="center"/>
        <w:rPr>
          <w:rFonts w:ascii="times" w:hAnsi="times"/>
          <w:sz w:val="20"/>
        </w:rPr>
      </w:pPr>
      <w:r>
        <w:rPr>
          <w:rFonts w:ascii="times" w:hAnsi="times"/>
          <w:sz w:val="20"/>
        </w:rPr>
        <w:t>13</w:t>
      </w:r>
    </w:p>
    <w:p>
      <w:pPr>
        <w:pStyle w:val="HorizontalLine"/>
        <w:pBdr>
          <w:bottom w:val="single" w:sz="20" w:space="0" w:color="808080"/>
        </w:pBdr>
        <w:rPr/>
      </w:pPr>
      <w:r>
        <w:rPr/>
      </w:r>
      <w:r>
        <w:br w:type="page"/>
      </w:r>
    </w:p>
    <w:p>
      <w:pPr>
        <w:pStyle w:val="TextBody"/>
        <w:jc w:val="center"/>
        <w:rPr>
          <w:rFonts w:ascii="times" w:hAnsi="times"/>
        </w:rPr>
      </w:pPr>
      <w:bookmarkStart w:id="40" w:name="toc_di48002_3"/>
      <w:bookmarkStart w:id="41" w:name="di48002_use_of_proceeds"/>
      <w:bookmarkStart w:id="42" w:name="page_di48002_1_14"/>
      <w:bookmarkEnd w:id="40"/>
      <w:bookmarkEnd w:id="41"/>
      <w:bookmarkEnd w:id="42"/>
      <w:r>
        <w:rPr>
          <w:rFonts w:ascii="times" w:hAnsi="times"/>
          <w:sz w:val="20"/>
        </w:rPr>
        <w:br/>
      </w:r>
      <w:r>
        <w:rPr>
          <w:rFonts w:ascii="times" w:hAnsi="times"/>
          <w:b/>
          <w:sz w:val="20"/>
        </w:rPr>
        <w:t xml:space="preserve">USE OF PROCEEDS </w:t>
      </w:r>
    </w:p>
    <w:p>
      <w:pPr>
        <w:pStyle w:val="TextBody"/>
        <w:jc w:val="both"/>
        <w:rPr/>
      </w:pPr>
      <w:r>
        <w:rPr/>
        <w:t>        </w:t>
      </w:r>
      <w:r>
        <w:rPr>
          <w:rFonts w:ascii="times" w:hAnsi="times"/>
          <w:sz w:val="20"/>
        </w:rPr>
        <w:t xml:space="preserve">Unless otherwise specified in a Prospectus Supplement, the net proceeds from the sale of the Securities will be used for general corporate purposes, including to fund potential future acquisitions and capital expenditures. Each Prospectus Supplement will contain specific information concerning the use of proceeds from that sale of Securities. </w:t>
      </w:r>
    </w:p>
    <w:p>
      <w:pPr>
        <w:pStyle w:val="TextBody"/>
        <w:jc w:val="both"/>
        <w:rPr/>
      </w:pPr>
      <w:r>
        <w:rPr/>
        <w:t>        </w:t>
      </w:r>
      <w:r>
        <w:rPr>
          <w:rFonts w:ascii="times" w:hAnsi="times"/>
          <w:sz w:val="20"/>
        </w:rPr>
        <w:t xml:space="preserve">All expenses relating to an offering of Securities and any compensation paid to underwriters, dealers or agents, as the case may be, will be paid out of the Company's general funds, unless otherwise stated in the applicable Prospectus Supplement. </w:t>
      </w:r>
    </w:p>
    <w:p>
      <w:pPr>
        <w:pStyle w:val="TextBody"/>
        <w:jc w:val="center"/>
        <w:rPr>
          <w:rFonts w:ascii="times" w:hAnsi="times"/>
        </w:rPr>
      </w:pPr>
      <w:bookmarkStart w:id="43" w:name="toc_di48002_4"/>
      <w:bookmarkStart w:id="44" w:name="di48002_prior_sales"/>
      <w:bookmarkEnd w:id="43"/>
      <w:bookmarkEnd w:id="44"/>
      <w:r>
        <w:rPr>
          <w:rFonts w:ascii="times" w:hAnsi="times"/>
          <w:sz w:val="20"/>
        </w:rPr>
        <w:br/>
      </w:r>
      <w:r>
        <w:rPr>
          <w:rFonts w:ascii="times" w:hAnsi="times"/>
          <w:b/>
          <w:sz w:val="20"/>
        </w:rPr>
        <w:t xml:space="preserve">PRIOR SALES </w:t>
      </w:r>
    </w:p>
    <w:p>
      <w:pPr>
        <w:pStyle w:val="TextBody"/>
        <w:jc w:val="both"/>
        <w:rPr/>
      </w:pPr>
      <w:r>
        <w:rPr/>
        <w:t>        </w:t>
      </w:r>
      <w:r>
        <w:rPr>
          <w:rFonts w:ascii="times" w:hAnsi="times"/>
          <w:sz w:val="20"/>
        </w:rPr>
        <w:t xml:space="preserve">During the 12-month period prior to the date of this prospectus, the Company has issued common shares, or securities convertible into common shares, as follows: </w:t>
      </w:r>
    </w:p>
    <w:tbl>
      <w:tblPr>
        <w:tblW w:w="5000" w:type="pct"/>
        <w:jc w:val="center"/>
        <w:tblInd w:w="0" w:type="dxa"/>
        <w:tblCellMar>
          <w:top w:w="0" w:type="dxa"/>
          <w:left w:w="0" w:type="dxa"/>
          <w:bottom w:w="0" w:type="dxa"/>
          <w:right w:w="0" w:type="dxa"/>
        </w:tblCellMar>
      </w:tblPr>
      <w:tblGrid>
        <w:gridCol w:w="2490"/>
        <w:gridCol w:w="190"/>
        <w:gridCol w:w="111"/>
        <w:gridCol w:w="894"/>
        <w:gridCol w:w="190"/>
        <w:gridCol w:w="111"/>
        <w:gridCol w:w="1063"/>
        <w:gridCol w:w="190"/>
        <w:gridCol w:w="4966"/>
      </w:tblGrid>
      <w:tr>
        <w:trPr/>
        <w:tc>
          <w:tcPr>
            <w:tcW w:w="2490" w:type="dxa"/>
            <w:tcBorders/>
            <w:shd w:fill="auto" w:val="clear"/>
            <w:vAlign w:val="center"/>
          </w:tcPr>
          <w:p>
            <w:pPr>
              <w:pStyle w:val="TableContents"/>
              <w:spacing w:before="0" w:after="283"/>
              <w:rPr>
                <w:sz w:val="4"/>
                <w:szCs w:val="4"/>
              </w:rPr>
            </w:pPr>
            <w:r>
              <w:rPr>
                <w:sz w:val="4"/>
                <w:szCs w:val="4"/>
              </w:rPr>
            </w:r>
          </w:p>
        </w:tc>
        <w:tc>
          <w:tcPr>
            <w:tcW w:w="190" w:type="dxa"/>
            <w:tcBorders/>
            <w:shd w:fill="auto" w:val="clear"/>
            <w:vAlign w:val="center"/>
          </w:tcPr>
          <w:p>
            <w:pPr>
              <w:pStyle w:val="TableContents"/>
              <w:spacing w:before="0" w:after="283"/>
              <w:rPr>
                <w:sz w:val="4"/>
                <w:szCs w:val="4"/>
              </w:rPr>
            </w:pPr>
            <w:r>
              <w:rPr>
                <w:sz w:val="4"/>
                <w:szCs w:val="4"/>
              </w:rPr>
            </w:r>
          </w:p>
        </w:tc>
        <w:tc>
          <w:tcPr>
            <w:tcW w:w="111" w:type="dxa"/>
            <w:tcBorders/>
            <w:shd w:fill="auto" w:val="clear"/>
            <w:vAlign w:val="center"/>
          </w:tcPr>
          <w:p>
            <w:pPr>
              <w:pStyle w:val="TableContents"/>
              <w:spacing w:before="0" w:after="283"/>
              <w:rPr>
                <w:sz w:val="4"/>
                <w:szCs w:val="4"/>
              </w:rPr>
            </w:pPr>
            <w:r>
              <w:rPr>
                <w:sz w:val="4"/>
                <w:szCs w:val="4"/>
              </w:rPr>
            </w:r>
          </w:p>
        </w:tc>
        <w:tc>
          <w:tcPr>
            <w:tcW w:w="894" w:type="dxa"/>
            <w:tcBorders/>
            <w:shd w:fill="auto" w:val="clear"/>
            <w:vAlign w:val="center"/>
          </w:tcPr>
          <w:p>
            <w:pPr>
              <w:pStyle w:val="TableContents"/>
              <w:spacing w:before="0" w:after="283"/>
              <w:rPr>
                <w:sz w:val="4"/>
                <w:szCs w:val="4"/>
              </w:rPr>
            </w:pPr>
            <w:r>
              <w:rPr>
                <w:sz w:val="4"/>
                <w:szCs w:val="4"/>
              </w:rPr>
            </w:r>
          </w:p>
        </w:tc>
        <w:tc>
          <w:tcPr>
            <w:tcW w:w="190" w:type="dxa"/>
            <w:tcBorders/>
            <w:shd w:fill="auto" w:val="clear"/>
            <w:vAlign w:val="center"/>
          </w:tcPr>
          <w:p>
            <w:pPr>
              <w:pStyle w:val="TableContents"/>
              <w:spacing w:before="0" w:after="283"/>
              <w:rPr>
                <w:sz w:val="4"/>
                <w:szCs w:val="4"/>
              </w:rPr>
            </w:pPr>
            <w:r>
              <w:rPr>
                <w:sz w:val="4"/>
                <w:szCs w:val="4"/>
              </w:rPr>
            </w:r>
          </w:p>
        </w:tc>
        <w:tc>
          <w:tcPr>
            <w:tcW w:w="111" w:type="dxa"/>
            <w:tcBorders/>
            <w:shd w:fill="auto" w:val="clear"/>
            <w:vAlign w:val="center"/>
          </w:tcPr>
          <w:p>
            <w:pPr>
              <w:pStyle w:val="TableContents"/>
              <w:spacing w:before="0" w:after="283"/>
              <w:rPr>
                <w:sz w:val="4"/>
                <w:szCs w:val="4"/>
              </w:rPr>
            </w:pPr>
            <w:r>
              <w:rPr>
                <w:sz w:val="4"/>
                <w:szCs w:val="4"/>
              </w:rPr>
            </w:r>
          </w:p>
        </w:tc>
        <w:tc>
          <w:tcPr>
            <w:tcW w:w="1063" w:type="dxa"/>
            <w:tcBorders/>
            <w:shd w:fill="auto" w:val="clear"/>
            <w:vAlign w:val="center"/>
          </w:tcPr>
          <w:p>
            <w:pPr>
              <w:pStyle w:val="TableContents"/>
              <w:spacing w:before="0" w:after="283"/>
              <w:rPr>
                <w:sz w:val="4"/>
                <w:szCs w:val="4"/>
              </w:rPr>
            </w:pPr>
            <w:r>
              <w:rPr>
                <w:sz w:val="4"/>
                <w:szCs w:val="4"/>
              </w:rPr>
            </w:r>
          </w:p>
        </w:tc>
        <w:tc>
          <w:tcPr>
            <w:tcW w:w="190" w:type="dxa"/>
            <w:tcBorders/>
            <w:shd w:fill="auto" w:val="clear"/>
            <w:vAlign w:val="center"/>
          </w:tcPr>
          <w:p>
            <w:pPr>
              <w:pStyle w:val="TableContents"/>
              <w:spacing w:before="0" w:after="283"/>
              <w:rPr>
                <w:sz w:val="4"/>
                <w:szCs w:val="4"/>
              </w:rPr>
            </w:pPr>
            <w:r>
              <w:rPr>
                <w:sz w:val="4"/>
                <w:szCs w:val="4"/>
              </w:rPr>
            </w:r>
          </w:p>
        </w:tc>
        <w:tc>
          <w:tcPr>
            <w:tcW w:w="4966" w:type="dxa"/>
            <w:tcBorders/>
            <w:shd w:fill="auto" w:val="clear"/>
            <w:vAlign w:val="center"/>
          </w:tcPr>
          <w:p>
            <w:pPr>
              <w:pStyle w:val="TableContents"/>
              <w:spacing w:before="0" w:after="283"/>
              <w:rPr>
                <w:sz w:val="4"/>
                <w:szCs w:val="4"/>
              </w:rPr>
            </w:pPr>
            <w:r>
              <w:rPr>
                <w:sz w:val="4"/>
                <w:szCs w:val="4"/>
              </w:rPr>
            </w:r>
          </w:p>
        </w:tc>
      </w:tr>
      <w:tr>
        <w:trPr/>
        <w:tc>
          <w:tcPr>
            <w:tcW w:w="2490" w:type="dxa"/>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Month of Issuance </w:t>
            </w:r>
          </w:p>
        </w:tc>
        <w:tc>
          <w:tcPr>
            <w:tcW w:w="190" w:type="dxa"/>
            <w:tcBorders/>
            <w:shd w:fill="auto" w:val="clear"/>
            <w:vAlign w:val="bottom"/>
          </w:tcPr>
          <w:p>
            <w:pPr>
              <w:pStyle w:val="TableHeading"/>
              <w:suppressLineNumbers/>
              <w:spacing w:before="0" w:after="283"/>
              <w:jc w:val="center"/>
              <w:rPr/>
            </w:pPr>
            <w:r>
              <w:rPr/>
              <w:t> </w:t>
            </w:r>
          </w:p>
        </w:tc>
        <w:tc>
          <w:tcPr>
            <w:tcW w:w="100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Number of</w:t>
              <w:br/>
              <w:t>Securities</w:t>
              <w:br/>
              <w:t xml:space="preserve">Issued </w:t>
            </w:r>
          </w:p>
        </w:tc>
        <w:tc>
          <w:tcPr>
            <w:tcW w:w="190" w:type="dxa"/>
            <w:tcBorders/>
            <w:shd w:fill="auto" w:val="clear"/>
            <w:vAlign w:val="bottom"/>
          </w:tcPr>
          <w:p>
            <w:pPr>
              <w:pStyle w:val="TableHeading"/>
              <w:suppressLineNumbers/>
              <w:spacing w:before="0" w:after="283"/>
              <w:jc w:val="center"/>
              <w:rPr/>
            </w:pPr>
            <w:r>
              <w:rPr/>
              <w:t> </w:t>
            </w:r>
          </w:p>
        </w:tc>
        <w:tc>
          <w:tcPr>
            <w:tcW w:w="117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Issue/Exercise</w:t>
              <w:br/>
              <w:t>Price</w:t>
              <w:br/>
              <w:t xml:space="preserve">(C$) </w:t>
            </w:r>
          </w:p>
        </w:tc>
        <w:tc>
          <w:tcPr>
            <w:tcW w:w="190" w:type="dxa"/>
            <w:tcBorders/>
            <w:shd w:fill="auto" w:val="clear"/>
            <w:vAlign w:val="bottom"/>
          </w:tcPr>
          <w:p>
            <w:pPr>
              <w:pStyle w:val="TableHeading"/>
              <w:suppressLineNumbers/>
              <w:spacing w:before="0" w:after="283"/>
              <w:jc w:val="center"/>
              <w:rPr/>
            </w:pPr>
            <w:r>
              <w:rPr/>
              <w:t> </w:t>
            </w:r>
          </w:p>
        </w:tc>
        <w:tc>
          <w:tcPr>
            <w:tcW w:w="4966" w:type="dxa"/>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Reason for Issuance </w:t>
            </w:r>
          </w:p>
        </w:tc>
      </w:tr>
      <w:tr>
        <w:trPr/>
        <w:tc>
          <w:tcPr>
            <w:tcW w:w="2490" w:type="dxa"/>
            <w:tcBorders/>
            <w:shd w:fill="CCEEFF" w:val="clear"/>
          </w:tcPr>
          <w:p>
            <w:pPr>
              <w:pStyle w:val="TableContents"/>
              <w:spacing w:before="0" w:after="283"/>
              <w:ind w:left="200" w:right="0" w:hanging="200"/>
              <w:rPr>
                <w:rFonts w:ascii="times" w:hAnsi="times"/>
                <w:sz w:val="20"/>
              </w:rPr>
            </w:pPr>
            <w:r>
              <w:rPr>
                <w:rFonts w:ascii="times" w:hAnsi="times"/>
                <w:sz w:val="20"/>
              </w:rPr>
              <w:t>June 2012                                 </w:t>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894" w:type="dxa"/>
            <w:tcBorders/>
            <w:shd w:fill="CCEEFF" w:val="clear"/>
          </w:tcPr>
          <w:p>
            <w:pPr>
              <w:pStyle w:val="TableContents"/>
              <w:spacing w:before="0" w:after="283"/>
              <w:jc w:val="right"/>
              <w:rPr>
                <w:rFonts w:ascii="times" w:hAnsi="times"/>
                <w:sz w:val="20"/>
              </w:rPr>
            </w:pPr>
            <w:r>
              <w:rPr>
                <w:rFonts w:ascii="times" w:hAnsi="times"/>
                <w:sz w:val="20"/>
              </w:rPr>
              <w:t>11,500</w:t>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1063" w:type="dxa"/>
            <w:tcBorders/>
            <w:shd w:fill="CCEEFF" w:val="clear"/>
          </w:tcPr>
          <w:p>
            <w:pPr>
              <w:pStyle w:val="TableContents"/>
              <w:spacing w:before="0" w:after="283"/>
              <w:jc w:val="right"/>
              <w:rPr>
                <w:rFonts w:ascii="times" w:hAnsi="times"/>
                <w:sz w:val="20"/>
              </w:rPr>
            </w:pPr>
            <w:r>
              <w:rPr>
                <w:rFonts w:ascii="times" w:hAnsi="times"/>
                <w:sz w:val="20"/>
              </w:rPr>
              <w:t>37.05</w:t>
            </w:r>
          </w:p>
        </w:tc>
        <w:tc>
          <w:tcPr>
            <w:tcW w:w="190" w:type="dxa"/>
            <w:tcBorders/>
            <w:shd w:fill="CCEEFF" w:val="clear"/>
          </w:tcPr>
          <w:p>
            <w:pPr>
              <w:pStyle w:val="TableContents"/>
              <w:spacing w:before="0" w:after="283"/>
              <w:rPr/>
            </w:pPr>
            <w:r>
              <w:rPr/>
              <w:t> </w:t>
            </w:r>
          </w:p>
        </w:tc>
        <w:tc>
          <w:tcPr>
            <w:tcW w:w="4966" w:type="dxa"/>
            <w:tcBorders/>
            <w:shd w:fill="CCEEFF" w:val="clear"/>
          </w:tcPr>
          <w:p>
            <w:pPr>
              <w:pStyle w:val="TableContents"/>
              <w:spacing w:before="0" w:after="283"/>
              <w:rPr>
                <w:rFonts w:ascii="times" w:hAnsi="times"/>
                <w:sz w:val="20"/>
              </w:rPr>
            </w:pPr>
            <w:r>
              <w:rPr>
                <w:rFonts w:ascii="times" w:hAnsi="times"/>
                <w:sz w:val="20"/>
              </w:rPr>
              <w:t>Exercise of Options</w:t>
            </w:r>
          </w:p>
        </w:tc>
      </w:tr>
      <w:tr>
        <w:trPr/>
        <w:tc>
          <w:tcPr>
            <w:tcW w:w="2490" w:type="dxa"/>
            <w:tcBorders/>
            <w:shd w:fill="FFFFFF" w:val="clear"/>
          </w:tcPr>
          <w:p>
            <w:pPr>
              <w:pStyle w:val="TableContents"/>
              <w:spacing w:before="0" w:after="283"/>
              <w:ind w:left="200" w:right="0" w:hanging="200"/>
              <w:rPr>
                <w:sz w:val="4"/>
                <w:szCs w:val="4"/>
              </w:rPr>
            </w:pPr>
            <w:r>
              <w:rPr>
                <w:sz w:val="4"/>
                <w:szCs w:val="4"/>
              </w:rPr>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894" w:type="dxa"/>
            <w:tcBorders/>
            <w:shd w:fill="FFFFFF" w:val="clear"/>
          </w:tcPr>
          <w:p>
            <w:pPr>
              <w:pStyle w:val="TableContents"/>
              <w:spacing w:before="0" w:after="283"/>
              <w:jc w:val="right"/>
              <w:rPr>
                <w:rFonts w:ascii="times" w:hAnsi="times"/>
                <w:sz w:val="20"/>
              </w:rPr>
            </w:pPr>
            <w:r>
              <w:rPr>
                <w:rFonts w:ascii="times" w:hAnsi="times"/>
                <w:sz w:val="20"/>
              </w:rPr>
              <w:t>103,502</w:t>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1063" w:type="dxa"/>
            <w:tcBorders/>
            <w:shd w:fill="FFFFFF" w:val="clear"/>
          </w:tcPr>
          <w:p>
            <w:pPr>
              <w:pStyle w:val="TableContents"/>
              <w:spacing w:before="0" w:after="283"/>
              <w:jc w:val="right"/>
              <w:rPr>
                <w:rFonts w:ascii="times" w:hAnsi="times"/>
                <w:sz w:val="20"/>
              </w:rPr>
            </w:pPr>
            <w:r>
              <w:rPr>
                <w:rFonts w:ascii="times" w:hAnsi="times"/>
                <w:sz w:val="20"/>
              </w:rPr>
              <w:t>US$37.83</w:t>
            </w:r>
          </w:p>
        </w:tc>
        <w:tc>
          <w:tcPr>
            <w:tcW w:w="190" w:type="dxa"/>
            <w:tcBorders/>
            <w:shd w:fill="FFFFFF" w:val="clear"/>
          </w:tcPr>
          <w:p>
            <w:pPr>
              <w:pStyle w:val="TableContents"/>
              <w:spacing w:before="0" w:after="283"/>
              <w:rPr/>
            </w:pPr>
            <w:r>
              <w:rPr/>
              <w:t> </w:t>
            </w:r>
          </w:p>
        </w:tc>
        <w:tc>
          <w:tcPr>
            <w:tcW w:w="4966" w:type="dxa"/>
            <w:tcBorders/>
            <w:shd w:fill="FFFFFF" w:val="clear"/>
          </w:tcPr>
          <w:p>
            <w:pPr>
              <w:pStyle w:val="TableContents"/>
              <w:spacing w:before="0" w:after="283"/>
              <w:rPr>
                <w:rFonts w:ascii="times" w:hAnsi="times"/>
                <w:sz w:val="20"/>
              </w:rPr>
            </w:pPr>
            <w:r>
              <w:rPr>
                <w:rFonts w:ascii="times" w:hAnsi="times"/>
                <w:sz w:val="20"/>
              </w:rPr>
              <w:t>Shares issued under the Dividend Reinvestment Plan</w:t>
            </w:r>
          </w:p>
        </w:tc>
      </w:tr>
      <w:tr>
        <w:trPr/>
        <w:tc>
          <w:tcPr>
            <w:tcW w:w="2490" w:type="dxa"/>
            <w:tcBorders/>
            <w:shd w:fill="CCEEFF" w:val="clear"/>
          </w:tcPr>
          <w:p>
            <w:pPr>
              <w:pStyle w:val="TableContents"/>
              <w:spacing w:before="0" w:after="283"/>
              <w:ind w:left="200" w:right="0" w:hanging="200"/>
              <w:rPr>
                <w:sz w:val="4"/>
                <w:szCs w:val="4"/>
              </w:rPr>
            </w:pPr>
            <w:r>
              <w:rPr>
                <w:sz w:val="4"/>
                <w:szCs w:val="4"/>
              </w:rPr>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894" w:type="dxa"/>
            <w:tcBorders/>
            <w:shd w:fill="CCEEFF" w:val="clear"/>
          </w:tcPr>
          <w:p>
            <w:pPr>
              <w:pStyle w:val="TableContents"/>
              <w:spacing w:before="0" w:after="283"/>
              <w:jc w:val="right"/>
              <w:rPr>
                <w:rFonts w:ascii="times" w:hAnsi="times"/>
                <w:sz w:val="20"/>
              </w:rPr>
            </w:pPr>
            <w:r>
              <w:rPr>
                <w:rFonts w:ascii="times" w:hAnsi="times"/>
                <w:sz w:val="20"/>
              </w:rPr>
              <w:t>176</w:t>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1063" w:type="dxa"/>
            <w:tcBorders/>
            <w:shd w:fill="CCEEFF" w:val="clear"/>
          </w:tcPr>
          <w:p>
            <w:pPr>
              <w:pStyle w:val="TableContents"/>
              <w:spacing w:before="0" w:after="283"/>
              <w:jc w:val="right"/>
              <w:rPr>
                <w:rFonts w:ascii="times" w:hAnsi="times"/>
                <w:sz w:val="20"/>
              </w:rPr>
            </w:pPr>
            <w:r>
              <w:rPr>
                <w:rFonts w:ascii="times" w:hAnsi="times"/>
                <w:sz w:val="20"/>
              </w:rPr>
              <w:t>US$39.82</w:t>
            </w:r>
          </w:p>
        </w:tc>
        <w:tc>
          <w:tcPr>
            <w:tcW w:w="190" w:type="dxa"/>
            <w:tcBorders/>
            <w:shd w:fill="CCEEFF" w:val="clear"/>
          </w:tcPr>
          <w:p>
            <w:pPr>
              <w:pStyle w:val="TableContents"/>
              <w:spacing w:before="0" w:after="283"/>
              <w:rPr/>
            </w:pPr>
            <w:r>
              <w:rPr/>
              <w:t> </w:t>
            </w:r>
          </w:p>
        </w:tc>
        <w:tc>
          <w:tcPr>
            <w:tcW w:w="4966" w:type="dxa"/>
            <w:tcBorders/>
            <w:shd w:fill="CCEEFF" w:val="clear"/>
          </w:tcPr>
          <w:p>
            <w:pPr>
              <w:pStyle w:val="TableContents"/>
              <w:spacing w:before="0" w:after="283"/>
              <w:rPr>
                <w:rFonts w:ascii="times" w:hAnsi="times"/>
                <w:sz w:val="20"/>
              </w:rPr>
            </w:pPr>
            <w:r>
              <w:rPr>
                <w:rFonts w:ascii="times" w:hAnsi="times"/>
                <w:sz w:val="20"/>
              </w:rPr>
              <w:t>Shares issued under the Dividend Reinvestment Plan</w:t>
            </w:r>
          </w:p>
        </w:tc>
      </w:tr>
      <w:tr>
        <w:trPr/>
        <w:tc>
          <w:tcPr>
            <w:tcW w:w="2490" w:type="dxa"/>
            <w:tcBorders/>
            <w:shd w:fill="FFFFFF" w:val="clear"/>
          </w:tcPr>
          <w:p>
            <w:pPr>
              <w:pStyle w:val="TableContents"/>
              <w:spacing w:before="0" w:after="283"/>
              <w:ind w:left="200" w:right="0" w:hanging="200"/>
              <w:rPr>
                <w:sz w:val="4"/>
                <w:szCs w:val="4"/>
              </w:rPr>
            </w:pPr>
            <w:r>
              <w:rPr>
                <w:sz w:val="4"/>
                <w:szCs w:val="4"/>
              </w:rPr>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894" w:type="dxa"/>
            <w:tcBorders/>
            <w:shd w:fill="FFFFFF" w:val="clear"/>
          </w:tcPr>
          <w:p>
            <w:pPr>
              <w:pStyle w:val="TableContents"/>
              <w:spacing w:before="0" w:after="283"/>
              <w:jc w:val="right"/>
              <w:rPr>
                <w:rFonts w:ascii="times" w:hAnsi="times"/>
                <w:sz w:val="20"/>
              </w:rPr>
            </w:pPr>
            <w:r>
              <w:rPr>
                <w:rFonts w:ascii="times" w:hAnsi="times"/>
                <w:sz w:val="20"/>
              </w:rPr>
              <w:t>1,022</w:t>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1063" w:type="dxa"/>
            <w:tcBorders/>
            <w:shd w:fill="FFFFFF" w:val="clear"/>
          </w:tcPr>
          <w:p>
            <w:pPr>
              <w:pStyle w:val="TableContents"/>
              <w:spacing w:before="0" w:after="283"/>
              <w:jc w:val="right"/>
              <w:rPr>
                <w:rFonts w:ascii="times" w:hAnsi="times"/>
                <w:sz w:val="20"/>
              </w:rPr>
            </w:pPr>
            <w:r>
              <w:rPr>
                <w:rFonts w:ascii="times" w:hAnsi="times"/>
                <w:sz w:val="20"/>
              </w:rPr>
              <w:t>41.21</w:t>
            </w:r>
          </w:p>
        </w:tc>
        <w:tc>
          <w:tcPr>
            <w:tcW w:w="190" w:type="dxa"/>
            <w:tcBorders/>
            <w:shd w:fill="FFFFFF" w:val="clear"/>
          </w:tcPr>
          <w:p>
            <w:pPr>
              <w:pStyle w:val="TableContents"/>
              <w:spacing w:before="0" w:after="283"/>
              <w:rPr/>
            </w:pPr>
            <w:r>
              <w:rPr/>
              <w:t> </w:t>
            </w:r>
          </w:p>
        </w:tc>
        <w:tc>
          <w:tcPr>
            <w:tcW w:w="4966" w:type="dxa"/>
            <w:tcBorders/>
            <w:shd w:fill="FFFFFF" w:val="clear"/>
          </w:tcPr>
          <w:p>
            <w:pPr>
              <w:pStyle w:val="TableContents"/>
              <w:spacing w:before="0" w:after="283"/>
              <w:rPr>
                <w:rFonts w:ascii="times" w:hAnsi="times"/>
                <w:sz w:val="20"/>
              </w:rPr>
            </w:pPr>
            <w:r>
              <w:rPr>
                <w:rFonts w:ascii="times" w:hAnsi="times"/>
                <w:sz w:val="20"/>
              </w:rPr>
              <w:t>Shares issued under the Dividend Reinvestment Plan</w:t>
            </w:r>
          </w:p>
        </w:tc>
      </w:tr>
      <w:tr>
        <w:trPr/>
        <w:tc>
          <w:tcPr>
            <w:tcW w:w="2490" w:type="dxa"/>
            <w:tcBorders/>
            <w:shd w:fill="CCEEFF" w:val="clear"/>
          </w:tcPr>
          <w:p>
            <w:pPr>
              <w:pStyle w:val="TableContents"/>
              <w:spacing w:before="0" w:after="283"/>
              <w:ind w:left="200" w:right="0" w:hanging="200"/>
              <w:rPr>
                <w:sz w:val="4"/>
                <w:szCs w:val="4"/>
              </w:rPr>
            </w:pPr>
            <w:r>
              <w:rPr>
                <w:sz w:val="4"/>
                <w:szCs w:val="4"/>
              </w:rPr>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894" w:type="dxa"/>
            <w:tcBorders/>
            <w:shd w:fill="CCEEFF" w:val="clear"/>
          </w:tcPr>
          <w:p>
            <w:pPr>
              <w:pStyle w:val="TableContents"/>
              <w:spacing w:before="0" w:after="283"/>
              <w:jc w:val="right"/>
              <w:rPr>
                <w:rFonts w:ascii="times" w:hAnsi="times"/>
                <w:sz w:val="20"/>
              </w:rPr>
            </w:pPr>
            <w:r>
              <w:rPr>
                <w:rFonts w:ascii="times" w:hAnsi="times"/>
                <w:sz w:val="20"/>
              </w:rPr>
              <w:t>124,303</w:t>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1063" w:type="dxa"/>
            <w:tcBorders/>
            <w:shd w:fill="CCEEFF" w:val="clear"/>
          </w:tcPr>
          <w:p>
            <w:pPr>
              <w:pStyle w:val="TableContents"/>
              <w:spacing w:before="0" w:after="283"/>
              <w:jc w:val="right"/>
              <w:rPr>
                <w:rFonts w:ascii="times" w:hAnsi="times"/>
                <w:sz w:val="20"/>
              </w:rPr>
            </w:pPr>
            <w:r>
              <w:rPr>
                <w:rFonts w:ascii="times" w:hAnsi="times"/>
                <w:sz w:val="20"/>
              </w:rPr>
              <w:t>41.42</w:t>
            </w:r>
          </w:p>
        </w:tc>
        <w:tc>
          <w:tcPr>
            <w:tcW w:w="190" w:type="dxa"/>
            <w:tcBorders/>
            <w:shd w:fill="CCEEFF" w:val="clear"/>
          </w:tcPr>
          <w:p>
            <w:pPr>
              <w:pStyle w:val="TableContents"/>
              <w:spacing w:before="0" w:after="283"/>
              <w:rPr/>
            </w:pPr>
            <w:r>
              <w:rPr/>
              <w:t> </w:t>
            </w:r>
          </w:p>
        </w:tc>
        <w:tc>
          <w:tcPr>
            <w:tcW w:w="4966" w:type="dxa"/>
            <w:tcBorders/>
            <w:shd w:fill="CCEEFF" w:val="clear"/>
          </w:tcPr>
          <w:p>
            <w:pPr>
              <w:pStyle w:val="TableContents"/>
              <w:spacing w:before="0" w:after="283"/>
              <w:rPr>
                <w:rFonts w:ascii="times" w:hAnsi="times"/>
                <w:sz w:val="20"/>
              </w:rPr>
            </w:pPr>
            <w:r>
              <w:rPr>
                <w:rFonts w:ascii="times" w:hAnsi="times"/>
                <w:sz w:val="20"/>
              </w:rPr>
              <w:t>Shares issued under Employee Share Purchase Plan</w:t>
            </w:r>
          </w:p>
        </w:tc>
      </w:tr>
      <w:tr>
        <w:trPr/>
        <w:tc>
          <w:tcPr>
            <w:tcW w:w="2490" w:type="dxa"/>
            <w:tcBorders/>
            <w:shd w:fill="FFFFFF" w:val="clear"/>
          </w:tcPr>
          <w:p>
            <w:pPr>
              <w:pStyle w:val="TableContents"/>
              <w:spacing w:before="0" w:after="283"/>
              <w:ind w:left="200" w:right="0" w:hanging="200"/>
              <w:rPr>
                <w:sz w:val="4"/>
                <w:szCs w:val="4"/>
              </w:rPr>
            </w:pPr>
            <w:r>
              <w:rPr>
                <w:sz w:val="4"/>
                <w:szCs w:val="4"/>
              </w:rPr>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894" w:type="dxa"/>
            <w:tcBorders/>
            <w:shd w:fill="FFFFFF" w:val="clear"/>
          </w:tcPr>
          <w:p>
            <w:pPr>
              <w:pStyle w:val="TableContents"/>
              <w:spacing w:before="0" w:after="283"/>
              <w:jc w:val="right"/>
              <w:rPr>
                <w:rFonts w:ascii="times" w:hAnsi="times"/>
                <w:sz w:val="20"/>
              </w:rPr>
            </w:pPr>
            <w:r>
              <w:rPr>
                <w:rFonts w:ascii="times" w:hAnsi="times"/>
                <w:sz w:val="20"/>
              </w:rPr>
              <w:t>4,702</w:t>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1063" w:type="dxa"/>
            <w:tcBorders/>
            <w:shd w:fill="FFFFFF" w:val="clear"/>
          </w:tcPr>
          <w:p>
            <w:pPr>
              <w:pStyle w:val="TableContents"/>
              <w:spacing w:before="0" w:after="283"/>
              <w:jc w:val="right"/>
              <w:rPr>
                <w:rFonts w:ascii="times" w:hAnsi="times"/>
                <w:sz w:val="20"/>
              </w:rPr>
            </w:pPr>
            <w:r>
              <w:rPr>
                <w:rFonts w:ascii="times" w:hAnsi="times"/>
                <w:sz w:val="20"/>
              </w:rPr>
              <w:t>US$40.32</w:t>
            </w:r>
          </w:p>
        </w:tc>
        <w:tc>
          <w:tcPr>
            <w:tcW w:w="190" w:type="dxa"/>
            <w:tcBorders/>
            <w:shd w:fill="FFFFFF" w:val="clear"/>
          </w:tcPr>
          <w:p>
            <w:pPr>
              <w:pStyle w:val="TableContents"/>
              <w:spacing w:before="0" w:after="283"/>
              <w:rPr/>
            </w:pPr>
            <w:r>
              <w:rPr/>
              <w:t> </w:t>
            </w:r>
          </w:p>
        </w:tc>
        <w:tc>
          <w:tcPr>
            <w:tcW w:w="4966" w:type="dxa"/>
            <w:tcBorders/>
            <w:shd w:fill="FFFFFF" w:val="clear"/>
          </w:tcPr>
          <w:p>
            <w:pPr>
              <w:pStyle w:val="TableContents"/>
              <w:spacing w:before="0" w:after="283"/>
              <w:rPr>
                <w:rFonts w:ascii="times" w:hAnsi="times"/>
                <w:sz w:val="20"/>
              </w:rPr>
            </w:pPr>
            <w:r>
              <w:rPr>
                <w:rFonts w:ascii="times" w:hAnsi="times"/>
                <w:sz w:val="20"/>
              </w:rPr>
              <w:t>Shares issued under Employee Share Purchase Plan</w:t>
            </w:r>
          </w:p>
        </w:tc>
      </w:tr>
      <w:tr>
        <w:trPr/>
        <w:tc>
          <w:tcPr>
            <w:tcW w:w="2490" w:type="dxa"/>
            <w:tcBorders/>
            <w:shd w:fill="CCEEFF" w:val="clear"/>
          </w:tcPr>
          <w:p>
            <w:pPr>
              <w:pStyle w:val="TableContents"/>
              <w:spacing w:before="0" w:after="283"/>
              <w:ind w:left="200" w:right="0" w:hanging="200"/>
              <w:rPr>
                <w:rFonts w:ascii="times" w:hAnsi="times"/>
                <w:sz w:val="20"/>
              </w:rPr>
            </w:pPr>
            <w:r>
              <w:rPr>
                <w:rFonts w:ascii="times" w:hAnsi="times"/>
                <w:sz w:val="20"/>
              </w:rPr>
              <w:t>July 2012</w:t>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894" w:type="dxa"/>
            <w:tcBorders/>
            <w:shd w:fill="CCEEFF" w:val="clear"/>
          </w:tcPr>
          <w:p>
            <w:pPr>
              <w:pStyle w:val="TableContents"/>
              <w:spacing w:before="0" w:after="283"/>
              <w:jc w:val="right"/>
              <w:rPr>
                <w:rFonts w:ascii="times" w:hAnsi="times"/>
                <w:sz w:val="20"/>
              </w:rPr>
            </w:pPr>
            <w:r>
              <w:rPr>
                <w:rFonts w:ascii="times" w:hAnsi="times"/>
                <w:sz w:val="20"/>
              </w:rPr>
              <w:t>3,000</w:t>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1063" w:type="dxa"/>
            <w:tcBorders/>
            <w:shd w:fill="CCEEFF" w:val="clear"/>
          </w:tcPr>
          <w:p>
            <w:pPr>
              <w:pStyle w:val="TableContents"/>
              <w:spacing w:before="0" w:after="283"/>
              <w:jc w:val="right"/>
              <w:rPr>
                <w:rFonts w:ascii="times" w:hAnsi="times"/>
                <w:sz w:val="20"/>
              </w:rPr>
            </w:pPr>
            <w:r>
              <w:rPr>
                <w:rFonts w:ascii="times" w:hAnsi="times"/>
                <w:sz w:val="20"/>
              </w:rPr>
              <w:t>37.05</w:t>
            </w:r>
          </w:p>
        </w:tc>
        <w:tc>
          <w:tcPr>
            <w:tcW w:w="190" w:type="dxa"/>
            <w:tcBorders/>
            <w:shd w:fill="CCEEFF" w:val="clear"/>
          </w:tcPr>
          <w:p>
            <w:pPr>
              <w:pStyle w:val="TableContents"/>
              <w:spacing w:before="0" w:after="283"/>
              <w:rPr/>
            </w:pPr>
            <w:r>
              <w:rPr/>
              <w:t> </w:t>
            </w:r>
          </w:p>
        </w:tc>
        <w:tc>
          <w:tcPr>
            <w:tcW w:w="4966" w:type="dxa"/>
            <w:tcBorders/>
            <w:shd w:fill="CCEEFF" w:val="clear"/>
          </w:tcPr>
          <w:p>
            <w:pPr>
              <w:pStyle w:val="TableContents"/>
              <w:spacing w:before="0" w:after="283"/>
              <w:rPr>
                <w:rFonts w:ascii="times" w:hAnsi="times"/>
                <w:sz w:val="20"/>
              </w:rPr>
            </w:pPr>
            <w:r>
              <w:rPr>
                <w:rFonts w:ascii="times" w:hAnsi="times"/>
                <w:sz w:val="20"/>
              </w:rPr>
              <w:t>Exercise of Options</w:t>
            </w:r>
          </w:p>
        </w:tc>
      </w:tr>
      <w:tr>
        <w:trPr/>
        <w:tc>
          <w:tcPr>
            <w:tcW w:w="2490" w:type="dxa"/>
            <w:tcBorders/>
            <w:shd w:fill="FFFFFF" w:val="clear"/>
          </w:tcPr>
          <w:p>
            <w:pPr>
              <w:pStyle w:val="TableContents"/>
              <w:spacing w:before="0" w:after="283"/>
              <w:ind w:left="200" w:right="0" w:hanging="200"/>
              <w:rPr>
                <w:sz w:val="4"/>
                <w:szCs w:val="4"/>
              </w:rPr>
            </w:pPr>
            <w:r>
              <w:rPr>
                <w:sz w:val="4"/>
                <w:szCs w:val="4"/>
              </w:rPr>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894" w:type="dxa"/>
            <w:tcBorders/>
            <w:shd w:fill="FFFFFF" w:val="clear"/>
          </w:tcPr>
          <w:p>
            <w:pPr>
              <w:pStyle w:val="TableContents"/>
              <w:spacing w:before="0" w:after="283"/>
              <w:jc w:val="right"/>
              <w:rPr>
                <w:rFonts w:ascii="times" w:hAnsi="times"/>
                <w:sz w:val="20"/>
              </w:rPr>
            </w:pPr>
            <w:r>
              <w:rPr>
                <w:rFonts w:ascii="times" w:hAnsi="times"/>
                <w:sz w:val="20"/>
              </w:rPr>
              <w:t>6,000</w:t>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1063" w:type="dxa"/>
            <w:tcBorders/>
            <w:shd w:fill="FFFFFF" w:val="clear"/>
          </w:tcPr>
          <w:p>
            <w:pPr>
              <w:pStyle w:val="TableContents"/>
              <w:spacing w:before="0" w:after="283"/>
              <w:jc w:val="right"/>
              <w:rPr>
                <w:rFonts w:ascii="times" w:hAnsi="times"/>
                <w:sz w:val="20"/>
              </w:rPr>
            </w:pPr>
            <w:r>
              <w:rPr>
                <w:rFonts w:ascii="times" w:hAnsi="times"/>
                <w:sz w:val="20"/>
              </w:rPr>
              <w:t>43.39</w:t>
            </w:r>
          </w:p>
        </w:tc>
        <w:tc>
          <w:tcPr>
            <w:tcW w:w="190" w:type="dxa"/>
            <w:tcBorders/>
            <w:shd w:fill="FFFFFF" w:val="clear"/>
          </w:tcPr>
          <w:p>
            <w:pPr>
              <w:pStyle w:val="TableContents"/>
              <w:spacing w:before="0" w:after="283"/>
              <w:rPr/>
            </w:pPr>
            <w:r>
              <w:rPr/>
              <w:t> </w:t>
            </w:r>
          </w:p>
        </w:tc>
        <w:tc>
          <w:tcPr>
            <w:tcW w:w="4966" w:type="dxa"/>
            <w:tcBorders/>
            <w:shd w:fill="FFFFFF" w:val="clear"/>
          </w:tcPr>
          <w:p>
            <w:pPr>
              <w:pStyle w:val="TableContents"/>
              <w:spacing w:before="0" w:after="283"/>
              <w:rPr>
                <w:rFonts w:ascii="times" w:hAnsi="times"/>
                <w:sz w:val="20"/>
              </w:rPr>
            </w:pPr>
            <w:r>
              <w:rPr>
                <w:rFonts w:ascii="times" w:hAnsi="times"/>
                <w:sz w:val="20"/>
              </w:rPr>
              <w:t>Option grant</w:t>
            </w:r>
          </w:p>
        </w:tc>
      </w:tr>
      <w:tr>
        <w:trPr/>
        <w:tc>
          <w:tcPr>
            <w:tcW w:w="2490" w:type="dxa"/>
            <w:tcBorders/>
            <w:shd w:fill="CCEEFF" w:val="clear"/>
          </w:tcPr>
          <w:p>
            <w:pPr>
              <w:pStyle w:val="TableContents"/>
              <w:spacing w:before="0" w:after="283"/>
              <w:ind w:left="200" w:right="0" w:hanging="200"/>
              <w:rPr>
                <w:rFonts w:ascii="times" w:hAnsi="times"/>
                <w:sz w:val="20"/>
              </w:rPr>
            </w:pPr>
            <w:r>
              <w:rPr>
                <w:rFonts w:ascii="times" w:hAnsi="times"/>
                <w:sz w:val="20"/>
              </w:rPr>
              <w:t>August 2012</w:t>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894" w:type="dxa"/>
            <w:tcBorders/>
            <w:shd w:fill="CCEEFF" w:val="clear"/>
          </w:tcPr>
          <w:p>
            <w:pPr>
              <w:pStyle w:val="TableContents"/>
              <w:spacing w:before="0" w:after="283"/>
              <w:jc w:val="right"/>
              <w:rPr>
                <w:rFonts w:ascii="times" w:hAnsi="times"/>
                <w:sz w:val="20"/>
              </w:rPr>
            </w:pPr>
            <w:r>
              <w:rPr>
                <w:rFonts w:ascii="times" w:hAnsi="times"/>
                <w:sz w:val="20"/>
              </w:rPr>
              <w:t>82,000</w:t>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1063" w:type="dxa"/>
            <w:tcBorders/>
            <w:shd w:fill="CCEEFF" w:val="clear"/>
          </w:tcPr>
          <w:p>
            <w:pPr>
              <w:pStyle w:val="TableContents"/>
              <w:spacing w:before="0" w:after="283"/>
              <w:jc w:val="right"/>
              <w:rPr>
                <w:rFonts w:ascii="times" w:hAnsi="times"/>
                <w:sz w:val="20"/>
              </w:rPr>
            </w:pPr>
            <w:r>
              <w:rPr>
                <w:rFonts w:ascii="times" w:hAnsi="times"/>
                <w:sz w:val="20"/>
              </w:rPr>
              <w:t>37.05</w:t>
            </w:r>
          </w:p>
        </w:tc>
        <w:tc>
          <w:tcPr>
            <w:tcW w:w="190" w:type="dxa"/>
            <w:tcBorders/>
            <w:shd w:fill="CCEEFF" w:val="clear"/>
          </w:tcPr>
          <w:p>
            <w:pPr>
              <w:pStyle w:val="TableContents"/>
              <w:spacing w:before="0" w:after="283"/>
              <w:rPr/>
            </w:pPr>
            <w:r>
              <w:rPr/>
              <w:t> </w:t>
            </w:r>
          </w:p>
        </w:tc>
        <w:tc>
          <w:tcPr>
            <w:tcW w:w="4966" w:type="dxa"/>
            <w:tcBorders/>
            <w:shd w:fill="CCEEFF" w:val="clear"/>
          </w:tcPr>
          <w:p>
            <w:pPr>
              <w:pStyle w:val="TableContents"/>
              <w:spacing w:before="0" w:after="283"/>
              <w:rPr>
                <w:rFonts w:ascii="times" w:hAnsi="times"/>
                <w:sz w:val="20"/>
              </w:rPr>
            </w:pPr>
            <w:r>
              <w:rPr>
                <w:rFonts w:ascii="times" w:hAnsi="times"/>
                <w:sz w:val="20"/>
              </w:rPr>
              <w:t>Exercise of Options</w:t>
            </w:r>
          </w:p>
        </w:tc>
      </w:tr>
      <w:tr>
        <w:trPr/>
        <w:tc>
          <w:tcPr>
            <w:tcW w:w="2490" w:type="dxa"/>
            <w:tcBorders/>
            <w:shd w:fill="FFFFFF" w:val="clear"/>
          </w:tcPr>
          <w:p>
            <w:pPr>
              <w:pStyle w:val="TableContents"/>
              <w:spacing w:before="0" w:after="283"/>
              <w:ind w:left="200" w:right="0" w:hanging="200"/>
              <w:rPr>
                <w:rFonts w:ascii="times" w:hAnsi="times"/>
                <w:sz w:val="20"/>
              </w:rPr>
            </w:pPr>
            <w:r>
              <w:rPr>
                <w:rFonts w:ascii="times" w:hAnsi="times"/>
                <w:sz w:val="20"/>
              </w:rPr>
              <w:t>September 2012</w:t>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894" w:type="dxa"/>
            <w:tcBorders/>
            <w:shd w:fill="FFFFFF" w:val="clear"/>
          </w:tcPr>
          <w:p>
            <w:pPr>
              <w:pStyle w:val="TableContents"/>
              <w:spacing w:before="0" w:after="283"/>
              <w:jc w:val="right"/>
              <w:rPr>
                <w:rFonts w:ascii="times" w:hAnsi="times"/>
                <w:sz w:val="20"/>
              </w:rPr>
            </w:pPr>
            <w:r>
              <w:rPr>
                <w:rFonts w:ascii="times" w:hAnsi="times"/>
                <w:sz w:val="20"/>
              </w:rPr>
              <w:t>1,000</w:t>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1063" w:type="dxa"/>
            <w:tcBorders/>
            <w:shd w:fill="FFFFFF" w:val="clear"/>
          </w:tcPr>
          <w:p>
            <w:pPr>
              <w:pStyle w:val="TableContents"/>
              <w:spacing w:before="0" w:after="283"/>
              <w:jc w:val="right"/>
              <w:rPr>
                <w:rFonts w:ascii="times" w:hAnsi="times"/>
                <w:sz w:val="20"/>
              </w:rPr>
            </w:pPr>
            <w:r>
              <w:rPr>
                <w:rFonts w:ascii="times" w:hAnsi="times"/>
                <w:sz w:val="20"/>
              </w:rPr>
              <w:t>35.27</w:t>
            </w:r>
          </w:p>
        </w:tc>
        <w:tc>
          <w:tcPr>
            <w:tcW w:w="190" w:type="dxa"/>
            <w:tcBorders/>
            <w:shd w:fill="FFFFFF" w:val="clear"/>
          </w:tcPr>
          <w:p>
            <w:pPr>
              <w:pStyle w:val="TableContents"/>
              <w:spacing w:before="0" w:after="283"/>
              <w:rPr/>
            </w:pPr>
            <w:r>
              <w:rPr/>
              <w:t> </w:t>
            </w:r>
          </w:p>
        </w:tc>
        <w:tc>
          <w:tcPr>
            <w:tcW w:w="4966" w:type="dxa"/>
            <w:tcBorders/>
            <w:shd w:fill="FFFFFF" w:val="clear"/>
          </w:tcPr>
          <w:p>
            <w:pPr>
              <w:pStyle w:val="TableContents"/>
              <w:spacing w:before="0" w:after="283"/>
              <w:rPr>
                <w:rFonts w:ascii="times" w:hAnsi="times"/>
                <w:sz w:val="20"/>
              </w:rPr>
            </w:pPr>
            <w:r>
              <w:rPr>
                <w:rFonts w:ascii="times" w:hAnsi="times"/>
                <w:sz w:val="20"/>
              </w:rPr>
              <w:t>Exercise of Options</w:t>
            </w:r>
          </w:p>
        </w:tc>
      </w:tr>
      <w:tr>
        <w:trPr/>
        <w:tc>
          <w:tcPr>
            <w:tcW w:w="2490" w:type="dxa"/>
            <w:tcBorders/>
            <w:shd w:fill="CCEEFF" w:val="clear"/>
          </w:tcPr>
          <w:p>
            <w:pPr>
              <w:pStyle w:val="TableContents"/>
              <w:spacing w:before="0" w:after="283"/>
              <w:ind w:left="200" w:right="0" w:hanging="200"/>
              <w:rPr>
                <w:sz w:val="4"/>
                <w:szCs w:val="4"/>
              </w:rPr>
            </w:pPr>
            <w:r>
              <w:rPr>
                <w:sz w:val="4"/>
                <w:szCs w:val="4"/>
              </w:rPr>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894" w:type="dxa"/>
            <w:tcBorders/>
            <w:shd w:fill="CCEEFF" w:val="clear"/>
          </w:tcPr>
          <w:p>
            <w:pPr>
              <w:pStyle w:val="TableContents"/>
              <w:spacing w:before="0" w:after="283"/>
              <w:jc w:val="right"/>
              <w:rPr>
                <w:rFonts w:ascii="times" w:hAnsi="times"/>
                <w:sz w:val="20"/>
              </w:rPr>
            </w:pPr>
            <w:r>
              <w:rPr>
                <w:rFonts w:ascii="times" w:hAnsi="times"/>
                <w:sz w:val="20"/>
              </w:rPr>
              <w:t>38,975</w:t>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1063" w:type="dxa"/>
            <w:tcBorders/>
            <w:shd w:fill="CCEEFF" w:val="clear"/>
          </w:tcPr>
          <w:p>
            <w:pPr>
              <w:pStyle w:val="TableContents"/>
              <w:spacing w:before="0" w:after="283"/>
              <w:jc w:val="right"/>
              <w:rPr>
                <w:rFonts w:ascii="times" w:hAnsi="times"/>
                <w:sz w:val="20"/>
              </w:rPr>
            </w:pPr>
            <w:r>
              <w:rPr>
                <w:rFonts w:ascii="times" w:hAnsi="times"/>
                <w:sz w:val="20"/>
              </w:rPr>
              <w:t>37.05</w:t>
            </w:r>
          </w:p>
        </w:tc>
        <w:tc>
          <w:tcPr>
            <w:tcW w:w="190" w:type="dxa"/>
            <w:tcBorders/>
            <w:shd w:fill="CCEEFF" w:val="clear"/>
          </w:tcPr>
          <w:p>
            <w:pPr>
              <w:pStyle w:val="TableContents"/>
              <w:spacing w:before="0" w:after="283"/>
              <w:rPr/>
            </w:pPr>
            <w:r>
              <w:rPr/>
              <w:t> </w:t>
            </w:r>
          </w:p>
        </w:tc>
        <w:tc>
          <w:tcPr>
            <w:tcW w:w="4966" w:type="dxa"/>
            <w:tcBorders/>
            <w:shd w:fill="CCEEFF" w:val="clear"/>
          </w:tcPr>
          <w:p>
            <w:pPr>
              <w:pStyle w:val="TableContents"/>
              <w:spacing w:before="0" w:after="283"/>
              <w:rPr>
                <w:rFonts w:ascii="times" w:hAnsi="times"/>
                <w:sz w:val="20"/>
              </w:rPr>
            </w:pPr>
            <w:r>
              <w:rPr>
                <w:rFonts w:ascii="times" w:hAnsi="times"/>
                <w:sz w:val="20"/>
              </w:rPr>
              <w:t>Exercise of Options</w:t>
            </w:r>
          </w:p>
        </w:tc>
      </w:tr>
      <w:tr>
        <w:trPr/>
        <w:tc>
          <w:tcPr>
            <w:tcW w:w="2490" w:type="dxa"/>
            <w:tcBorders/>
            <w:shd w:fill="FFFFFF" w:val="clear"/>
          </w:tcPr>
          <w:p>
            <w:pPr>
              <w:pStyle w:val="TableContents"/>
              <w:spacing w:before="0" w:after="283"/>
              <w:ind w:left="200" w:right="0" w:hanging="200"/>
              <w:rPr>
                <w:sz w:val="4"/>
                <w:szCs w:val="4"/>
              </w:rPr>
            </w:pPr>
            <w:r>
              <w:rPr>
                <w:sz w:val="4"/>
                <w:szCs w:val="4"/>
              </w:rPr>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894" w:type="dxa"/>
            <w:tcBorders/>
            <w:shd w:fill="FFFFFF" w:val="clear"/>
          </w:tcPr>
          <w:p>
            <w:pPr>
              <w:pStyle w:val="TableContents"/>
              <w:spacing w:before="0" w:after="283"/>
              <w:jc w:val="right"/>
              <w:rPr>
                <w:rFonts w:ascii="times" w:hAnsi="times"/>
                <w:sz w:val="20"/>
              </w:rPr>
            </w:pPr>
            <w:r>
              <w:rPr>
                <w:rFonts w:ascii="times" w:hAnsi="times"/>
                <w:sz w:val="20"/>
              </w:rPr>
              <w:t>250</w:t>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1063" w:type="dxa"/>
            <w:tcBorders/>
            <w:shd w:fill="FFFFFF" w:val="clear"/>
          </w:tcPr>
          <w:p>
            <w:pPr>
              <w:pStyle w:val="TableContents"/>
              <w:spacing w:before="0" w:after="283"/>
              <w:jc w:val="right"/>
              <w:rPr>
                <w:rFonts w:ascii="times" w:hAnsi="times"/>
                <w:sz w:val="20"/>
              </w:rPr>
            </w:pPr>
            <w:r>
              <w:rPr>
                <w:rFonts w:ascii="times" w:hAnsi="times"/>
                <w:sz w:val="20"/>
              </w:rPr>
              <w:t>39.46</w:t>
            </w:r>
          </w:p>
        </w:tc>
        <w:tc>
          <w:tcPr>
            <w:tcW w:w="190" w:type="dxa"/>
            <w:tcBorders/>
            <w:shd w:fill="FFFFFF" w:val="clear"/>
          </w:tcPr>
          <w:p>
            <w:pPr>
              <w:pStyle w:val="TableContents"/>
              <w:spacing w:before="0" w:after="283"/>
              <w:rPr/>
            </w:pPr>
            <w:r>
              <w:rPr/>
              <w:t> </w:t>
            </w:r>
          </w:p>
        </w:tc>
        <w:tc>
          <w:tcPr>
            <w:tcW w:w="4966" w:type="dxa"/>
            <w:tcBorders/>
            <w:shd w:fill="FFFFFF" w:val="clear"/>
          </w:tcPr>
          <w:p>
            <w:pPr>
              <w:pStyle w:val="TableContents"/>
              <w:spacing w:before="0" w:after="283"/>
              <w:rPr>
                <w:rFonts w:ascii="times" w:hAnsi="times"/>
                <w:sz w:val="20"/>
              </w:rPr>
            </w:pPr>
            <w:r>
              <w:rPr>
                <w:rFonts w:ascii="times" w:hAnsi="times"/>
                <w:sz w:val="20"/>
              </w:rPr>
              <w:t>Exercise of Options</w:t>
            </w:r>
          </w:p>
        </w:tc>
      </w:tr>
      <w:tr>
        <w:trPr/>
        <w:tc>
          <w:tcPr>
            <w:tcW w:w="2490" w:type="dxa"/>
            <w:tcBorders/>
            <w:shd w:fill="CCEEFF" w:val="clear"/>
          </w:tcPr>
          <w:p>
            <w:pPr>
              <w:pStyle w:val="TableContents"/>
              <w:spacing w:before="0" w:after="283"/>
              <w:ind w:left="200" w:right="0" w:hanging="200"/>
              <w:rPr>
                <w:sz w:val="4"/>
                <w:szCs w:val="4"/>
              </w:rPr>
            </w:pPr>
            <w:r>
              <w:rPr>
                <w:sz w:val="4"/>
                <w:szCs w:val="4"/>
              </w:rPr>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894" w:type="dxa"/>
            <w:tcBorders/>
            <w:shd w:fill="CCEEFF" w:val="clear"/>
          </w:tcPr>
          <w:p>
            <w:pPr>
              <w:pStyle w:val="TableContents"/>
              <w:spacing w:before="0" w:after="283"/>
              <w:jc w:val="right"/>
              <w:rPr>
                <w:rFonts w:ascii="times" w:hAnsi="times"/>
                <w:sz w:val="20"/>
              </w:rPr>
            </w:pPr>
            <w:r>
              <w:rPr>
                <w:rFonts w:ascii="times" w:hAnsi="times"/>
                <w:sz w:val="20"/>
              </w:rPr>
              <w:t>136,608</w:t>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1063" w:type="dxa"/>
            <w:tcBorders/>
            <w:shd w:fill="CCEEFF" w:val="clear"/>
          </w:tcPr>
          <w:p>
            <w:pPr>
              <w:pStyle w:val="TableContents"/>
              <w:spacing w:before="0" w:after="283"/>
              <w:jc w:val="right"/>
              <w:rPr>
                <w:rFonts w:ascii="times" w:hAnsi="times"/>
                <w:sz w:val="20"/>
              </w:rPr>
            </w:pPr>
            <w:r>
              <w:rPr>
                <w:rFonts w:ascii="times" w:hAnsi="times"/>
                <w:sz w:val="20"/>
              </w:rPr>
              <w:t>US$45.96</w:t>
            </w:r>
          </w:p>
        </w:tc>
        <w:tc>
          <w:tcPr>
            <w:tcW w:w="190" w:type="dxa"/>
            <w:tcBorders/>
            <w:shd w:fill="CCEEFF" w:val="clear"/>
          </w:tcPr>
          <w:p>
            <w:pPr>
              <w:pStyle w:val="TableContents"/>
              <w:spacing w:before="0" w:after="283"/>
              <w:rPr/>
            </w:pPr>
            <w:r>
              <w:rPr/>
              <w:t> </w:t>
            </w:r>
          </w:p>
        </w:tc>
        <w:tc>
          <w:tcPr>
            <w:tcW w:w="4966" w:type="dxa"/>
            <w:tcBorders/>
            <w:shd w:fill="CCEEFF" w:val="clear"/>
          </w:tcPr>
          <w:p>
            <w:pPr>
              <w:pStyle w:val="TableContents"/>
              <w:spacing w:before="0" w:after="283"/>
              <w:rPr>
                <w:rFonts w:ascii="times" w:hAnsi="times"/>
                <w:sz w:val="20"/>
              </w:rPr>
            </w:pPr>
            <w:r>
              <w:rPr>
                <w:rFonts w:ascii="times" w:hAnsi="times"/>
                <w:sz w:val="20"/>
              </w:rPr>
              <w:t>Shares issued under the Dividend Reinvestment Plan</w:t>
            </w:r>
          </w:p>
        </w:tc>
      </w:tr>
      <w:tr>
        <w:trPr/>
        <w:tc>
          <w:tcPr>
            <w:tcW w:w="2490" w:type="dxa"/>
            <w:tcBorders/>
            <w:shd w:fill="FFFFFF" w:val="clear"/>
          </w:tcPr>
          <w:p>
            <w:pPr>
              <w:pStyle w:val="TableContents"/>
              <w:spacing w:before="0" w:after="283"/>
              <w:ind w:left="200" w:right="0" w:hanging="200"/>
              <w:rPr>
                <w:sz w:val="4"/>
                <w:szCs w:val="4"/>
              </w:rPr>
            </w:pPr>
            <w:r>
              <w:rPr>
                <w:sz w:val="4"/>
                <w:szCs w:val="4"/>
              </w:rPr>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894" w:type="dxa"/>
            <w:tcBorders/>
            <w:shd w:fill="FFFFFF" w:val="clear"/>
          </w:tcPr>
          <w:p>
            <w:pPr>
              <w:pStyle w:val="TableContents"/>
              <w:spacing w:before="0" w:after="283"/>
              <w:jc w:val="right"/>
              <w:rPr>
                <w:rFonts w:ascii="times" w:hAnsi="times"/>
                <w:sz w:val="20"/>
              </w:rPr>
            </w:pPr>
            <w:r>
              <w:rPr>
                <w:rFonts w:ascii="times" w:hAnsi="times"/>
                <w:sz w:val="20"/>
              </w:rPr>
              <w:t>10</w:t>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1063" w:type="dxa"/>
            <w:tcBorders/>
            <w:shd w:fill="FFFFFF" w:val="clear"/>
          </w:tcPr>
          <w:p>
            <w:pPr>
              <w:pStyle w:val="TableContents"/>
              <w:spacing w:before="0" w:after="283"/>
              <w:jc w:val="right"/>
              <w:rPr>
                <w:rFonts w:ascii="times" w:hAnsi="times"/>
                <w:sz w:val="20"/>
              </w:rPr>
            </w:pPr>
            <w:r>
              <w:rPr>
                <w:rFonts w:ascii="times" w:hAnsi="times"/>
                <w:sz w:val="20"/>
              </w:rPr>
              <w:t>US$48.38</w:t>
            </w:r>
          </w:p>
        </w:tc>
        <w:tc>
          <w:tcPr>
            <w:tcW w:w="190" w:type="dxa"/>
            <w:tcBorders/>
            <w:shd w:fill="FFFFFF" w:val="clear"/>
          </w:tcPr>
          <w:p>
            <w:pPr>
              <w:pStyle w:val="TableContents"/>
              <w:spacing w:before="0" w:after="283"/>
              <w:rPr/>
            </w:pPr>
            <w:r>
              <w:rPr/>
              <w:t> </w:t>
            </w:r>
          </w:p>
        </w:tc>
        <w:tc>
          <w:tcPr>
            <w:tcW w:w="4966" w:type="dxa"/>
            <w:tcBorders/>
            <w:shd w:fill="FFFFFF" w:val="clear"/>
          </w:tcPr>
          <w:p>
            <w:pPr>
              <w:pStyle w:val="TableContents"/>
              <w:spacing w:before="0" w:after="283"/>
              <w:rPr>
                <w:rFonts w:ascii="times" w:hAnsi="times"/>
                <w:sz w:val="20"/>
              </w:rPr>
            </w:pPr>
            <w:r>
              <w:rPr>
                <w:rFonts w:ascii="times" w:hAnsi="times"/>
                <w:sz w:val="20"/>
              </w:rPr>
              <w:t>Shares issued under the Dividend Reinvestment Plan</w:t>
            </w:r>
          </w:p>
        </w:tc>
      </w:tr>
      <w:tr>
        <w:trPr/>
        <w:tc>
          <w:tcPr>
            <w:tcW w:w="2490" w:type="dxa"/>
            <w:tcBorders/>
            <w:shd w:fill="CCEEFF" w:val="clear"/>
          </w:tcPr>
          <w:p>
            <w:pPr>
              <w:pStyle w:val="TableContents"/>
              <w:spacing w:before="0" w:after="283"/>
              <w:ind w:left="200" w:right="0" w:hanging="200"/>
              <w:rPr>
                <w:sz w:val="4"/>
                <w:szCs w:val="4"/>
              </w:rPr>
            </w:pPr>
            <w:r>
              <w:rPr>
                <w:sz w:val="4"/>
                <w:szCs w:val="4"/>
              </w:rPr>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894" w:type="dxa"/>
            <w:tcBorders/>
            <w:shd w:fill="CCEEFF" w:val="clear"/>
          </w:tcPr>
          <w:p>
            <w:pPr>
              <w:pStyle w:val="TableContents"/>
              <w:spacing w:before="0" w:after="283"/>
              <w:jc w:val="right"/>
              <w:rPr>
                <w:rFonts w:ascii="times" w:hAnsi="times"/>
                <w:sz w:val="20"/>
              </w:rPr>
            </w:pPr>
            <w:r>
              <w:rPr>
                <w:rFonts w:ascii="times" w:hAnsi="times"/>
                <w:sz w:val="20"/>
              </w:rPr>
              <w:t>163</w:t>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1063" w:type="dxa"/>
            <w:tcBorders/>
            <w:shd w:fill="CCEEFF" w:val="clear"/>
          </w:tcPr>
          <w:p>
            <w:pPr>
              <w:pStyle w:val="TableContents"/>
              <w:spacing w:before="0" w:after="283"/>
              <w:jc w:val="right"/>
              <w:rPr>
                <w:rFonts w:ascii="times" w:hAnsi="times"/>
                <w:sz w:val="20"/>
              </w:rPr>
            </w:pPr>
            <w:r>
              <w:rPr>
                <w:rFonts w:ascii="times" w:hAnsi="times"/>
                <w:sz w:val="20"/>
              </w:rPr>
              <w:t>47.73</w:t>
            </w:r>
          </w:p>
        </w:tc>
        <w:tc>
          <w:tcPr>
            <w:tcW w:w="190" w:type="dxa"/>
            <w:tcBorders/>
            <w:shd w:fill="CCEEFF" w:val="clear"/>
          </w:tcPr>
          <w:p>
            <w:pPr>
              <w:pStyle w:val="TableContents"/>
              <w:spacing w:before="0" w:after="283"/>
              <w:rPr/>
            </w:pPr>
            <w:r>
              <w:rPr/>
              <w:t> </w:t>
            </w:r>
          </w:p>
        </w:tc>
        <w:tc>
          <w:tcPr>
            <w:tcW w:w="4966" w:type="dxa"/>
            <w:tcBorders/>
            <w:shd w:fill="CCEEFF" w:val="clear"/>
          </w:tcPr>
          <w:p>
            <w:pPr>
              <w:pStyle w:val="TableContents"/>
              <w:spacing w:before="0" w:after="283"/>
              <w:rPr>
                <w:rFonts w:ascii="times" w:hAnsi="times"/>
                <w:sz w:val="20"/>
              </w:rPr>
            </w:pPr>
            <w:r>
              <w:rPr>
                <w:rFonts w:ascii="times" w:hAnsi="times"/>
                <w:sz w:val="20"/>
              </w:rPr>
              <w:t>Shares issued under the Dividend Reinvestment Plan</w:t>
            </w:r>
          </w:p>
        </w:tc>
      </w:tr>
      <w:tr>
        <w:trPr/>
        <w:tc>
          <w:tcPr>
            <w:tcW w:w="2490" w:type="dxa"/>
            <w:tcBorders/>
            <w:shd w:fill="FFFFFF" w:val="clear"/>
          </w:tcPr>
          <w:p>
            <w:pPr>
              <w:pStyle w:val="TableContents"/>
              <w:spacing w:before="0" w:after="283"/>
              <w:ind w:left="200" w:right="0" w:hanging="200"/>
              <w:rPr>
                <w:sz w:val="4"/>
                <w:szCs w:val="4"/>
              </w:rPr>
            </w:pPr>
            <w:r>
              <w:rPr>
                <w:sz w:val="4"/>
                <w:szCs w:val="4"/>
              </w:rPr>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894" w:type="dxa"/>
            <w:tcBorders/>
            <w:shd w:fill="FFFFFF" w:val="clear"/>
          </w:tcPr>
          <w:p>
            <w:pPr>
              <w:pStyle w:val="TableContents"/>
              <w:spacing w:before="0" w:after="283"/>
              <w:jc w:val="right"/>
              <w:rPr>
                <w:rFonts w:ascii="times" w:hAnsi="times"/>
                <w:sz w:val="20"/>
              </w:rPr>
            </w:pPr>
            <w:r>
              <w:rPr>
                <w:rFonts w:ascii="times" w:hAnsi="times"/>
                <w:sz w:val="20"/>
              </w:rPr>
              <w:t>103,989</w:t>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1063" w:type="dxa"/>
            <w:tcBorders/>
            <w:shd w:fill="FFFFFF" w:val="clear"/>
          </w:tcPr>
          <w:p>
            <w:pPr>
              <w:pStyle w:val="TableContents"/>
              <w:spacing w:before="0" w:after="283"/>
              <w:jc w:val="right"/>
              <w:rPr>
                <w:rFonts w:ascii="times" w:hAnsi="times"/>
                <w:sz w:val="20"/>
              </w:rPr>
            </w:pPr>
            <w:r>
              <w:rPr>
                <w:rFonts w:ascii="times" w:hAnsi="times"/>
                <w:sz w:val="20"/>
              </w:rPr>
              <w:t>49.78</w:t>
            </w:r>
          </w:p>
        </w:tc>
        <w:tc>
          <w:tcPr>
            <w:tcW w:w="190" w:type="dxa"/>
            <w:tcBorders/>
            <w:shd w:fill="FFFFFF" w:val="clear"/>
          </w:tcPr>
          <w:p>
            <w:pPr>
              <w:pStyle w:val="TableContents"/>
              <w:spacing w:before="0" w:after="283"/>
              <w:rPr/>
            </w:pPr>
            <w:r>
              <w:rPr/>
              <w:t> </w:t>
            </w:r>
          </w:p>
        </w:tc>
        <w:tc>
          <w:tcPr>
            <w:tcW w:w="4966" w:type="dxa"/>
            <w:tcBorders/>
            <w:shd w:fill="FFFFFF" w:val="clear"/>
          </w:tcPr>
          <w:p>
            <w:pPr>
              <w:pStyle w:val="TableContents"/>
              <w:spacing w:before="0" w:after="283"/>
              <w:rPr>
                <w:rFonts w:ascii="times" w:hAnsi="times"/>
                <w:sz w:val="20"/>
              </w:rPr>
            </w:pPr>
            <w:r>
              <w:rPr>
                <w:rFonts w:ascii="times" w:hAnsi="times"/>
                <w:sz w:val="20"/>
              </w:rPr>
              <w:t>Shares issued under Employee Share Purchase Plan</w:t>
            </w:r>
          </w:p>
        </w:tc>
      </w:tr>
      <w:tr>
        <w:trPr/>
        <w:tc>
          <w:tcPr>
            <w:tcW w:w="2490" w:type="dxa"/>
            <w:tcBorders/>
            <w:shd w:fill="CCEEFF" w:val="clear"/>
          </w:tcPr>
          <w:p>
            <w:pPr>
              <w:pStyle w:val="TableContents"/>
              <w:spacing w:before="0" w:after="283"/>
              <w:ind w:left="200" w:right="0" w:hanging="200"/>
              <w:rPr>
                <w:sz w:val="4"/>
                <w:szCs w:val="4"/>
              </w:rPr>
            </w:pPr>
            <w:r>
              <w:rPr>
                <w:sz w:val="4"/>
                <w:szCs w:val="4"/>
              </w:rPr>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894" w:type="dxa"/>
            <w:tcBorders/>
            <w:shd w:fill="CCEEFF" w:val="clear"/>
          </w:tcPr>
          <w:p>
            <w:pPr>
              <w:pStyle w:val="TableContents"/>
              <w:spacing w:before="0" w:after="283"/>
              <w:jc w:val="right"/>
              <w:rPr>
                <w:rFonts w:ascii="times" w:hAnsi="times"/>
                <w:sz w:val="20"/>
              </w:rPr>
            </w:pPr>
            <w:r>
              <w:rPr>
                <w:rFonts w:ascii="times" w:hAnsi="times"/>
                <w:sz w:val="20"/>
              </w:rPr>
              <w:t>3,413</w:t>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1063" w:type="dxa"/>
            <w:tcBorders/>
            <w:shd w:fill="CCEEFF" w:val="clear"/>
          </w:tcPr>
          <w:p>
            <w:pPr>
              <w:pStyle w:val="TableContents"/>
              <w:spacing w:before="0" w:after="283"/>
              <w:jc w:val="right"/>
              <w:rPr>
                <w:rFonts w:ascii="times" w:hAnsi="times"/>
                <w:sz w:val="20"/>
              </w:rPr>
            </w:pPr>
            <w:r>
              <w:rPr>
                <w:rFonts w:ascii="times" w:hAnsi="times"/>
                <w:sz w:val="20"/>
              </w:rPr>
              <w:t>US$50.72</w:t>
            </w:r>
          </w:p>
        </w:tc>
        <w:tc>
          <w:tcPr>
            <w:tcW w:w="190" w:type="dxa"/>
            <w:tcBorders/>
            <w:shd w:fill="CCEEFF" w:val="clear"/>
          </w:tcPr>
          <w:p>
            <w:pPr>
              <w:pStyle w:val="TableContents"/>
              <w:spacing w:before="0" w:after="283"/>
              <w:rPr/>
            </w:pPr>
            <w:r>
              <w:rPr/>
              <w:t> </w:t>
            </w:r>
          </w:p>
        </w:tc>
        <w:tc>
          <w:tcPr>
            <w:tcW w:w="4966" w:type="dxa"/>
            <w:tcBorders/>
            <w:shd w:fill="CCEEFF" w:val="clear"/>
          </w:tcPr>
          <w:p>
            <w:pPr>
              <w:pStyle w:val="TableContents"/>
              <w:spacing w:before="0" w:after="283"/>
              <w:rPr>
                <w:rFonts w:ascii="times" w:hAnsi="times"/>
                <w:sz w:val="20"/>
              </w:rPr>
            </w:pPr>
            <w:r>
              <w:rPr>
                <w:rFonts w:ascii="times" w:hAnsi="times"/>
                <w:sz w:val="20"/>
              </w:rPr>
              <w:t>Shares issued under Employee Share Purchase Plan</w:t>
            </w:r>
          </w:p>
        </w:tc>
      </w:tr>
      <w:tr>
        <w:trPr/>
        <w:tc>
          <w:tcPr>
            <w:tcW w:w="2490" w:type="dxa"/>
            <w:tcBorders/>
            <w:shd w:fill="FFFFFF" w:val="clear"/>
          </w:tcPr>
          <w:p>
            <w:pPr>
              <w:pStyle w:val="TableContents"/>
              <w:spacing w:before="0" w:after="283"/>
              <w:ind w:left="200" w:right="0" w:hanging="200"/>
              <w:rPr>
                <w:rFonts w:ascii="times" w:hAnsi="times"/>
                <w:sz w:val="20"/>
              </w:rPr>
            </w:pPr>
            <w:r>
              <w:rPr>
                <w:rFonts w:ascii="times" w:hAnsi="times"/>
                <w:sz w:val="20"/>
              </w:rPr>
              <w:t>October 2012</w:t>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894" w:type="dxa"/>
            <w:tcBorders/>
            <w:shd w:fill="FFFFFF" w:val="clear"/>
          </w:tcPr>
          <w:p>
            <w:pPr>
              <w:pStyle w:val="TableContents"/>
              <w:spacing w:before="0" w:after="283"/>
              <w:jc w:val="right"/>
              <w:rPr>
                <w:rFonts w:ascii="times" w:hAnsi="times"/>
                <w:sz w:val="20"/>
              </w:rPr>
            </w:pPr>
            <w:r>
              <w:rPr>
                <w:rFonts w:ascii="times" w:hAnsi="times"/>
                <w:sz w:val="20"/>
              </w:rPr>
              <w:t>36,300</w:t>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1063" w:type="dxa"/>
            <w:tcBorders/>
            <w:shd w:fill="FFFFFF" w:val="clear"/>
          </w:tcPr>
          <w:p>
            <w:pPr>
              <w:pStyle w:val="TableContents"/>
              <w:spacing w:before="0" w:after="283"/>
              <w:jc w:val="right"/>
              <w:rPr>
                <w:rFonts w:ascii="times" w:hAnsi="times"/>
                <w:sz w:val="20"/>
              </w:rPr>
            </w:pPr>
            <w:r>
              <w:rPr>
                <w:rFonts w:ascii="times" w:hAnsi="times"/>
                <w:sz w:val="20"/>
              </w:rPr>
              <w:t>37.05</w:t>
            </w:r>
          </w:p>
        </w:tc>
        <w:tc>
          <w:tcPr>
            <w:tcW w:w="190" w:type="dxa"/>
            <w:tcBorders/>
            <w:shd w:fill="FFFFFF" w:val="clear"/>
          </w:tcPr>
          <w:p>
            <w:pPr>
              <w:pStyle w:val="TableContents"/>
              <w:spacing w:before="0" w:after="283"/>
              <w:rPr/>
            </w:pPr>
            <w:r>
              <w:rPr/>
              <w:t> </w:t>
            </w:r>
          </w:p>
        </w:tc>
        <w:tc>
          <w:tcPr>
            <w:tcW w:w="4966" w:type="dxa"/>
            <w:tcBorders/>
            <w:shd w:fill="FFFFFF" w:val="clear"/>
          </w:tcPr>
          <w:p>
            <w:pPr>
              <w:pStyle w:val="TableContents"/>
              <w:spacing w:before="0" w:after="283"/>
              <w:rPr>
                <w:rFonts w:ascii="times" w:hAnsi="times"/>
                <w:sz w:val="20"/>
              </w:rPr>
            </w:pPr>
            <w:r>
              <w:rPr>
                <w:rFonts w:ascii="times" w:hAnsi="times"/>
                <w:sz w:val="20"/>
              </w:rPr>
              <w:t>Exercise of Options</w:t>
            </w:r>
          </w:p>
        </w:tc>
      </w:tr>
      <w:tr>
        <w:trPr/>
        <w:tc>
          <w:tcPr>
            <w:tcW w:w="2490" w:type="dxa"/>
            <w:tcBorders/>
            <w:shd w:fill="CCEEFF" w:val="clear"/>
          </w:tcPr>
          <w:p>
            <w:pPr>
              <w:pStyle w:val="TableContents"/>
              <w:spacing w:before="0" w:after="283"/>
              <w:ind w:left="200" w:right="0" w:hanging="200"/>
              <w:rPr>
                <w:rFonts w:ascii="times" w:hAnsi="times"/>
                <w:sz w:val="20"/>
              </w:rPr>
            </w:pPr>
            <w:r>
              <w:rPr>
                <w:rFonts w:ascii="times" w:hAnsi="times"/>
                <w:sz w:val="20"/>
              </w:rPr>
              <w:t>November 2012</w:t>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894" w:type="dxa"/>
            <w:tcBorders/>
            <w:shd w:fill="CCEEFF" w:val="clear"/>
          </w:tcPr>
          <w:p>
            <w:pPr>
              <w:pStyle w:val="TableContents"/>
              <w:spacing w:before="0" w:after="283"/>
              <w:jc w:val="right"/>
              <w:rPr>
                <w:rFonts w:ascii="times" w:hAnsi="times"/>
                <w:sz w:val="20"/>
              </w:rPr>
            </w:pPr>
            <w:r>
              <w:rPr>
                <w:rFonts w:ascii="times" w:hAnsi="times"/>
                <w:sz w:val="20"/>
              </w:rPr>
              <w:t>52,750</w:t>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1063" w:type="dxa"/>
            <w:tcBorders/>
            <w:shd w:fill="CCEEFF" w:val="clear"/>
          </w:tcPr>
          <w:p>
            <w:pPr>
              <w:pStyle w:val="TableContents"/>
              <w:spacing w:before="0" w:after="283"/>
              <w:jc w:val="right"/>
              <w:rPr>
                <w:rFonts w:ascii="times" w:hAnsi="times"/>
                <w:sz w:val="20"/>
              </w:rPr>
            </w:pPr>
            <w:r>
              <w:rPr>
                <w:rFonts w:ascii="times" w:hAnsi="times"/>
                <w:sz w:val="20"/>
              </w:rPr>
              <w:t>37.05</w:t>
            </w:r>
          </w:p>
        </w:tc>
        <w:tc>
          <w:tcPr>
            <w:tcW w:w="190" w:type="dxa"/>
            <w:tcBorders/>
            <w:shd w:fill="CCEEFF" w:val="clear"/>
          </w:tcPr>
          <w:p>
            <w:pPr>
              <w:pStyle w:val="TableContents"/>
              <w:spacing w:before="0" w:after="283"/>
              <w:rPr/>
            </w:pPr>
            <w:r>
              <w:rPr/>
              <w:t> </w:t>
            </w:r>
          </w:p>
        </w:tc>
        <w:tc>
          <w:tcPr>
            <w:tcW w:w="4966" w:type="dxa"/>
            <w:tcBorders/>
            <w:shd w:fill="CCEEFF" w:val="clear"/>
          </w:tcPr>
          <w:p>
            <w:pPr>
              <w:pStyle w:val="TableContents"/>
              <w:spacing w:before="0" w:after="283"/>
              <w:rPr>
                <w:rFonts w:ascii="times" w:hAnsi="times"/>
                <w:sz w:val="20"/>
              </w:rPr>
            </w:pPr>
            <w:r>
              <w:rPr>
                <w:rFonts w:ascii="times" w:hAnsi="times"/>
                <w:sz w:val="20"/>
              </w:rPr>
              <w:t>Exercise of Options</w:t>
            </w:r>
          </w:p>
        </w:tc>
      </w:tr>
      <w:tr>
        <w:trPr/>
        <w:tc>
          <w:tcPr>
            <w:tcW w:w="2490" w:type="dxa"/>
            <w:tcBorders/>
            <w:shd w:fill="FFFFFF" w:val="clear"/>
          </w:tcPr>
          <w:p>
            <w:pPr>
              <w:pStyle w:val="TableContents"/>
              <w:spacing w:before="0" w:after="283"/>
              <w:ind w:left="200" w:right="0" w:hanging="200"/>
              <w:rPr>
                <w:sz w:val="4"/>
                <w:szCs w:val="4"/>
              </w:rPr>
            </w:pPr>
            <w:r>
              <w:rPr>
                <w:sz w:val="4"/>
                <w:szCs w:val="4"/>
              </w:rPr>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894" w:type="dxa"/>
            <w:tcBorders/>
            <w:shd w:fill="FFFFFF" w:val="clear"/>
          </w:tcPr>
          <w:p>
            <w:pPr>
              <w:pStyle w:val="TableContents"/>
              <w:spacing w:before="0" w:after="283"/>
              <w:jc w:val="right"/>
              <w:rPr>
                <w:rFonts w:ascii="times" w:hAnsi="times"/>
                <w:sz w:val="20"/>
              </w:rPr>
            </w:pPr>
            <w:r>
              <w:rPr>
                <w:rFonts w:ascii="times" w:hAnsi="times"/>
                <w:sz w:val="20"/>
              </w:rPr>
              <w:t>500</w:t>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1063" w:type="dxa"/>
            <w:tcBorders/>
            <w:shd w:fill="FFFFFF" w:val="clear"/>
          </w:tcPr>
          <w:p>
            <w:pPr>
              <w:pStyle w:val="TableContents"/>
              <w:spacing w:before="0" w:after="283"/>
              <w:jc w:val="right"/>
              <w:rPr>
                <w:rFonts w:ascii="times" w:hAnsi="times"/>
                <w:sz w:val="20"/>
              </w:rPr>
            </w:pPr>
            <w:r>
              <w:rPr>
                <w:rFonts w:ascii="times" w:hAnsi="times"/>
                <w:sz w:val="20"/>
              </w:rPr>
              <w:t>39.46</w:t>
            </w:r>
          </w:p>
        </w:tc>
        <w:tc>
          <w:tcPr>
            <w:tcW w:w="190" w:type="dxa"/>
            <w:tcBorders/>
            <w:shd w:fill="FFFFFF" w:val="clear"/>
          </w:tcPr>
          <w:p>
            <w:pPr>
              <w:pStyle w:val="TableContents"/>
              <w:spacing w:before="0" w:after="283"/>
              <w:rPr/>
            </w:pPr>
            <w:r>
              <w:rPr/>
              <w:t> </w:t>
            </w:r>
          </w:p>
        </w:tc>
        <w:tc>
          <w:tcPr>
            <w:tcW w:w="4966" w:type="dxa"/>
            <w:tcBorders/>
            <w:shd w:fill="FFFFFF" w:val="clear"/>
          </w:tcPr>
          <w:p>
            <w:pPr>
              <w:pStyle w:val="TableContents"/>
              <w:spacing w:before="0" w:after="283"/>
              <w:rPr>
                <w:rFonts w:ascii="times" w:hAnsi="times"/>
                <w:sz w:val="20"/>
              </w:rPr>
            </w:pPr>
            <w:r>
              <w:rPr>
                <w:rFonts w:ascii="times" w:hAnsi="times"/>
                <w:sz w:val="20"/>
              </w:rPr>
              <w:t>Exercise of Options</w:t>
            </w:r>
          </w:p>
        </w:tc>
      </w:tr>
      <w:tr>
        <w:trPr/>
        <w:tc>
          <w:tcPr>
            <w:tcW w:w="2490" w:type="dxa"/>
            <w:tcBorders/>
            <w:shd w:fill="CCEEFF" w:val="clear"/>
          </w:tcPr>
          <w:p>
            <w:pPr>
              <w:pStyle w:val="TableContents"/>
              <w:spacing w:before="0" w:after="283"/>
              <w:ind w:left="200" w:right="0" w:hanging="200"/>
              <w:rPr>
                <w:sz w:val="4"/>
                <w:szCs w:val="4"/>
              </w:rPr>
            </w:pPr>
            <w:r>
              <w:rPr>
                <w:sz w:val="4"/>
                <w:szCs w:val="4"/>
              </w:rPr>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894" w:type="dxa"/>
            <w:tcBorders/>
            <w:shd w:fill="CCEEFF" w:val="clear"/>
          </w:tcPr>
          <w:p>
            <w:pPr>
              <w:pStyle w:val="TableContents"/>
              <w:spacing w:before="0" w:after="283"/>
              <w:jc w:val="right"/>
              <w:rPr>
                <w:rFonts w:ascii="times" w:hAnsi="times"/>
                <w:sz w:val="20"/>
              </w:rPr>
            </w:pPr>
            <w:r>
              <w:rPr>
                <w:rFonts w:ascii="times" w:hAnsi="times"/>
                <w:sz w:val="20"/>
              </w:rPr>
              <w:t>104,250</w:t>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1063" w:type="dxa"/>
            <w:tcBorders/>
            <w:shd w:fill="CCEEFF" w:val="clear"/>
          </w:tcPr>
          <w:p>
            <w:pPr>
              <w:pStyle w:val="TableContents"/>
              <w:spacing w:before="0" w:after="283"/>
              <w:jc w:val="right"/>
              <w:rPr>
                <w:rFonts w:ascii="times" w:hAnsi="times"/>
                <w:sz w:val="20"/>
              </w:rPr>
            </w:pPr>
            <w:r>
              <w:rPr>
                <w:rFonts w:ascii="times" w:hAnsi="times"/>
                <w:sz w:val="20"/>
              </w:rPr>
              <w:t>54.42</w:t>
            </w:r>
          </w:p>
        </w:tc>
        <w:tc>
          <w:tcPr>
            <w:tcW w:w="190" w:type="dxa"/>
            <w:tcBorders/>
            <w:shd w:fill="CCEEFF" w:val="clear"/>
          </w:tcPr>
          <w:p>
            <w:pPr>
              <w:pStyle w:val="TableContents"/>
              <w:spacing w:before="0" w:after="283"/>
              <w:rPr/>
            </w:pPr>
            <w:r>
              <w:rPr/>
              <w:t> </w:t>
            </w:r>
          </w:p>
        </w:tc>
        <w:tc>
          <w:tcPr>
            <w:tcW w:w="4966" w:type="dxa"/>
            <w:tcBorders/>
            <w:shd w:fill="CCEEFF" w:val="clear"/>
          </w:tcPr>
          <w:p>
            <w:pPr>
              <w:pStyle w:val="TableContents"/>
              <w:spacing w:before="0" w:after="283"/>
              <w:rPr>
                <w:rFonts w:ascii="times" w:hAnsi="times"/>
                <w:sz w:val="20"/>
              </w:rPr>
            </w:pPr>
            <w:r>
              <w:rPr>
                <w:rFonts w:ascii="times" w:hAnsi="times"/>
                <w:sz w:val="20"/>
              </w:rPr>
              <w:t>Exercise of Options</w:t>
            </w:r>
          </w:p>
        </w:tc>
      </w:tr>
      <w:tr>
        <w:trPr/>
        <w:tc>
          <w:tcPr>
            <w:tcW w:w="2490" w:type="dxa"/>
            <w:tcBorders/>
            <w:shd w:fill="FFFFFF" w:val="clear"/>
          </w:tcPr>
          <w:p>
            <w:pPr>
              <w:pStyle w:val="TableContents"/>
              <w:spacing w:before="0" w:after="283"/>
              <w:ind w:left="200" w:right="0" w:hanging="200"/>
              <w:rPr>
                <w:rFonts w:ascii="times" w:hAnsi="times"/>
                <w:sz w:val="20"/>
              </w:rPr>
            </w:pPr>
            <w:r>
              <w:rPr>
                <w:rFonts w:ascii="times" w:hAnsi="times"/>
                <w:sz w:val="20"/>
              </w:rPr>
              <w:t>December 2012</w:t>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894" w:type="dxa"/>
            <w:tcBorders/>
            <w:shd w:fill="FFFFFF" w:val="clear"/>
          </w:tcPr>
          <w:p>
            <w:pPr>
              <w:pStyle w:val="TableContents"/>
              <w:spacing w:before="0" w:after="283"/>
              <w:jc w:val="right"/>
              <w:rPr>
                <w:rFonts w:ascii="times" w:hAnsi="times"/>
                <w:sz w:val="20"/>
              </w:rPr>
            </w:pPr>
            <w:r>
              <w:rPr>
                <w:rFonts w:ascii="times" w:hAnsi="times"/>
                <w:sz w:val="20"/>
              </w:rPr>
              <w:t>4,000</w:t>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1063" w:type="dxa"/>
            <w:tcBorders/>
            <w:shd w:fill="FFFFFF" w:val="clear"/>
          </w:tcPr>
          <w:p>
            <w:pPr>
              <w:pStyle w:val="TableContents"/>
              <w:spacing w:before="0" w:after="283"/>
              <w:jc w:val="right"/>
              <w:rPr>
                <w:rFonts w:ascii="times" w:hAnsi="times"/>
                <w:sz w:val="20"/>
              </w:rPr>
            </w:pPr>
            <w:r>
              <w:rPr>
                <w:rFonts w:ascii="times" w:hAnsi="times"/>
                <w:sz w:val="20"/>
              </w:rPr>
              <w:t>33.26</w:t>
            </w:r>
          </w:p>
        </w:tc>
        <w:tc>
          <w:tcPr>
            <w:tcW w:w="190" w:type="dxa"/>
            <w:tcBorders/>
            <w:shd w:fill="FFFFFF" w:val="clear"/>
          </w:tcPr>
          <w:p>
            <w:pPr>
              <w:pStyle w:val="TableContents"/>
              <w:spacing w:before="0" w:after="283"/>
              <w:rPr/>
            </w:pPr>
            <w:r>
              <w:rPr/>
              <w:t> </w:t>
            </w:r>
          </w:p>
        </w:tc>
        <w:tc>
          <w:tcPr>
            <w:tcW w:w="4966" w:type="dxa"/>
            <w:tcBorders/>
            <w:shd w:fill="FFFFFF" w:val="clear"/>
          </w:tcPr>
          <w:p>
            <w:pPr>
              <w:pStyle w:val="TableContents"/>
              <w:spacing w:before="0" w:after="283"/>
              <w:rPr>
                <w:rFonts w:ascii="times" w:hAnsi="times"/>
                <w:sz w:val="20"/>
              </w:rPr>
            </w:pPr>
            <w:r>
              <w:rPr>
                <w:rFonts w:ascii="times" w:hAnsi="times"/>
                <w:sz w:val="20"/>
              </w:rPr>
              <w:t>Exercise of Options</w:t>
            </w:r>
          </w:p>
        </w:tc>
      </w:tr>
      <w:tr>
        <w:trPr/>
        <w:tc>
          <w:tcPr>
            <w:tcW w:w="2490" w:type="dxa"/>
            <w:tcBorders/>
            <w:shd w:fill="CCEEFF" w:val="clear"/>
          </w:tcPr>
          <w:p>
            <w:pPr>
              <w:pStyle w:val="TableContents"/>
              <w:spacing w:before="0" w:after="283"/>
              <w:ind w:left="200" w:right="0" w:hanging="200"/>
              <w:rPr>
                <w:sz w:val="4"/>
                <w:szCs w:val="4"/>
              </w:rPr>
            </w:pPr>
            <w:r>
              <w:rPr>
                <w:sz w:val="4"/>
                <w:szCs w:val="4"/>
              </w:rPr>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894" w:type="dxa"/>
            <w:tcBorders/>
            <w:shd w:fill="CCEEFF" w:val="clear"/>
          </w:tcPr>
          <w:p>
            <w:pPr>
              <w:pStyle w:val="TableContents"/>
              <w:spacing w:before="0" w:after="283"/>
              <w:jc w:val="right"/>
              <w:rPr>
                <w:rFonts w:ascii="times" w:hAnsi="times"/>
                <w:sz w:val="20"/>
              </w:rPr>
            </w:pPr>
            <w:r>
              <w:rPr>
                <w:rFonts w:ascii="times" w:hAnsi="times"/>
                <w:sz w:val="20"/>
              </w:rPr>
              <w:t>26,500</w:t>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1063" w:type="dxa"/>
            <w:tcBorders/>
            <w:shd w:fill="CCEEFF" w:val="clear"/>
          </w:tcPr>
          <w:p>
            <w:pPr>
              <w:pStyle w:val="TableContents"/>
              <w:spacing w:before="0" w:after="283"/>
              <w:jc w:val="right"/>
              <w:rPr>
                <w:rFonts w:ascii="times" w:hAnsi="times"/>
                <w:sz w:val="20"/>
              </w:rPr>
            </w:pPr>
            <w:r>
              <w:rPr>
                <w:rFonts w:ascii="times" w:hAnsi="times"/>
                <w:sz w:val="20"/>
              </w:rPr>
              <w:t>37.05</w:t>
            </w:r>
          </w:p>
        </w:tc>
        <w:tc>
          <w:tcPr>
            <w:tcW w:w="190" w:type="dxa"/>
            <w:tcBorders/>
            <w:shd w:fill="CCEEFF" w:val="clear"/>
          </w:tcPr>
          <w:p>
            <w:pPr>
              <w:pStyle w:val="TableContents"/>
              <w:spacing w:before="0" w:after="283"/>
              <w:rPr/>
            </w:pPr>
            <w:r>
              <w:rPr/>
              <w:t> </w:t>
            </w:r>
          </w:p>
        </w:tc>
        <w:tc>
          <w:tcPr>
            <w:tcW w:w="4966" w:type="dxa"/>
            <w:tcBorders/>
            <w:shd w:fill="CCEEFF" w:val="clear"/>
          </w:tcPr>
          <w:p>
            <w:pPr>
              <w:pStyle w:val="TableContents"/>
              <w:spacing w:before="0" w:after="283"/>
              <w:rPr>
                <w:rFonts w:ascii="times" w:hAnsi="times"/>
                <w:sz w:val="20"/>
              </w:rPr>
            </w:pPr>
            <w:r>
              <w:rPr>
                <w:rFonts w:ascii="times" w:hAnsi="times"/>
                <w:sz w:val="20"/>
              </w:rPr>
              <w:t>Exercise of Options</w:t>
            </w:r>
          </w:p>
        </w:tc>
      </w:tr>
      <w:tr>
        <w:trPr/>
        <w:tc>
          <w:tcPr>
            <w:tcW w:w="2490" w:type="dxa"/>
            <w:tcBorders/>
            <w:shd w:fill="FFFFFF" w:val="clear"/>
          </w:tcPr>
          <w:p>
            <w:pPr>
              <w:pStyle w:val="TableContents"/>
              <w:spacing w:before="0" w:after="283"/>
              <w:ind w:left="200" w:right="0" w:hanging="200"/>
              <w:rPr>
                <w:sz w:val="4"/>
                <w:szCs w:val="4"/>
              </w:rPr>
            </w:pPr>
            <w:r>
              <w:rPr>
                <w:sz w:val="4"/>
                <w:szCs w:val="4"/>
              </w:rPr>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894" w:type="dxa"/>
            <w:tcBorders/>
            <w:shd w:fill="FFFFFF" w:val="clear"/>
          </w:tcPr>
          <w:p>
            <w:pPr>
              <w:pStyle w:val="TableContents"/>
              <w:spacing w:before="0" w:after="283"/>
              <w:jc w:val="right"/>
              <w:rPr>
                <w:rFonts w:ascii="times" w:hAnsi="times"/>
                <w:sz w:val="20"/>
              </w:rPr>
            </w:pPr>
            <w:r>
              <w:rPr>
                <w:rFonts w:ascii="times" w:hAnsi="times"/>
                <w:sz w:val="20"/>
              </w:rPr>
              <w:t>51,500</w:t>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1063" w:type="dxa"/>
            <w:tcBorders/>
            <w:shd w:fill="FFFFFF" w:val="clear"/>
          </w:tcPr>
          <w:p>
            <w:pPr>
              <w:pStyle w:val="TableContents"/>
              <w:spacing w:before="0" w:after="283"/>
              <w:jc w:val="right"/>
              <w:rPr>
                <w:rFonts w:ascii="times" w:hAnsi="times"/>
                <w:sz w:val="20"/>
              </w:rPr>
            </w:pPr>
            <w:r>
              <w:rPr>
                <w:rFonts w:ascii="times" w:hAnsi="times"/>
                <w:sz w:val="20"/>
              </w:rPr>
              <w:t>54.42</w:t>
            </w:r>
          </w:p>
        </w:tc>
        <w:tc>
          <w:tcPr>
            <w:tcW w:w="190" w:type="dxa"/>
            <w:tcBorders/>
            <w:shd w:fill="FFFFFF" w:val="clear"/>
          </w:tcPr>
          <w:p>
            <w:pPr>
              <w:pStyle w:val="TableContents"/>
              <w:spacing w:before="0" w:after="283"/>
              <w:rPr/>
            </w:pPr>
            <w:r>
              <w:rPr/>
              <w:t> </w:t>
            </w:r>
          </w:p>
        </w:tc>
        <w:tc>
          <w:tcPr>
            <w:tcW w:w="4966" w:type="dxa"/>
            <w:tcBorders/>
            <w:shd w:fill="FFFFFF" w:val="clear"/>
          </w:tcPr>
          <w:p>
            <w:pPr>
              <w:pStyle w:val="TableContents"/>
              <w:spacing w:before="0" w:after="283"/>
              <w:rPr>
                <w:rFonts w:ascii="times" w:hAnsi="times"/>
                <w:sz w:val="20"/>
              </w:rPr>
            </w:pPr>
            <w:r>
              <w:rPr>
                <w:rFonts w:ascii="times" w:hAnsi="times"/>
                <w:sz w:val="20"/>
              </w:rPr>
              <w:t>Exercise of Options</w:t>
            </w:r>
          </w:p>
        </w:tc>
      </w:tr>
      <w:tr>
        <w:trPr/>
        <w:tc>
          <w:tcPr>
            <w:tcW w:w="2490" w:type="dxa"/>
            <w:tcBorders/>
            <w:shd w:fill="CCEEFF" w:val="clear"/>
          </w:tcPr>
          <w:p>
            <w:pPr>
              <w:pStyle w:val="TableContents"/>
              <w:spacing w:before="0" w:after="283"/>
              <w:ind w:left="200" w:right="0" w:hanging="200"/>
              <w:rPr>
                <w:sz w:val="4"/>
                <w:szCs w:val="4"/>
              </w:rPr>
            </w:pPr>
            <w:r>
              <w:rPr>
                <w:sz w:val="4"/>
                <w:szCs w:val="4"/>
              </w:rPr>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894" w:type="dxa"/>
            <w:tcBorders/>
            <w:shd w:fill="CCEEFF" w:val="clear"/>
          </w:tcPr>
          <w:p>
            <w:pPr>
              <w:pStyle w:val="TableContents"/>
              <w:spacing w:before="0" w:after="283"/>
              <w:jc w:val="right"/>
              <w:rPr>
                <w:rFonts w:ascii="times" w:hAnsi="times"/>
                <w:sz w:val="20"/>
              </w:rPr>
            </w:pPr>
            <w:r>
              <w:rPr>
                <w:rFonts w:ascii="times" w:hAnsi="times"/>
                <w:sz w:val="20"/>
              </w:rPr>
              <w:t>97,173</w:t>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1063" w:type="dxa"/>
            <w:tcBorders/>
            <w:shd w:fill="CCEEFF" w:val="clear"/>
          </w:tcPr>
          <w:p>
            <w:pPr>
              <w:pStyle w:val="TableContents"/>
              <w:spacing w:before="0" w:after="283"/>
              <w:jc w:val="right"/>
              <w:rPr>
                <w:rFonts w:ascii="times" w:hAnsi="times"/>
                <w:sz w:val="20"/>
              </w:rPr>
            </w:pPr>
            <w:r>
              <w:rPr>
                <w:rFonts w:ascii="times" w:hAnsi="times"/>
                <w:sz w:val="20"/>
              </w:rPr>
              <w:t>US$51.84</w:t>
            </w:r>
          </w:p>
        </w:tc>
        <w:tc>
          <w:tcPr>
            <w:tcW w:w="190" w:type="dxa"/>
            <w:tcBorders/>
            <w:shd w:fill="CCEEFF" w:val="clear"/>
          </w:tcPr>
          <w:p>
            <w:pPr>
              <w:pStyle w:val="TableContents"/>
              <w:spacing w:before="0" w:after="283"/>
              <w:rPr/>
            </w:pPr>
            <w:r>
              <w:rPr/>
              <w:t> </w:t>
            </w:r>
          </w:p>
        </w:tc>
        <w:tc>
          <w:tcPr>
            <w:tcW w:w="4966" w:type="dxa"/>
            <w:tcBorders/>
            <w:shd w:fill="CCEEFF" w:val="clear"/>
          </w:tcPr>
          <w:p>
            <w:pPr>
              <w:pStyle w:val="TableContents"/>
              <w:spacing w:before="0" w:after="283"/>
              <w:rPr>
                <w:rFonts w:ascii="times" w:hAnsi="times"/>
                <w:sz w:val="20"/>
              </w:rPr>
            </w:pPr>
            <w:r>
              <w:rPr>
                <w:rFonts w:ascii="times" w:hAnsi="times"/>
                <w:sz w:val="20"/>
              </w:rPr>
              <w:t>Shares issued under the Dividend Reinvestment Plan</w:t>
            </w:r>
          </w:p>
        </w:tc>
      </w:tr>
      <w:tr>
        <w:trPr/>
        <w:tc>
          <w:tcPr>
            <w:tcW w:w="2490" w:type="dxa"/>
            <w:tcBorders/>
            <w:shd w:fill="FFFFFF" w:val="clear"/>
          </w:tcPr>
          <w:p>
            <w:pPr>
              <w:pStyle w:val="TableContents"/>
              <w:spacing w:before="0" w:after="283"/>
              <w:ind w:left="200" w:right="0" w:hanging="200"/>
              <w:rPr>
                <w:sz w:val="4"/>
                <w:szCs w:val="4"/>
              </w:rPr>
            </w:pPr>
            <w:r>
              <w:rPr>
                <w:sz w:val="4"/>
                <w:szCs w:val="4"/>
              </w:rPr>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894" w:type="dxa"/>
            <w:tcBorders/>
            <w:shd w:fill="FFFFFF" w:val="clear"/>
          </w:tcPr>
          <w:p>
            <w:pPr>
              <w:pStyle w:val="TableContents"/>
              <w:spacing w:before="0" w:after="283"/>
              <w:jc w:val="right"/>
              <w:rPr>
                <w:rFonts w:ascii="times" w:hAnsi="times"/>
                <w:sz w:val="20"/>
              </w:rPr>
            </w:pPr>
            <w:r>
              <w:rPr>
                <w:rFonts w:ascii="times" w:hAnsi="times"/>
                <w:sz w:val="20"/>
              </w:rPr>
              <w:t>27</w:t>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1063" w:type="dxa"/>
            <w:tcBorders/>
            <w:shd w:fill="FFFFFF" w:val="clear"/>
          </w:tcPr>
          <w:p>
            <w:pPr>
              <w:pStyle w:val="TableContents"/>
              <w:spacing w:before="0" w:after="283"/>
              <w:jc w:val="right"/>
              <w:rPr>
                <w:rFonts w:ascii="times" w:hAnsi="times"/>
                <w:sz w:val="20"/>
              </w:rPr>
            </w:pPr>
            <w:r>
              <w:rPr>
                <w:rFonts w:ascii="times" w:hAnsi="times"/>
                <w:sz w:val="20"/>
              </w:rPr>
              <w:t>US$54.57</w:t>
            </w:r>
          </w:p>
        </w:tc>
        <w:tc>
          <w:tcPr>
            <w:tcW w:w="190" w:type="dxa"/>
            <w:tcBorders/>
            <w:shd w:fill="FFFFFF" w:val="clear"/>
          </w:tcPr>
          <w:p>
            <w:pPr>
              <w:pStyle w:val="TableContents"/>
              <w:spacing w:before="0" w:after="283"/>
              <w:rPr/>
            </w:pPr>
            <w:r>
              <w:rPr/>
              <w:t> </w:t>
            </w:r>
          </w:p>
        </w:tc>
        <w:tc>
          <w:tcPr>
            <w:tcW w:w="4966" w:type="dxa"/>
            <w:tcBorders/>
            <w:shd w:fill="FFFFFF" w:val="clear"/>
          </w:tcPr>
          <w:p>
            <w:pPr>
              <w:pStyle w:val="TableContents"/>
              <w:spacing w:before="0" w:after="283"/>
              <w:rPr>
                <w:rFonts w:ascii="times" w:hAnsi="times"/>
                <w:sz w:val="20"/>
              </w:rPr>
            </w:pPr>
            <w:r>
              <w:rPr>
                <w:rFonts w:ascii="times" w:hAnsi="times"/>
                <w:sz w:val="20"/>
              </w:rPr>
              <w:t>Shares issued under the Dividend Reinvestment Plan</w:t>
            </w:r>
          </w:p>
        </w:tc>
      </w:tr>
      <w:tr>
        <w:trPr/>
        <w:tc>
          <w:tcPr>
            <w:tcW w:w="2490" w:type="dxa"/>
            <w:tcBorders/>
            <w:shd w:fill="CCEEFF" w:val="clear"/>
          </w:tcPr>
          <w:p>
            <w:pPr>
              <w:pStyle w:val="TableContents"/>
              <w:spacing w:before="0" w:after="283"/>
              <w:ind w:left="200" w:right="0" w:hanging="200"/>
              <w:rPr>
                <w:sz w:val="4"/>
                <w:szCs w:val="4"/>
              </w:rPr>
            </w:pPr>
            <w:r>
              <w:rPr>
                <w:sz w:val="4"/>
                <w:szCs w:val="4"/>
              </w:rPr>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894" w:type="dxa"/>
            <w:tcBorders/>
            <w:shd w:fill="CCEEFF" w:val="clear"/>
          </w:tcPr>
          <w:p>
            <w:pPr>
              <w:pStyle w:val="TableContents"/>
              <w:spacing w:before="0" w:after="283"/>
              <w:jc w:val="right"/>
              <w:rPr>
                <w:rFonts w:ascii="times" w:hAnsi="times"/>
                <w:sz w:val="20"/>
              </w:rPr>
            </w:pPr>
            <w:r>
              <w:rPr>
                <w:rFonts w:ascii="times" w:hAnsi="times"/>
                <w:sz w:val="20"/>
              </w:rPr>
              <w:t>196</w:t>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1063" w:type="dxa"/>
            <w:tcBorders/>
            <w:shd w:fill="CCEEFF" w:val="clear"/>
          </w:tcPr>
          <w:p>
            <w:pPr>
              <w:pStyle w:val="TableContents"/>
              <w:spacing w:before="0" w:after="283"/>
              <w:jc w:val="right"/>
              <w:rPr>
                <w:rFonts w:ascii="times" w:hAnsi="times"/>
                <w:sz w:val="20"/>
              </w:rPr>
            </w:pPr>
            <w:r>
              <w:rPr>
                <w:rFonts w:ascii="times" w:hAnsi="times"/>
                <w:sz w:val="20"/>
              </w:rPr>
              <w:t>54.12</w:t>
            </w:r>
          </w:p>
        </w:tc>
        <w:tc>
          <w:tcPr>
            <w:tcW w:w="190" w:type="dxa"/>
            <w:tcBorders/>
            <w:shd w:fill="CCEEFF" w:val="clear"/>
          </w:tcPr>
          <w:p>
            <w:pPr>
              <w:pStyle w:val="TableContents"/>
              <w:spacing w:before="0" w:after="283"/>
              <w:rPr/>
            </w:pPr>
            <w:r>
              <w:rPr/>
              <w:t> </w:t>
            </w:r>
          </w:p>
        </w:tc>
        <w:tc>
          <w:tcPr>
            <w:tcW w:w="4966" w:type="dxa"/>
            <w:tcBorders/>
            <w:shd w:fill="CCEEFF" w:val="clear"/>
          </w:tcPr>
          <w:p>
            <w:pPr>
              <w:pStyle w:val="TableContents"/>
              <w:spacing w:before="0" w:after="283"/>
              <w:rPr>
                <w:rFonts w:ascii="times" w:hAnsi="times"/>
                <w:sz w:val="20"/>
              </w:rPr>
            </w:pPr>
            <w:r>
              <w:rPr>
                <w:rFonts w:ascii="times" w:hAnsi="times"/>
                <w:sz w:val="20"/>
              </w:rPr>
              <w:t>Shares issued under the Dividend Reinvestment Plan</w:t>
            </w:r>
          </w:p>
        </w:tc>
      </w:tr>
      <w:tr>
        <w:trPr/>
        <w:tc>
          <w:tcPr>
            <w:tcW w:w="2490" w:type="dxa"/>
            <w:tcBorders/>
            <w:shd w:fill="FFFFFF" w:val="clear"/>
          </w:tcPr>
          <w:p>
            <w:pPr>
              <w:pStyle w:val="TableContents"/>
              <w:spacing w:before="0" w:after="283"/>
              <w:ind w:left="200" w:right="0" w:hanging="200"/>
              <w:rPr>
                <w:sz w:val="4"/>
                <w:szCs w:val="4"/>
              </w:rPr>
            </w:pPr>
            <w:r>
              <w:rPr>
                <w:sz w:val="4"/>
                <w:szCs w:val="4"/>
              </w:rPr>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894" w:type="dxa"/>
            <w:tcBorders/>
            <w:shd w:fill="FFFFFF" w:val="clear"/>
          </w:tcPr>
          <w:p>
            <w:pPr>
              <w:pStyle w:val="TableContents"/>
              <w:spacing w:before="0" w:after="283"/>
              <w:jc w:val="right"/>
              <w:rPr>
                <w:rFonts w:ascii="times" w:hAnsi="times"/>
                <w:sz w:val="20"/>
              </w:rPr>
            </w:pPr>
            <w:r>
              <w:rPr>
                <w:rFonts w:ascii="times" w:hAnsi="times"/>
                <w:sz w:val="20"/>
              </w:rPr>
              <w:t>105,743</w:t>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1063" w:type="dxa"/>
            <w:tcBorders/>
            <w:shd w:fill="FFFFFF" w:val="clear"/>
          </w:tcPr>
          <w:p>
            <w:pPr>
              <w:pStyle w:val="TableContents"/>
              <w:spacing w:before="0" w:after="283"/>
              <w:jc w:val="right"/>
              <w:rPr>
                <w:rFonts w:ascii="times" w:hAnsi="times"/>
                <w:sz w:val="20"/>
              </w:rPr>
            </w:pPr>
            <w:r>
              <w:rPr>
                <w:rFonts w:ascii="times" w:hAnsi="times"/>
                <w:sz w:val="20"/>
              </w:rPr>
              <w:t>50.79</w:t>
            </w:r>
          </w:p>
        </w:tc>
        <w:tc>
          <w:tcPr>
            <w:tcW w:w="190" w:type="dxa"/>
            <w:tcBorders/>
            <w:shd w:fill="FFFFFF" w:val="clear"/>
          </w:tcPr>
          <w:p>
            <w:pPr>
              <w:pStyle w:val="TableContents"/>
              <w:spacing w:before="0" w:after="283"/>
              <w:rPr/>
            </w:pPr>
            <w:r>
              <w:rPr/>
              <w:t> </w:t>
            </w:r>
          </w:p>
        </w:tc>
        <w:tc>
          <w:tcPr>
            <w:tcW w:w="4966" w:type="dxa"/>
            <w:tcBorders/>
            <w:shd w:fill="FFFFFF" w:val="clear"/>
          </w:tcPr>
          <w:p>
            <w:pPr>
              <w:pStyle w:val="TableContents"/>
              <w:spacing w:before="0" w:after="283"/>
              <w:rPr>
                <w:rFonts w:ascii="times" w:hAnsi="times"/>
                <w:sz w:val="20"/>
              </w:rPr>
            </w:pPr>
            <w:r>
              <w:rPr>
                <w:rFonts w:ascii="times" w:hAnsi="times"/>
                <w:sz w:val="20"/>
              </w:rPr>
              <w:t>Shares issued under Employee Share Purchase Plan</w:t>
            </w:r>
          </w:p>
        </w:tc>
      </w:tr>
      <w:tr>
        <w:trPr/>
        <w:tc>
          <w:tcPr>
            <w:tcW w:w="2490" w:type="dxa"/>
            <w:tcBorders/>
            <w:shd w:fill="CCEEFF" w:val="clear"/>
          </w:tcPr>
          <w:p>
            <w:pPr>
              <w:pStyle w:val="TableContents"/>
              <w:spacing w:before="0" w:after="283"/>
              <w:ind w:left="200" w:right="0" w:hanging="200"/>
              <w:rPr>
                <w:sz w:val="4"/>
                <w:szCs w:val="4"/>
              </w:rPr>
            </w:pPr>
            <w:r>
              <w:rPr>
                <w:sz w:val="4"/>
                <w:szCs w:val="4"/>
              </w:rPr>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894" w:type="dxa"/>
            <w:tcBorders/>
            <w:shd w:fill="CCEEFF" w:val="clear"/>
          </w:tcPr>
          <w:p>
            <w:pPr>
              <w:pStyle w:val="TableContents"/>
              <w:spacing w:before="0" w:after="283"/>
              <w:jc w:val="right"/>
              <w:rPr>
                <w:rFonts w:ascii="times" w:hAnsi="times"/>
                <w:sz w:val="20"/>
              </w:rPr>
            </w:pPr>
            <w:r>
              <w:rPr>
                <w:rFonts w:ascii="times" w:hAnsi="times"/>
                <w:sz w:val="20"/>
              </w:rPr>
              <w:t>3,910</w:t>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1063" w:type="dxa"/>
            <w:tcBorders/>
            <w:shd w:fill="CCEEFF" w:val="clear"/>
          </w:tcPr>
          <w:p>
            <w:pPr>
              <w:pStyle w:val="TableContents"/>
              <w:spacing w:before="0" w:after="283"/>
              <w:jc w:val="right"/>
              <w:rPr>
                <w:rFonts w:ascii="times" w:hAnsi="times"/>
                <w:sz w:val="20"/>
              </w:rPr>
            </w:pPr>
            <w:r>
              <w:rPr>
                <w:rFonts w:ascii="times" w:hAnsi="times"/>
                <w:sz w:val="20"/>
              </w:rPr>
              <w:t>US$51.01</w:t>
            </w:r>
          </w:p>
        </w:tc>
        <w:tc>
          <w:tcPr>
            <w:tcW w:w="190" w:type="dxa"/>
            <w:tcBorders/>
            <w:shd w:fill="CCEEFF" w:val="clear"/>
          </w:tcPr>
          <w:p>
            <w:pPr>
              <w:pStyle w:val="TableContents"/>
              <w:spacing w:before="0" w:after="283"/>
              <w:rPr/>
            </w:pPr>
            <w:r>
              <w:rPr/>
              <w:t> </w:t>
            </w:r>
          </w:p>
        </w:tc>
        <w:tc>
          <w:tcPr>
            <w:tcW w:w="4966" w:type="dxa"/>
            <w:tcBorders/>
            <w:shd w:fill="CCEEFF" w:val="clear"/>
          </w:tcPr>
          <w:p>
            <w:pPr>
              <w:pStyle w:val="TableContents"/>
              <w:spacing w:before="0" w:after="283"/>
              <w:rPr>
                <w:rFonts w:ascii="times" w:hAnsi="times"/>
                <w:sz w:val="20"/>
              </w:rPr>
            </w:pPr>
            <w:r>
              <w:rPr>
                <w:rFonts w:ascii="times" w:hAnsi="times"/>
                <w:sz w:val="20"/>
              </w:rPr>
              <w:t>Shares issued under Employee Share Purchase Plan</w:t>
            </w:r>
          </w:p>
        </w:tc>
      </w:tr>
      <w:tr>
        <w:trPr/>
        <w:tc>
          <w:tcPr>
            <w:tcW w:w="2490" w:type="dxa"/>
            <w:tcBorders/>
            <w:shd w:fill="FFFFFF" w:val="clear"/>
          </w:tcPr>
          <w:p>
            <w:pPr>
              <w:pStyle w:val="TableContents"/>
              <w:spacing w:before="0" w:after="283"/>
              <w:ind w:left="200" w:right="0" w:hanging="200"/>
              <w:rPr>
                <w:sz w:val="4"/>
                <w:szCs w:val="4"/>
              </w:rPr>
            </w:pPr>
            <w:r>
              <w:rPr>
                <w:sz w:val="4"/>
                <w:szCs w:val="4"/>
              </w:rPr>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894" w:type="dxa"/>
            <w:tcBorders/>
            <w:shd w:fill="FFFFFF" w:val="clear"/>
          </w:tcPr>
          <w:p>
            <w:pPr>
              <w:pStyle w:val="TableContents"/>
              <w:spacing w:before="0" w:after="283"/>
              <w:jc w:val="right"/>
              <w:rPr>
                <w:rFonts w:ascii="times" w:hAnsi="times"/>
                <w:sz w:val="20"/>
              </w:rPr>
            </w:pPr>
            <w:r>
              <w:rPr>
                <w:rFonts w:ascii="times" w:hAnsi="times"/>
                <w:sz w:val="20"/>
              </w:rPr>
              <w:t>27</w:t>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1063" w:type="dxa"/>
            <w:tcBorders/>
            <w:shd w:fill="FFFFFF" w:val="clear"/>
          </w:tcPr>
          <w:p>
            <w:pPr>
              <w:pStyle w:val="TableContents"/>
              <w:spacing w:before="0" w:after="283"/>
              <w:jc w:val="right"/>
              <w:rPr>
                <w:rFonts w:ascii="times" w:hAnsi="times"/>
                <w:sz w:val="20"/>
              </w:rPr>
            </w:pPr>
            <w:r>
              <w:rPr>
                <w:rFonts w:ascii="times" w:hAnsi="times"/>
                <w:sz w:val="20"/>
              </w:rPr>
              <w:t>41.42</w:t>
            </w:r>
          </w:p>
        </w:tc>
        <w:tc>
          <w:tcPr>
            <w:tcW w:w="190" w:type="dxa"/>
            <w:tcBorders/>
            <w:shd w:fill="FFFFFF" w:val="clear"/>
          </w:tcPr>
          <w:p>
            <w:pPr>
              <w:pStyle w:val="TableContents"/>
              <w:spacing w:before="0" w:after="283"/>
              <w:rPr/>
            </w:pPr>
            <w:r>
              <w:rPr/>
              <w:t> </w:t>
            </w:r>
          </w:p>
        </w:tc>
        <w:tc>
          <w:tcPr>
            <w:tcW w:w="4966" w:type="dxa"/>
            <w:tcBorders/>
            <w:shd w:fill="FFFFFF" w:val="clear"/>
          </w:tcPr>
          <w:p>
            <w:pPr>
              <w:pStyle w:val="TableContents"/>
              <w:spacing w:before="0" w:after="283"/>
              <w:rPr>
                <w:rFonts w:ascii="times" w:hAnsi="times"/>
                <w:sz w:val="20"/>
              </w:rPr>
            </w:pPr>
            <w:r>
              <w:rPr>
                <w:rFonts w:ascii="times" w:hAnsi="times"/>
                <w:sz w:val="20"/>
              </w:rPr>
              <w:t>Shares issued under Employee Share Purchase Plan</w:t>
            </w:r>
          </w:p>
        </w:tc>
      </w:tr>
      <w:tr>
        <w:trPr/>
        <w:tc>
          <w:tcPr>
            <w:tcW w:w="2490" w:type="dxa"/>
            <w:tcBorders/>
            <w:shd w:fill="CCEEFF" w:val="clear"/>
          </w:tcPr>
          <w:p>
            <w:pPr>
              <w:pStyle w:val="TableContents"/>
              <w:spacing w:before="0" w:after="283"/>
              <w:ind w:left="200" w:right="0" w:hanging="200"/>
              <w:rPr>
                <w:rFonts w:ascii="times" w:hAnsi="times"/>
                <w:sz w:val="20"/>
              </w:rPr>
            </w:pPr>
            <w:r>
              <w:rPr>
                <w:rFonts w:ascii="times" w:hAnsi="times"/>
                <w:sz w:val="20"/>
              </w:rPr>
              <w:t>January 2013</w:t>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894" w:type="dxa"/>
            <w:tcBorders/>
            <w:shd w:fill="CCEEFF" w:val="clear"/>
          </w:tcPr>
          <w:p>
            <w:pPr>
              <w:pStyle w:val="TableContents"/>
              <w:spacing w:before="0" w:after="283"/>
              <w:jc w:val="right"/>
              <w:rPr>
                <w:rFonts w:ascii="times" w:hAnsi="times"/>
                <w:sz w:val="20"/>
              </w:rPr>
            </w:pPr>
            <w:r>
              <w:rPr>
                <w:rFonts w:ascii="times" w:hAnsi="times"/>
                <w:sz w:val="20"/>
              </w:rPr>
              <w:t>203,000</w:t>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1063" w:type="dxa"/>
            <w:tcBorders/>
            <w:shd w:fill="CCEEFF" w:val="clear"/>
          </w:tcPr>
          <w:p>
            <w:pPr>
              <w:pStyle w:val="TableContents"/>
              <w:spacing w:before="0" w:after="283"/>
              <w:jc w:val="right"/>
              <w:rPr>
                <w:rFonts w:ascii="times" w:hAnsi="times"/>
                <w:sz w:val="20"/>
              </w:rPr>
            </w:pPr>
            <w:r>
              <w:rPr>
                <w:rFonts w:ascii="times" w:hAnsi="times"/>
                <w:sz w:val="20"/>
              </w:rPr>
              <w:t>37.05</w:t>
            </w:r>
          </w:p>
        </w:tc>
        <w:tc>
          <w:tcPr>
            <w:tcW w:w="190" w:type="dxa"/>
            <w:tcBorders/>
            <w:shd w:fill="CCEEFF" w:val="clear"/>
          </w:tcPr>
          <w:p>
            <w:pPr>
              <w:pStyle w:val="TableContents"/>
              <w:spacing w:before="0" w:after="283"/>
              <w:rPr/>
            </w:pPr>
            <w:r>
              <w:rPr/>
              <w:t> </w:t>
            </w:r>
          </w:p>
        </w:tc>
        <w:tc>
          <w:tcPr>
            <w:tcW w:w="4966" w:type="dxa"/>
            <w:tcBorders/>
            <w:shd w:fill="CCEEFF" w:val="clear"/>
          </w:tcPr>
          <w:p>
            <w:pPr>
              <w:pStyle w:val="TableContents"/>
              <w:spacing w:before="0" w:after="283"/>
              <w:rPr>
                <w:rFonts w:ascii="times" w:hAnsi="times"/>
                <w:sz w:val="20"/>
              </w:rPr>
            </w:pPr>
            <w:r>
              <w:rPr>
                <w:rFonts w:ascii="times" w:hAnsi="times"/>
                <w:sz w:val="20"/>
              </w:rPr>
              <w:t>Exercise of Options</w:t>
            </w:r>
          </w:p>
        </w:tc>
      </w:tr>
      <w:tr>
        <w:trPr/>
        <w:tc>
          <w:tcPr>
            <w:tcW w:w="2490" w:type="dxa"/>
            <w:tcBorders/>
            <w:shd w:fill="FFFFFF" w:val="clear"/>
          </w:tcPr>
          <w:p>
            <w:pPr>
              <w:pStyle w:val="TableContents"/>
              <w:spacing w:before="0" w:after="283"/>
              <w:ind w:left="200" w:right="0" w:hanging="200"/>
              <w:rPr>
                <w:sz w:val="4"/>
                <w:szCs w:val="4"/>
              </w:rPr>
            </w:pPr>
            <w:r>
              <w:rPr>
                <w:sz w:val="4"/>
                <w:szCs w:val="4"/>
              </w:rPr>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894" w:type="dxa"/>
            <w:tcBorders/>
            <w:shd w:fill="FFFFFF" w:val="clear"/>
          </w:tcPr>
          <w:p>
            <w:pPr>
              <w:pStyle w:val="TableContents"/>
              <w:spacing w:before="0" w:after="283"/>
              <w:jc w:val="right"/>
              <w:rPr>
                <w:rFonts w:ascii="times" w:hAnsi="times"/>
                <w:sz w:val="20"/>
              </w:rPr>
            </w:pPr>
            <w:r>
              <w:rPr>
                <w:rFonts w:ascii="times" w:hAnsi="times"/>
                <w:sz w:val="20"/>
              </w:rPr>
              <w:t>500</w:t>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1063" w:type="dxa"/>
            <w:tcBorders/>
            <w:shd w:fill="FFFFFF" w:val="clear"/>
          </w:tcPr>
          <w:p>
            <w:pPr>
              <w:pStyle w:val="TableContents"/>
              <w:spacing w:before="0" w:after="283"/>
              <w:jc w:val="right"/>
              <w:rPr>
                <w:rFonts w:ascii="times" w:hAnsi="times"/>
                <w:sz w:val="20"/>
              </w:rPr>
            </w:pPr>
            <w:r>
              <w:rPr>
                <w:rFonts w:ascii="times" w:hAnsi="times"/>
                <w:sz w:val="20"/>
              </w:rPr>
              <w:t>43.39</w:t>
            </w:r>
          </w:p>
        </w:tc>
        <w:tc>
          <w:tcPr>
            <w:tcW w:w="190" w:type="dxa"/>
            <w:tcBorders/>
            <w:shd w:fill="FFFFFF" w:val="clear"/>
          </w:tcPr>
          <w:p>
            <w:pPr>
              <w:pStyle w:val="TableContents"/>
              <w:spacing w:before="0" w:after="283"/>
              <w:rPr/>
            </w:pPr>
            <w:r>
              <w:rPr/>
              <w:t> </w:t>
            </w:r>
          </w:p>
        </w:tc>
        <w:tc>
          <w:tcPr>
            <w:tcW w:w="4966" w:type="dxa"/>
            <w:tcBorders/>
            <w:shd w:fill="FFFFFF" w:val="clear"/>
          </w:tcPr>
          <w:p>
            <w:pPr>
              <w:pStyle w:val="TableContents"/>
              <w:spacing w:before="0" w:after="283"/>
              <w:rPr>
                <w:rFonts w:ascii="times" w:hAnsi="times"/>
                <w:sz w:val="20"/>
              </w:rPr>
            </w:pPr>
            <w:r>
              <w:rPr>
                <w:rFonts w:ascii="times" w:hAnsi="times"/>
                <w:sz w:val="20"/>
              </w:rPr>
              <w:t>Exercise of Options</w:t>
            </w:r>
          </w:p>
        </w:tc>
      </w:tr>
      <w:tr>
        <w:trPr/>
        <w:tc>
          <w:tcPr>
            <w:tcW w:w="2490" w:type="dxa"/>
            <w:tcBorders/>
            <w:shd w:fill="CCEEFF" w:val="clear"/>
          </w:tcPr>
          <w:p>
            <w:pPr>
              <w:pStyle w:val="TableContents"/>
              <w:spacing w:before="0" w:after="283"/>
              <w:ind w:left="200" w:right="0" w:hanging="200"/>
              <w:rPr>
                <w:sz w:val="4"/>
                <w:szCs w:val="4"/>
              </w:rPr>
            </w:pPr>
            <w:r>
              <w:rPr>
                <w:sz w:val="4"/>
                <w:szCs w:val="4"/>
              </w:rPr>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894" w:type="dxa"/>
            <w:tcBorders/>
            <w:shd w:fill="CCEEFF" w:val="clear"/>
          </w:tcPr>
          <w:p>
            <w:pPr>
              <w:pStyle w:val="TableContents"/>
              <w:spacing w:before="0" w:after="283"/>
              <w:jc w:val="right"/>
              <w:rPr>
                <w:rFonts w:ascii="times" w:hAnsi="times"/>
                <w:sz w:val="20"/>
              </w:rPr>
            </w:pPr>
            <w:r>
              <w:rPr>
                <w:rFonts w:ascii="times" w:hAnsi="times"/>
                <w:sz w:val="20"/>
              </w:rPr>
              <w:t>2,803,000</w:t>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1063" w:type="dxa"/>
            <w:tcBorders/>
            <w:shd w:fill="CCEEFF" w:val="clear"/>
          </w:tcPr>
          <w:p>
            <w:pPr>
              <w:pStyle w:val="TableContents"/>
              <w:spacing w:before="0" w:after="283"/>
              <w:jc w:val="right"/>
              <w:rPr>
                <w:rFonts w:ascii="times" w:hAnsi="times"/>
                <w:sz w:val="20"/>
              </w:rPr>
            </w:pPr>
            <w:r>
              <w:rPr>
                <w:rFonts w:ascii="times" w:hAnsi="times"/>
                <w:sz w:val="20"/>
              </w:rPr>
              <w:t>52.13</w:t>
            </w:r>
          </w:p>
        </w:tc>
        <w:tc>
          <w:tcPr>
            <w:tcW w:w="190" w:type="dxa"/>
            <w:tcBorders/>
            <w:shd w:fill="CCEEFF" w:val="clear"/>
          </w:tcPr>
          <w:p>
            <w:pPr>
              <w:pStyle w:val="TableContents"/>
              <w:spacing w:before="0" w:after="283"/>
              <w:rPr/>
            </w:pPr>
            <w:r>
              <w:rPr/>
              <w:t> </w:t>
            </w:r>
          </w:p>
        </w:tc>
        <w:tc>
          <w:tcPr>
            <w:tcW w:w="4966" w:type="dxa"/>
            <w:tcBorders/>
            <w:shd w:fill="CCEEFF" w:val="clear"/>
          </w:tcPr>
          <w:p>
            <w:pPr>
              <w:pStyle w:val="TableContents"/>
              <w:spacing w:before="0" w:after="283"/>
              <w:rPr>
                <w:rFonts w:ascii="times" w:hAnsi="times"/>
                <w:sz w:val="20"/>
              </w:rPr>
            </w:pPr>
            <w:r>
              <w:rPr>
                <w:rFonts w:ascii="times" w:hAnsi="times"/>
                <w:sz w:val="20"/>
              </w:rPr>
              <w:t>Option grant</w:t>
            </w:r>
          </w:p>
        </w:tc>
      </w:tr>
      <w:tr>
        <w:trPr/>
        <w:tc>
          <w:tcPr>
            <w:tcW w:w="2490" w:type="dxa"/>
            <w:tcBorders/>
            <w:shd w:fill="FFFFFF" w:val="clear"/>
          </w:tcPr>
          <w:p>
            <w:pPr>
              <w:pStyle w:val="TableContents"/>
              <w:spacing w:before="0" w:after="283"/>
              <w:ind w:left="200" w:right="0" w:hanging="200"/>
              <w:rPr>
                <w:sz w:val="4"/>
                <w:szCs w:val="4"/>
              </w:rPr>
            </w:pPr>
            <w:r>
              <w:rPr>
                <w:sz w:val="4"/>
                <w:szCs w:val="4"/>
              </w:rPr>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894" w:type="dxa"/>
            <w:tcBorders/>
            <w:shd w:fill="FFFFFF" w:val="clear"/>
          </w:tcPr>
          <w:p>
            <w:pPr>
              <w:pStyle w:val="TableContents"/>
              <w:spacing w:before="0" w:after="283"/>
              <w:jc w:val="right"/>
              <w:rPr>
                <w:rFonts w:ascii="times" w:hAnsi="times"/>
                <w:sz w:val="20"/>
              </w:rPr>
            </w:pPr>
            <w:r>
              <w:rPr>
                <w:rFonts w:ascii="times" w:hAnsi="times"/>
                <w:sz w:val="20"/>
              </w:rPr>
              <w:t>409,790</w:t>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1063" w:type="dxa"/>
            <w:tcBorders/>
            <w:shd w:fill="FFFFFF" w:val="clear"/>
          </w:tcPr>
          <w:p>
            <w:pPr>
              <w:pStyle w:val="TableContents"/>
              <w:spacing w:before="0" w:after="283"/>
              <w:jc w:val="right"/>
              <w:rPr>
                <w:rFonts w:ascii="times" w:hAnsi="times"/>
                <w:sz w:val="20"/>
              </w:rPr>
            </w:pPr>
            <w:r>
              <w:rPr>
                <w:rFonts w:ascii="times" w:hAnsi="times"/>
                <w:sz w:val="20"/>
              </w:rPr>
              <w:t>48.25</w:t>
            </w:r>
          </w:p>
        </w:tc>
        <w:tc>
          <w:tcPr>
            <w:tcW w:w="190" w:type="dxa"/>
            <w:tcBorders/>
            <w:shd w:fill="FFFFFF" w:val="clear"/>
          </w:tcPr>
          <w:p>
            <w:pPr>
              <w:pStyle w:val="TableContents"/>
              <w:spacing w:before="0" w:after="283"/>
              <w:rPr/>
            </w:pPr>
            <w:r>
              <w:rPr/>
              <w:t> </w:t>
            </w:r>
          </w:p>
        </w:tc>
        <w:tc>
          <w:tcPr>
            <w:tcW w:w="4966" w:type="dxa"/>
            <w:tcBorders/>
            <w:shd w:fill="FFFFFF" w:val="clear"/>
          </w:tcPr>
          <w:p>
            <w:pPr>
              <w:pStyle w:val="TableContents"/>
              <w:spacing w:before="0" w:after="283"/>
              <w:rPr>
                <w:rFonts w:ascii="times" w:hAnsi="times"/>
                <w:sz w:val="20"/>
              </w:rPr>
            </w:pPr>
            <w:r>
              <w:rPr>
                <w:rFonts w:ascii="times" w:hAnsi="times"/>
                <w:sz w:val="20"/>
              </w:rPr>
              <w:t>Restricted Share Unit grant</w:t>
            </w:r>
          </w:p>
        </w:tc>
      </w:tr>
      <w:tr>
        <w:trPr/>
        <w:tc>
          <w:tcPr>
            <w:tcW w:w="2490" w:type="dxa"/>
            <w:tcBorders/>
            <w:shd w:fill="CCEEFF" w:val="clear"/>
          </w:tcPr>
          <w:p>
            <w:pPr>
              <w:pStyle w:val="TableContents"/>
              <w:spacing w:before="0" w:after="283"/>
              <w:ind w:left="200" w:right="0" w:hanging="200"/>
              <w:rPr>
                <w:rFonts w:ascii="times" w:hAnsi="times"/>
                <w:sz w:val="20"/>
              </w:rPr>
            </w:pPr>
            <w:r>
              <w:rPr>
                <w:rFonts w:ascii="times" w:hAnsi="times"/>
                <w:sz w:val="20"/>
              </w:rPr>
              <w:t>February 2013</w:t>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894" w:type="dxa"/>
            <w:tcBorders/>
            <w:shd w:fill="CCEEFF" w:val="clear"/>
          </w:tcPr>
          <w:p>
            <w:pPr>
              <w:pStyle w:val="TableContents"/>
              <w:spacing w:before="0" w:after="283"/>
              <w:jc w:val="right"/>
              <w:rPr>
                <w:rFonts w:ascii="times" w:hAnsi="times"/>
                <w:sz w:val="20"/>
              </w:rPr>
            </w:pPr>
            <w:r>
              <w:rPr>
                <w:rFonts w:ascii="times" w:hAnsi="times"/>
                <w:sz w:val="20"/>
              </w:rPr>
              <w:t>2,000</w:t>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1063" w:type="dxa"/>
            <w:tcBorders/>
            <w:shd w:fill="CCEEFF" w:val="clear"/>
          </w:tcPr>
          <w:p>
            <w:pPr>
              <w:pStyle w:val="TableContents"/>
              <w:spacing w:before="0" w:after="283"/>
              <w:jc w:val="right"/>
              <w:rPr>
                <w:rFonts w:ascii="times" w:hAnsi="times"/>
                <w:sz w:val="20"/>
              </w:rPr>
            </w:pPr>
            <w:r>
              <w:rPr>
                <w:rFonts w:ascii="times" w:hAnsi="times"/>
                <w:sz w:val="20"/>
              </w:rPr>
              <w:t>37.05</w:t>
            </w:r>
          </w:p>
        </w:tc>
        <w:tc>
          <w:tcPr>
            <w:tcW w:w="190" w:type="dxa"/>
            <w:tcBorders/>
            <w:shd w:fill="CCEEFF" w:val="clear"/>
          </w:tcPr>
          <w:p>
            <w:pPr>
              <w:pStyle w:val="TableContents"/>
              <w:spacing w:before="0" w:after="283"/>
              <w:rPr/>
            </w:pPr>
            <w:r>
              <w:rPr/>
              <w:t> </w:t>
            </w:r>
          </w:p>
        </w:tc>
        <w:tc>
          <w:tcPr>
            <w:tcW w:w="4966" w:type="dxa"/>
            <w:tcBorders/>
            <w:shd w:fill="CCEEFF" w:val="clear"/>
          </w:tcPr>
          <w:p>
            <w:pPr>
              <w:pStyle w:val="TableContents"/>
              <w:spacing w:before="0" w:after="283"/>
              <w:rPr>
                <w:rFonts w:ascii="times" w:hAnsi="times"/>
                <w:sz w:val="20"/>
              </w:rPr>
            </w:pPr>
            <w:r>
              <w:rPr>
                <w:rFonts w:ascii="times" w:hAnsi="times"/>
                <w:sz w:val="20"/>
              </w:rPr>
              <w:t>Exercise of Options</w:t>
            </w:r>
          </w:p>
        </w:tc>
      </w:tr>
      <w:tr>
        <w:trPr/>
        <w:tc>
          <w:tcPr>
            <w:tcW w:w="2490" w:type="dxa"/>
            <w:tcBorders/>
            <w:shd w:fill="FFFFFF" w:val="clear"/>
          </w:tcPr>
          <w:p>
            <w:pPr>
              <w:pStyle w:val="TableContents"/>
              <w:spacing w:before="0" w:after="283"/>
              <w:ind w:left="200" w:right="0" w:hanging="200"/>
              <w:rPr>
                <w:sz w:val="4"/>
                <w:szCs w:val="4"/>
              </w:rPr>
            </w:pPr>
            <w:r>
              <w:rPr>
                <w:sz w:val="4"/>
                <w:szCs w:val="4"/>
              </w:rPr>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894" w:type="dxa"/>
            <w:tcBorders/>
            <w:shd w:fill="FFFFFF" w:val="clear"/>
          </w:tcPr>
          <w:p>
            <w:pPr>
              <w:pStyle w:val="TableContents"/>
              <w:spacing w:before="0" w:after="283"/>
              <w:jc w:val="right"/>
              <w:rPr>
                <w:rFonts w:ascii="times" w:hAnsi="times"/>
                <w:sz w:val="20"/>
              </w:rPr>
            </w:pPr>
            <w:r>
              <w:rPr>
                <w:rFonts w:ascii="times" w:hAnsi="times"/>
                <w:sz w:val="20"/>
              </w:rPr>
              <w:t>12,763</w:t>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1063" w:type="dxa"/>
            <w:tcBorders/>
            <w:shd w:fill="FFFFFF" w:val="clear"/>
          </w:tcPr>
          <w:p>
            <w:pPr>
              <w:pStyle w:val="TableContents"/>
              <w:spacing w:before="0" w:after="283"/>
              <w:jc w:val="right"/>
              <w:rPr>
                <w:rFonts w:ascii="times" w:hAnsi="times"/>
                <w:sz w:val="20"/>
              </w:rPr>
            </w:pPr>
            <w:r>
              <w:rPr>
                <w:rFonts w:ascii="times" w:hAnsi="times"/>
                <w:sz w:val="20"/>
              </w:rPr>
              <w:t>40.84</w:t>
            </w:r>
          </w:p>
        </w:tc>
        <w:tc>
          <w:tcPr>
            <w:tcW w:w="190" w:type="dxa"/>
            <w:tcBorders/>
            <w:shd w:fill="FFFFFF" w:val="clear"/>
          </w:tcPr>
          <w:p>
            <w:pPr>
              <w:pStyle w:val="TableContents"/>
              <w:spacing w:before="0" w:after="283"/>
              <w:rPr/>
            </w:pPr>
            <w:r>
              <w:rPr/>
              <w:t> </w:t>
            </w:r>
          </w:p>
        </w:tc>
        <w:tc>
          <w:tcPr>
            <w:tcW w:w="4966" w:type="dxa"/>
            <w:tcBorders/>
            <w:shd w:fill="FFFFFF" w:val="clear"/>
          </w:tcPr>
          <w:p>
            <w:pPr>
              <w:pStyle w:val="TableContents"/>
              <w:spacing w:before="0" w:after="283"/>
              <w:rPr>
                <w:rFonts w:ascii="times" w:hAnsi="times"/>
                <w:sz w:val="20"/>
              </w:rPr>
            </w:pPr>
            <w:r>
              <w:rPr>
                <w:rFonts w:ascii="times" w:hAnsi="times"/>
                <w:sz w:val="20"/>
              </w:rPr>
              <w:t>Restricted Share Unit grant</w:t>
            </w:r>
          </w:p>
        </w:tc>
      </w:tr>
    </w:tbl>
    <w:p>
      <w:pPr>
        <w:pStyle w:val="TextBody"/>
        <w:jc w:val="center"/>
        <w:rPr>
          <w:rFonts w:ascii="times" w:hAnsi="times"/>
          <w:sz w:val="20"/>
        </w:rPr>
      </w:pPr>
      <w:r>
        <w:rPr>
          <w:rFonts w:ascii="times" w:hAnsi="times"/>
          <w:sz w:val="20"/>
        </w:rPr>
        <w:t>14</w:t>
      </w:r>
    </w:p>
    <w:p>
      <w:pPr>
        <w:pStyle w:val="HorizontalLine"/>
        <w:pBdr>
          <w:bottom w:val="single" w:sz="20" w:space="0" w:color="808080"/>
        </w:pBdr>
        <w:rPr/>
      </w:pPr>
      <w:r>
        <w:rPr/>
      </w:r>
      <w:r>
        <w:br w:type="page"/>
      </w:r>
    </w:p>
    <w:p>
      <w:pPr>
        <w:pStyle w:val="Normal"/>
        <w:spacing w:before="0" w:after="0"/>
        <w:rPr>
          <w:sz w:val="4"/>
          <w:szCs w:val="4"/>
        </w:rPr>
      </w:pPr>
      <w:r>
        <w:rPr>
          <w:sz w:val="4"/>
          <w:szCs w:val="4"/>
        </w:rPr>
      </w:r>
      <w:bookmarkStart w:id="45" w:name="page_di48002_1_15"/>
      <w:bookmarkStart w:id="46" w:name="page_di48002_1_15"/>
      <w:bookmarkEnd w:id="46"/>
    </w:p>
    <w:tbl>
      <w:tblPr>
        <w:tblW w:w="5000" w:type="pct"/>
        <w:jc w:val="center"/>
        <w:tblInd w:w="0" w:type="dxa"/>
        <w:tblCellMar>
          <w:top w:w="0" w:type="dxa"/>
          <w:left w:w="0" w:type="dxa"/>
          <w:bottom w:w="0" w:type="dxa"/>
          <w:right w:w="0" w:type="dxa"/>
        </w:tblCellMar>
      </w:tblPr>
      <w:tblGrid>
        <w:gridCol w:w="2482"/>
        <w:gridCol w:w="190"/>
        <w:gridCol w:w="111"/>
        <w:gridCol w:w="922"/>
        <w:gridCol w:w="190"/>
        <w:gridCol w:w="110"/>
        <w:gridCol w:w="1060"/>
        <w:gridCol w:w="189"/>
        <w:gridCol w:w="4951"/>
      </w:tblGrid>
      <w:tr>
        <w:trPr/>
        <w:tc>
          <w:tcPr>
            <w:tcW w:w="2482" w:type="dxa"/>
            <w:tcBorders/>
            <w:shd w:fill="auto" w:val="clear"/>
            <w:vAlign w:val="center"/>
          </w:tcPr>
          <w:p>
            <w:pPr>
              <w:pStyle w:val="TableContents"/>
              <w:spacing w:before="0" w:after="283"/>
              <w:rPr>
                <w:sz w:val="4"/>
                <w:szCs w:val="4"/>
              </w:rPr>
            </w:pPr>
            <w:r>
              <w:rPr>
                <w:sz w:val="4"/>
                <w:szCs w:val="4"/>
              </w:rPr>
            </w:r>
          </w:p>
        </w:tc>
        <w:tc>
          <w:tcPr>
            <w:tcW w:w="190" w:type="dxa"/>
            <w:tcBorders/>
            <w:shd w:fill="auto" w:val="clear"/>
            <w:vAlign w:val="center"/>
          </w:tcPr>
          <w:p>
            <w:pPr>
              <w:pStyle w:val="TableContents"/>
              <w:spacing w:before="0" w:after="283"/>
              <w:rPr>
                <w:sz w:val="4"/>
                <w:szCs w:val="4"/>
              </w:rPr>
            </w:pPr>
            <w:r>
              <w:rPr>
                <w:sz w:val="4"/>
                <w:szCs w:val="4"/>
              </w:rPr>
            </w:r>
          </w:p>
        </w:tc>
        <w:tc>
          <w:tcPr>
            <w:tcW w:w="111" w:type="dxa"/>
            <w:tcBorders/>
            <w:shd w:fill="auto" w:val="clear"/>
            <w:vAlign w:val="center"/>
          </w:tcPr>
          <w:p>
            <w:pPr>
              <w:pStyle w:val="TableContents"/>
              <w:spacing w:before="0" w:after="283"/>
              <w:rPr>
                <w:sz w:val="4"/>
                <w:szCs w:val="4"/>
              </w:rPr>
            </w:pPr>
            <w:r>
              <w:rPr>
                <w:sz w:val="4"/>
                <w:szCs w:val="4"/>
              </w:rPr>
            </w:r>
          </w:p>
        </w:tc>
        <w:tc>
          <w:tcPr>
            <w:tcW w:w="922" w:type="dxa"/>
            <w:tcBorders/>
            <w:shd w:fill="auto" w:val="clear"/>
            <w:vAlign w:val="center"/>
          </w:tcPr>
          <w:p>
            <w:pPr>
              <w:pStyle w:val="TableContents"/>
              <w:spacing w:before="0" w:after="283"/>
              <w:rPr>
                <w:sz w:val="4"/>
                <w:szCs w:val="4"/>
              </w:rPr>
            </w:pPr>
            <w:r>
              <w:rPr>
                <w:sz w:val="4"/>
                <w:szCs w:val="4"/>
              </w:rPr>
            </w:r>
          </w:p>
        </w:tc>
        <w:tc>
          <w:tcPr>
            <w:tcW w:w="190" w:type="dxa"/>
            <w:tcBorders/>
            <w:shd w:fill="auto" w:val="clear"/>
            <w:vAlign w:val="center"/>
          </w:tcPr>
          <w:p>
            <w:pPr>
              <w:pStyle w:val="TableContents"/>
              <w:spacing w:before="0" w:after="283"/>
              <w:rPr>
                <w:sz w:val="4"/>
                <w:szCs w:val="4"/>
              </w:rPr>
            </w:pPr>
            <w:r>
              <w:rPr>
                <w:sz w:val="4"/>
                <w:szCs w:val="4"/>
              </w:rPr>
            </w:r>
          </w:p>
        </w:tc>
        <w:tc>
          <w:tcPr>
            <w:tcW w:w="110" w:type="dxa"/>
            <w:tcBorders/>
            <w:shd w:fill="auto" w:val="clear"/>
            <w:vAlign w:val="center"/>
          </w:tcPr>
          <w:p>
            <w:pPr>
              <w:pStyle w:val="TableContents"/>
              <w:spacing w:before="0" w:after="283"/>
              <w:rPr>
                <w:sz w:val="4"/>
                <w:szCs w:val="4"/>
              </w:rPr>
            </w:pPr>
            <w:r>
              <w:rPr>
                <w:sz w:val="4"/>
                <w:szCs w:val="4"/>
              </w:rPr>
            </w:r>
          </w:p>
        </w:tc>
        <w:tc>
          <w:tcPr>
            <w:tcW w:w="1060" w:type="dxa"/>
            <w:tcBorders/>
            <w:shd w:fill="auto" w:val="clear"/>
            <w:vAlign w:val="center"/>
          </w:tcPr>
          <w:p>
            <w:pPr>
              <w:pStyle w:val="TableContents"/>
              <w:spacing w:before="0" w:after="283"/>
              <w:rPr>
                <w:sz w:val="4"/>
                <w:szCs w:val="4"/>
              </w:rPr>
            </w:pPr>
            <w:r>
              <w:rPr>
                <w:sz w:val="4"/>
                <w:szCs w:val="4"/>
              </w:rPr>
            </w:r>
          </w:p>
        </w:tc>
        <w:tc>
          <w:tcPr>
            <w:tcW w:w="189" w:type="dxa"/>
            <w:tcBorders/>
            <w:shd w:fill="auto" w:val="clear"/>
            <w:vAlign w:val="center"/>
          </w:tcPr>
          <w:p>
            <w:pPr>
              <w:pStyle w:val="TableContents"/>
              <w:spacing w:before="0" w:after="283"/>
              <w:rPr>
                <w:sz w:val="4"/>
                <w:szCs w:val="4"/>
              </w:rPr>
            </w:pPr>
            <w:r>
              <w:rPr>
                <w:sz w:val="4"/>
                <w:szCs w:val="4"/>
              </w:rPr>
            </w:r>
          </w:p>
        </w:tc>
        <w:tc>
          <w:tcPr>
            <w:tcW w:w="4951" w:type="dxa"/>
            <w:tcBorders/>
            <w:shd w:fill="auto" w:val="clear"/>
            <w:vAlign w:val="center"/>
          </w:tcPr>
          <w:p>
            <w:pPr>
              <w:pStyle w:val="TableContents"/>
              <w:spacing w:before="0" w:after="283"/>
              <w:rPr>
                <w:sz w:val="4"/>
                <w:szCs w:val="4"/>
              </w:rPr>
            </w:pPr>
            <w:r>
              <w:rPr>
                <w:sz w:val="4"/>
                <w:szCs w:val="4"/>
              </w:rPr>
            </w:r>
          </w:p>
        </w:tc>
      </w:tr>
      <w:tr>
        <w:trPr/>
        <w:tc>
          <w:tcPr>
            <w:tcW w:w="2482" w:type="dxa"/>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Month of Issuance </w:t>
            </w:r>
          </w:p>
        </w:tc>
        <w:tc>
          <w:tcPr>
            <w:tcW w:w="190" w:type="dxa"/>
            <w:tcBorders/>
            <w:shd w:fill="auto" w:val="clear"/>
            <w:vAlign w:val="bottom"/>
          </w:tcPr>
          <w:p>
            <w:pPr>
              <w:pStyle w:val="TableHeading"/>
              <w:suppressLineNumbers/>
              <w:spacing w:before="0" w:after="283"/>
              <w:jc w:val="center"/>
              <w:rPr/>
            </w:pPr>
            <w:r>
              <w:rPr/>
              <w:t> </w:t>
            </w:r>
          </w:p>
        </w:tc>
        <w:tc>
          <w:tcPr>
            <w:tcW w:w="103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Number of</w:t>
              <w:br/>
              <w:t>Securities</w:t>
              <w:br/>
              <w:t xml:space="preserve">Issued </w:t>
            </w:r>
          </w:p>
        </w:tc>
        <w:tc>
          <w:tcPr>
            <w:tcW w:w="190" w:type="dxa"/>
            <w:tcBorders/>
            <w:shd w:fill="auto" w:val="clear"/>
            <w:vAlign w:val="bottom"/>
          </w:tcPr>
          <w:p>
            <w:pPr>
              <w:pStyle w:val="TableHeading"/>
              <w:suppressLineNumbers/>
              <w:spacing w:before="0" w:after="283"/>
              <w:jc w:val="center"/>
              <w:rPr/>
            </w:pPr>
            <w:r>
              <w:rPr/>
              <w:t> </w:t>
            </w:r>
          </w:p>
        </w:tc>
        <w:tc>
          <w:tcPr>
            <w:tcW w:w="117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Issue/Exercise</w:t>
              <w:br/>
              <w:t>Price</w:t>
              <w:br/>
              <w:t xml:space="preserve">(C$) </w:t>
            </w:r>
          </w:p>
        </w:tc>
        <w:tc>
          <w:tcPr>
            <w:tcW w:w="189" w:type="dxa"/>
            <w:tcBorders/>
            <w:shd w:fill="auto" w:val="clear"/>
            <w:vAlign w:val="bottom"/>
          </w:tcPr>
          <w:p>
            <w:pPr>
              <w:pStyle w:val="TableHeading"/>
              <w:suppressLineNumbers/>
              <w:spacing w:before="0" w:after="283"/>
              <w:jc w:val="center"/>
              <w:rPr/>
            </w:pPr>
            <w:r>
              <w:rPr/>
              <w:t> </w:t>
            </w:r>
          </w:p>
        </w:tc>
        <w:tc>
          <w:tcPr>
            <w:tcW w:w="4951" w:type="dxa"/>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Reason for Issuance </w:t>
            </w:r>
          </w:p>
        </w:tc>
      </w:tr>
      <w:tr>
        <w:trPr/>
        <w:tc>
          <w:tcPr>
            <w:tcW w:w="2482" w:type="dxa"/>
            <w:tcBorders/>
            <w:shd w:fill="CCEEFF" w:val="clear"/>
          </w:tcPr>
          <w:p>
            <w:pPr>
              <w:pStyle w:val="TableContents"/>
              <w:spacing w:before="0" w:after="283"/>
              <w:ind w:left="200" w:right="0" w:hanging="200"/>
              <w:rPr>
                <w:rFonts w:ascii="times" w:hAnsi="times"/>
                <w:sz w:val="20"/>
              </w:rPr>
            </w:pPr>
            <w:r>
              <w:rPr>
                <w:rFonts w:ascii="times" w:hAnsi="times"/>
                <w:sz w:val="20"/>
              </w:rPr>
              <w:t>March 2013</w:t>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922" w:type="dxa"/>
            <w:tcBorders/>
            <w:shd w:fill="CCEEFF" w:val="clear"/>
          </w:tcPr>
          <w:p>
            <w:pPr>
              <w:pStyle w:val="TableContents"/>
              <w:spacing w:before="0" w:after="283"/>
              <w:jc w:val="right"/>
              <w:rPr>
                <w:rFonts w:ascii="times" w:hAnsi="times"/>
                <w:sz w:val="20"/>
              </w:rPr>
            </w:pPr>
            <w:r>
              <w:rPr>
                <w:rFonts w:ascii="times" w:hAnsi="times"/>
                <w:sz w:val="20"/>
              </w:rPr>
              <w:t>1,000</w:t>
            </w:r>
          </w:p>
        </w:tc>
        <w:tc>
          <w:tcPr>
            <w:tcW w:w="190" w:type="dxa"/>
            <w:tcBorders/>
            <w:shd w:fill="CCEEFF" w:val="clear"/>
          </w:tcPr>
          <w:p>
            <w:pPr>
              <w:pStyle w:val="TableContents"/>
              <w:spacing w:before="0" w:after="283"/>
              <w:rPr/>
            </w:pPr>
            <w:r>
              <w:rPr/>
              <w:t> </w:t>
            </w:r>
          </w:p>
        </w:tc>
        <w:tc>
          <w:tcPr>
            <w:tcW w:w="110" w:type="dxa"/>
            <w:tcBorders/>
            <w:shd w:fill="CCEEFF" w:val="clear"/>
          </w:tcPr>
          <w:p>
            <w:pPr>
              <w:pStyle w:val="TableContents"/>
              <w:spacing w:before="0" w:after="283"/>
              <w:rPr/>
            </w:pPr>
            <w:r>
              <w:rPr/>
              <w:t> </w:t>
            </w:r>
          </w:p>
        </w:tc>
        <w:tc>
          <w:tcPr>
            <w:tcW w:w="1060" w:type="dxa"/>
            <w:tcBorders/>
            <w:shd w:fill="CCEEFF" w:val="clear"/>
          </w:tcPr>
          <w:p>
            <w:pPr>
              <w:pStyle w:val="TableContents"/>
              <w:spacing w:before="0" w:after="283"/>
              <w:jc w:val="right"/>
              <w:rPr>
                <w:rFonts w:ascii="times" w:hAnsi="times"/>
                <w:sz w:val="20"/>
              </w:rPr>
            </w:pPr>
            <w:r>
              <w:rPr>
                <w:rFonts w:ascii="times" w:hAnsi="times"/>
                <w:sz w:val="20"/>
              </w:rPr>
              <w:t>35.27</w:t>
            </w:r>
          </w:p>
        </w:tc>
        <w:tc>
          <w:tcPr>
            <w:tcW w:w="189" w:type="dxa"/>
            <w:tcBorders/>
            <w:shd w:fill="CCEEFF" w:val="clear"/>
          </w:tcPr>
          <w:p>
            <w:pPr>
              <w:pStyle w:val="TableContents"/>
              <w:spacing w:before="0" w:after="283"/>
              <w:rPr/>
            </w:pPr>
            <w:r>
              <w:rPr/>
              <w:t> </w:t>
            </w:r>
          </w:p>
        </w:tc>
        <w:tc>
          <w:tcPr>
            <w:tcW w:w="4951" w:type="dxa"/>
            <w:tcBorders/>
            <w:shd w:fill="CCEEFF" w:val="clear"/>
          </w:tcPr>
          <w:p>
            <w:pPr>
              <w:pStyle w:val="TableContents"/>
              <w:spacing w:before="0" w:after="283"/>
              <w:rPr>
                <w:rFonts w:ascii="times" w:hAnsi="times"/>
                <w:sz w:val="20"/>
              </w:rPr>
            </w:pPr>
            <w:r>
              <w:rPr>
                <w:rFonts w:ascii="times" w:hAnsi="times"/>
                <w:sz w:val="20"/>
              </w:rPr>
              <w:t>Exercise of Options</w:t>
            </w:r>
          </w:p>
        </w:tc>
      </w:tr>
      <w:tr>
        <w:trPr/>
        <w:tc>
          <w:tcPr>
            <w:tcW w:w="2482" w:type="dxa"/>
            <w:tcBorders/>
            <w:shd w:fill="FFFFFF" w:val="clear"/>
          </w:tcPr>
          <w:p>
            <w:pPr>
              <w:pStyle w:val="TableContents"/>
              <w:spacing w:before="0" w:after="283"/>
              <w:ind w:left="200" w:right="0" w:hanging="200"/>
              <w:rPr>
                <w:sz w:val="4"/>
                <w:szCs w:val="4"/>
              </w:rPr>
            </w:pPr>
            <w:r>
              <w:rPr>
                <w:sz w:val="4"/>
                <w:szCs w:val="4"/>
              </w:rPr>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922" w:type="dxa"/>
            <w:tcBorders/>
            <w:shd w:fill="FFFFFF" w:val="clear"/>
          </w:tcPr>
          <w:p>
            <w:pPr>
              <w:pStyle w:val="TableContents"/>
              <w:spacing w:before="0" w:after="283"/>
              <w:jc w:val="right"/>
              <w:rPr>
                <w:rFonts w:ascii="times" w:hAnsi="times"/>
                <w:sz w:val="20"/>
              </w:rPr>
            </w:pPr>
            <w:r>
              <w:rPr>
                <w:rFonts w:ascii="times" w:hAnsi="times"/>
                <w:sz w:val="20"/>
              </w:rPr>
              <w:t>6,000</w:t>
            </w:r>
          </w:p>
        </w:tc>
        <w:tc>
          <w:tcPr>
            <w:tcW w:w="190" w:type="dxa"/>
            <w:tcBorders/>
            <w:shd w:fill="FFFFFF" w:val="clear"/>
          </w:tcPr>
          <w:p>
            <w:pPr>
              <w:pStyle w:val="TableContents"/>
              <w:spacing w:before="0" w:after="283"/>
              <w:rPr/>
            </w:pPr>
            <w:r>
              <w:rPr/>
              <w:t> </w:t>
            </w:r>
          </w:p>
        </w:tc>
        <w:tc>
          <w:tcPr>
            <w:tcW w:w="110" w:type="dxa"/>
            <w:tcBorders/>
            <w:shd w:fill="FFFFFF" w:val="clear"/>
          </w:tcPr>
          <w:p>
            <w:pPr>
              <w:pStyle w:val="TableContents"/>
              <w:spacing w:before="0" w:after="283"/>
              <w:rPr/>
            </w:pPr>
            <w:r>
              <w:rPr/>
              <w:t> </w:t>
            </w:r>
          </w:p>
        </w:tc>
        <w:tc>
          <w:tcPr>
            <w:tcW w:w="1060" w:type="dxa"/>
            <w:tcBorders/>
            <w:shd w:fill="FFFFFF" w:val="clear"/>
          </w:tcPr>
          <w:p>
            <w:pPr>
              <w:pStyle w:val="TableContents"/>
              <w:spacing w:before="0" w:after="283"/>
              <w:jc w:val="right"/>
              <w:rPr>
                <w:rFonts w:ascii="times" w:hAnsi="times"/>
                <w:sz w:val="20"/>
              </w:rPr>
            </w:pPr>
            <w:r>
              <w:rPr>
                <w:rFonts w:ascii="times" w:hAnsi="times"/>
                <w:sz w:val="20"/>
              </w:rPr>
              <w:t>37.05</w:t>
            </w:r>
          </w:p>
        </w:tc>
        <w:tc>
          <w:tcPr>
            <w:tcW w:w="189" w:type="dxa"/>
            <w:tcBorders/>
            <w:shd w:fill="FFFFFF" w:val="clear"/>
          </w:tcPr>
          <w:p>
            <w:pPr>
              <w:pStyle w:val="TableContents"/>
              <w:spacing w:before="0" w:after="283"/>
              <w:rPr/>
            </w:pPr>
            <w:r>
              <w:rPr/>
              <w:t> </w:t>
            </w:r>
          </w:p>
        </w:tc>
        <w:tc>
          <w:tcPr>
            <w:tcW w:w="4951" w:type="dxa"/>
            <w:tcBorders/>
            <w:shd w:fill="FFFFFF" w:val="clear"/>
          </w:tcPr>
          <w:p>
            <w:pPr>
              <w:pStyle w:val="TableContents"/>
              <w:spacing w:before="0" w:after="283"/>
              <w:rPr>
                <w:rFonts w:ascii="times" w:hAnsi="times"/>
                <w:sz w:val="20"/>
              </w:rPr>
            </w:pPr>
            <w:r>
              <w:rPr>
                <w:rFonts w:ascii="times" w:hAnsi="times"/>
                <w:sz w:val="20"/>
              </w:rPr>
              <w:t>Exercise of Options</w:t>
            </w:r>
          </w:p>
        </w:tc>
      </w:tr>
      <w:tr>
        <w:trPr/>
        <w:tc>
          <w:tcPr>
            <w:tcW w:w="2482" w:type="dxa"/>
            <w:tcBorders/>
            <w:shd w:fill="CCEEFF" w:val="clear"/>
          </w:tcPr>
          <w:p>
            <w:pPr>
              <w:pStyle w:val="TableContents"/>
              <w:spacing w:before="0" w:after="283"/>
              <w:ind w:left="200" w:right="0" w:hanging="200"/>
              <w:rPr>
                <w:sz w:val="4"/>
                <w:szCs w:val="4"/>
              </w:rPr>
            </w:pPr>
            <w:r>
              <w:rPr>
                <w:sz w:val="4"/>
                <w:szCs w:val="4"/>
              </w:rPr>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922" w:type="dxa"/>
            <w:tcBorders/>
            <w:shd w:fill="CCEEFF" w:val="clear"/>
          </w:tcPr>
          <w:p>
            <w:pPr>
              <w:pStyle w:val="TableContents"/>
              <w:spacing w:before="0" w:after="283"/>
              <w:jc w:val="right"/>
              <w:rPr/>
            </w:pPr>
            <w:r>
              <w:rPr/>
              <w:t>   </w:t>
            </w:r>
            <w:r>
              <w:rPr>
                <w:rFonts w:ascii="times" w:hAnsi="times"/>
                <w:sz w:val="20"/>
              </w:rPr>
              <w:t>211,537</w:t>
            </w:r>
          </w:p>
        </w:tc>
        <w:tc>
          <w:tcPr>
            <w:tcW w:w="190" w:type="dxa"/>
            <w:tcBorders/>
            <w:shd w:fill="CCEEFF" w:val="clear"/>
          </w:tcPr>
          <w:p>
            <w:pPr>
              <w:pStyle w:val="TableContents"/>
              <w:spacing w:before="0" w:after="283"/>
              <w:rPr/>
            </w:pPr>
            <w:r>
              <w:rPr/>
              <w:t> </w:t>
            </w:r>
          </w:p>
        </w:tc>
        <w:tc>
          <w:tcPr>
            <w:tcW w:w="110" w:type="dxa"/>
            <w:tcBorders/>
            <w:shd w:fill="CCEEFF" w:val="clear"/>
          </w:tcPr>
          <w:p>
            <w:pPr>
              <w:pStyle w:val="TableContents"/>
              <w:spacing w:before="0" w:after="283"/>
              <w:rPr/>
            </w:pPr>
            <w:r>
              <w:rPr/>
              <w:t> </w:t>
            </w:r>
          </w:p>
        </w:tc>
        <w:tc>
          <w:tcPr>
            <w:tcW w:w="1060" w:type="dxa"/>
            <w:tcBorders/>
            <w:shd w:fill="CCEEFF" w:val="clear"/>
          </w:tcPr>
          <w:p>
            <w:pPr>
              <w:pStyle w:val="TableContents"/>
              <w:spacing w:before="0" w:after="283"/>
              <w:jc w:val="right"/>
              <w:rPr>
                <w:rFonts w:ascii="times" w:hAnsi="times"/>
                <w:sz w:val="20"/>
              </w:rPr>
            </w:pPr>
            <w:r>
              <w:rPr>
                <w:rFonts w:ascii="times" w:hAnsi="times"/>
                <w:sz w:val="20"/>
              </w:rPr>
              <w:t>US$38.18</w:t>
            </w:r>
          </w:p>
        </w:tc>
        <w:tc>
          <w:tcPr>
            <w:tcW w:w="189" w:type="dxa"/>
            <w:tcBorders/>
            <w:shd w:fill="CCEEFF" w:val="clear"/>
          </w:tcPr>
          <w:p>
            <w:pPr>
              <w:pStyle w:val="TableContents"/>
              <w:spacing w:before="0" w:after="283"/>
              <w:rPr/>
            </w:pPr>
            <w:r>
              <w:rPr/>
              <w:t> </w:t>
            </w:r>
          </w:p>
        </w:tc>
        <w:tc>
          <w:tcPr>
            <w:tcW w:w="4951" w:type="dxa"/>
            <w:tcBorders/>
            <w:shd w:fill="CCEEFF" w:val="clear"/>
          </w:tcPr>
          <w:p>
            <w:pPr>
              <w:pStyle w:val="TableContents"/>
              <w:spacing w:before="0" w:after="283"/>
              <w:rPr>
                <w:rFonts w:ascii="times" w:hAnsi="times"/>
                <w:sz w:val="20"/>
              </w:rPr>
            </w:pPr>
            <w:r>
              <w:rPr>
                <w:rFonts w:ascii="times" w:hAnsi="times"/>
                <w:sz w:val="20"/>
              </w:rPr>
              <w:t>Shares issued under the Dividend Reinvestment Plan</w:t>
            </w:r>
          </w:p>
        </w:tc>
      </w:tr>
      <w:tr>
        <w:trPr/>
        <w:tc>
          <w:tcPr>
            <w:tcW w:w="2482" w:type="dxa"/>
            <w:tcBorders/>
            <w:shd w:fill="FFFFFF" w:val="clear"/>
          </w:tcPr>
          <w:p>
            <w:pPr>
              <w:pStyle w:val="TableContents"/>
              <w:spacing w:before="0" w:after="283"/>
              <w:ind w:left="200" w:right="0" w:hanging="200"/>
              <w:rPr>
                <w:sz w:val="4"/>
                <w:szCs w:val="4"/>
              </w:rPr>
            </w:pPr>
            <w:r>
              <w:rPr>
                <w:sz w:val="4"/>
                <w:szCs w:val="4"/>
              </w:rPr>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922" w:type="dxa"/>
            <w:tcBorders/>
            <w:shd w:fill="FFFFFF" w:val="clear"/>
          </w:tcPr>
          <w:p>
            <w:pPr>
              <w:pStyle w:val="TableContents"/>
              <w:spacing w:before="0" w:after="283"/>
              <w:jc w:val="right"/>
              <w:rPr>
                <w:rFonts w:ascii="times" w:hAnsi="times"/>
                <w:sz w:val="20"/>
              </w:rPr>
            </w:pPr>
            <w:r>
              <w:rPr>
                <w:rFonts w:ascii="times" w:hAnsi="times"/>
                <w:sz w:val="20"/>
              </w:rPr>
              <w:t>90</w:t>
            </w:r>
          </w:p>
        </w:tc>
        <w:tc>
          <w:tcPr>
            <w:tcW w:w="190" w:type="dxa"/>
            <w:tcBorders/>
            <w:shd w:fill="FFFFFF" w:val="clear"/>
          </w:tcPr>
          <w:p>
            <w:pPr>
              <w:pStyle w:val="TableContents"/>
              <w:spacing w:before="0" w:after="283"/>
              <w:rPr/>
            </w:pPr>
            <w:r>
              <w:rPr/>
              <w:t> </w:t>
            </w:r>
          </w:p>
        </w:tc>
        <w:tc>
          <w:tcPr>
            <w:tcW w:w="110" w:type="dxa"/>
            <w:tcBorders/>
            <w:shd w:fill="FFFFFF" w:val="clear"/>
          </w:tcPr>
          <w:p>
            <w:pPr>
              <w:pStyle w:val="TableContents"/>
              <w:spacing w:before="0" w:after="283"/>
              <w:rPr/>
            </w:pPr>
            <w:r>
              <w:rPr/>
              <w:t> </w:t>
            </w:r>
          </w:p>
        </w:tc>
        <w:tc>
          <w:tcPr>
            <w:tcW w:w="1060" w:type="dxa"/>
            <w:tcBorders/>
            <w:shd w:fill="FFFFFF" w:val="clear"/>
          </w:tcPr>
          <w:p>
            <w:pPr>
              <w:pStyle w:val="TableContents"/>
              <w:spacing w:before="0" w:after="283"/>
              <w:jc w:val="right"/>
              <w:rPr>
                <w:rFonts w:ascii="times" w:hAnsi="times"/>
                <w:sz w:val="20"/>
              </w:rPr>
            </w:pPr>
            <w:r>
              <w:rPr>
                <w:rFonts w:ascii="times" w:hAnsi="times"/>
                <w:sz w:val="20"/>
              </w:rPr>
              <w:t>US$40.19</w:t>
            </w:r>
          </w:p>
        </w:tc>
        <w:tc>
          <w:tcPr>
            <w:tcW w:w="189" w:type="dxa"/>
            <w:tcBorders/>
            <w:shd w:fill="FFFFFF" w:val="clear"/>
          </w:tcPr>
          <w:p>
            <w:pPr>
              <w:pStyle w:val="TableContents"/>
              <w:spacing w:before="0" w:after="283"/>
              <w:rPr/>
            </w:pPr>
            <w:r>
              <w:rPr/>
              <w:t> </w:t>
            </w:r>
          </w:p>
        </w:tc>
        <w:tc>
          <w:tcPr>
            <w:tcW w:w="4951" w:type="dxa"/>
            <w:tcBorders/>
            <w:shd w:fill="FFFFFF" w:val="clear"/>
          </w:tcPr>
          <w:p>
            <w:pPr>
              <w:pStyle w:val="TableContents"/>
              <w:spacing w:before="0" w:after="283"/>
              <w:rPr>
                <w:rFonts w:ascii="times" w:hAnsi="times"/>
                <w:sz w:val="20"/>
              </w:rPr>
            </w:pPr>
            <w:r>
              <w:rPr>
                <w:rFonts w:ascii="times" w:hAnsi="times"/>
                <w:sz w:val="20"/>
              </w:rPr>
              <w:t>Shares issued under the Dividend Reinvestment Plan</w:t>
            </w:r>
          </w:p>
        </w:tc>
      </w:tr>
      <w:tr>
        <w:trPr/>
        <w:tc>
          <w:tcPr>
            <w:tcW w:w="2482" w:type="dxa"/>
            <w:tcBorders/>
            <w:shd w:fill="CCEEFF" w:val="clear"/>
          </w:tcPr>
          <w:p>
            <w:pPr>
              <w:pStyle w:val="TableContents"/>
              <w:spacing w:before="0" w:after="283"/>
              <w:ind w:left="200" w:right="0" w:hanging="200"/>
              <w:rPr>
                <w:sz w:val="4"/>
                <w:szCs w:val="4"/>
              </w:rPr>
            </w:pPr>
            <w:r>
              <w:rPr>
                <w:sz w:val="4"/>
                <w:szCs w:val="4"/>
              </w:rPr>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922" w:type="dxa"/>
            <w:tcBorders/>
            <w:shd w:fill="CCEEFF" w:val="clear"/>
          </w:tcPr>
          <w:p>
            <w:pPr>
              <w:pStyle w:val="TableContents"/>
              <w:spacing w:before="0" w:after="283"/>
              <w:jc w:val="right"/>
              <w:rPr>
                <w:rFonts w:ascii="times" w:hAnsi="times"/>
                <w:sz w:val="20"/>
              </w:rPr>
            </w:pPr>
            <w:r>
              <w:rPr>
                <w:rFonts w:ascii="times" w:hAnsi="times"/>
                <w:sz w:val="20"/>
              </w:rPr>
              <w:t>204</w:t>
            </w:r>
          </w:p>
        </w:tc>
        <w:tc>
          <w:tcPr>
            <w:tcW w:w="190" w:type="dxa"/>
            <w:tcBorders/>
            <w:shd w:fill="CCEEFF" w:val="clear"/>
          </w:tcPr>
          <w:p>
            <w:pPr>
              <w:pStyle w:val="TableContents"/>
              <w:spacing w:before="0" w:after="283"/>
              <w:rPr/>
            </w:pPr>
            <w:r>
              <w:rPr/>
              <w:t> </w:t>
            </w:r>
          </w:p>
        </w:tc>
        <w:tc>
          <w:tcPr>
            <w:tcW w:w="110" w:type="dxa"/>
            <w:tcBorders/>
            <w:shd w:fill="CCEEFF" w:val="clear"/>
          </w:tcPr>
          <w:p>
            <w:pPr>
              <w:pStyle w:val="TableContents"/>
              <w:spacing w:before="0" w:after="283"/>
              <w:rPr/>
            </w:pPr>
            <w:r>
              <w:rPr/>
              <w:t> </w:t>
            </w:r>
          </w:p>
        </w:tc>
        <w:tc>
          <w:tcPr>
            <w:tcW w:w="1060" w:type="dxa"/>
            <w:tcBorders/>
            <w:shd w:fill="CCEEFF" w:val="clear"/>
          </w:tcPr>
          <w:p>
            <w:pPr>
              <w:pStyle w:val="TableContents"/>
              <w:spacing w:before="0" w:after="283"/>
              <w:jc w:val="right"/>
              <w:rPr>
                <w:rFonts w:ascii="times" w:hAnsi="times"/>
                <w:sz w:val="20"/>
              </w:rPr>
            </w:pPr>
            <w:r>
              <w:rPr>
                <w:rFonts w:ascii="times" w:hAnsi="times"/>
                <w:sz w:val="20"/>
              </w:rPr>
              <w:t>41.08</w:t>
            </w:r>
          </w:p>
        </w:tc>
        <w:tc>
          <w:tcPr>
            <w:tcW w:w="189" w:type="dxa"/>
            <w:tcBorders/>
            <w:shd w:fill="CCEEFF" w:val="clear"/>
          </w:tcPr>
          <w:p>
            <w:pPr>
              <w:pStyle w:val="TableContents"/>
              <w:spacing w:before="0" w:after="283"/>
              <w:rPr/>
            </w:pPr>
            <w:r>
              <w:rPr/>
              <w:t> </w:t>
            </w:r>
          </w:p>
        </w:tc>
        <w:tc>
          <w:tcPr>
            <w:tcW w:w="4951" w:type="dxa"/>
            <w:tcBorders/>
            <w:shd w:fill="CCEEFF" w:val="clear"/>
          </w:tcPr>
          <w:p>
            <w:pPr>
              <w:pStyle w:val="TableContents"/>
              <w:spacing w:before="0" w:after="283"/>
              <w:rPr>
                <w:rFonts w:ascii="times" w:hAnsi="times"/>
                <w:sz w:val="20"/>
              </w:rPr>
            </w:pPr>
            <w:r>
              <w:rPr>
                <w:rFonts w:ascii="times" w:hAnsi="times"/>
                <w:sz w:val="20"/>
              </w:rPr>
              <w:t>Shares issued under the Dividend Reinvestment Plan</w:t>
            </w:r>
          </w:p>
        </w:tc>
      </w:tr>
      <w:tr>
        <w:trPr/>
        <w:tc>
          <w:tcPr>
            <w:tcW w:w="2482" w:type="dxa"/>
            <w:tcBorders/>
            <w:shd w:fill="FFFFFF" w:val="clear"/>
          </w:tcPr>
          <w:p>
            <w:pPr>
              <w:pStyle w:val="TableContents"/>
              <w:spacing w:before="0" w:after="283"/>
              <w:ind w:left="200" w:right="0" w:hanging="200"/>
              <w:rPr>
                <w:sz w:val="4"/>
                <w:szCs w:val="4"/>
              </w:rPr>
            </w:pPr>
            <w:r>
              <w:rPr>
                <w:sz w:val="4"/>
                <w:szCs w:val="4"/>
              </w:rPr>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922" w:type="dxa"/>
            <w:tcBorders/>
            <w:shd w:fill="FFFFFF" w:val="clear"/>
          </w:tcPr>
          <w:p>
            <w:pPr>
              <w:pStyle w:val="TableContents"/>
              <w:spacing w:before="0" w:after="283"/>
              <w:jc w:val="right"/>
              <w:rPr>
                <w:rFonts w:ascii="times" w:hAnsi="times"/>
                <w:sz w:val="20"/>
              </w:rPr>
            </w:pPr>
            <w:r>
              <w:rPr>
                <w:rFonts w:ascii="times" w:hAnsi="times"/>
                <w:sz w:val="20"/>
              </w:rPr>
              <w:t>141,898</w:t>
            </w:r>
          </w:p>
        </w:tc>
        <w:tc>
          <w:tcPr>
            <w:tcW w:w="190" w:type="dxa"/>
            <w:tcBorders/>
            <w:shd w:fill="FFFFFF" w:val="clear"/>
          </w:tcPr>
          <w:p>
            <w:pPr>
              <w:pStyle w:val="TableContents"/>
              <w:spacing w:before="0" w:after="283"/>
              <w:rPr/>
            </w:pPr>
            <w:r>
              <w:rPr/>
              <w:t> </w:t>
            </w:r>
          </w:p>
        </w:tc>
        <w:tc>
          <w:tcPr>
            <w:tcW w:w="110" w:type="dxa"/>
            <w:tcBorders/>
            <w:shd w:fill="FFFFFF" w:val="clear"/>
          </w:tcPr>
          <w:p>
            <w:pPr>
              <w:pStyle w:val="TableContents"/>
              <w:spacing w:before="0" w:after="283"/>
              <w:rPr/>
            </w:pPr>
            <w:r>
              <w:rPr/>
              <w:t> </w:t>
            </w:r>
          </w:p>
        </w:tc>
        <w:tc>
          <w:tcPr>
            <w:tcW w:w="1060" w:type="dxa"/>
            <w:tcBorders/>
            <w:shd w:fill="FFFFFF" w:val="clear"/>
          </w:tcPr>
          <w:p>
            <w:pPr>
              <w:pStyle w:val="TableContents"/>
              <w:spacing w:before="0" w:after="283"/>
              <w:jc w:val="right"/>
              <w:rPr>
                <w:rFonts w:ascii="times" w:hAnsi="times"/>
                <w:sz w:val="20"/>
              </w:rPr>
            </w:pPr>
            <w:r>
              <w:rPr>
                <w:rFonts w:ascii="times" w:hAnsi="times"/>
                <w:sz w:val="20"/>
              </w:rPr>
              <w:t>41.21</w:t>
            </w:r>
          </w:p>
        </w:tc>
        <w:tc>
          <w:tcPr>
            <w:tcW w:w="189" w:type="dxa"/>
            <w:tcBorders/>
            <w:shd w:fill="FFFFFF" w:val="clear"/>
          </w:tcPr>
          <w:p>
            <w:pPr>
              <w:pStyle w:val="TableContents"/>
              <w:spacing w:before="0" w:after="283"/>
              <w:rPr/>
            </w:pPr>
            <w:r>
              <w:rPr/>
              <w:t> </w:t>
            </w:r>
          </w:p>
        </w:tc>
        <w:tc>
          <w:tcPr>
            <w:tcW w:w="4951" w:type="dxa"/>
            <w:tcBorders/>
            <w:shd w:fill="FFFFFF" w:val="clear"/>
          </w:tcPr>
          <w:p>
            <w:pPr>
              <w:pStyle w:val="TableContents"/>
              <w:spacing w:before="0" w:after="283"/>
              <w:rPr>
                <w:rFonts w:ascii="times" w:hAnsi="times"/>
                <w:sz w:val="20"/>
              </w:rPr>
            </w:pPr>
            <w:r>
              <w:rPr>
                <w:rFonts w:ascii="times" w:hAnsi="times"/>
                <w:sz w:val="20"/>
              </w:rPr>
              <w:t>Shares issued under Employee Share Purchase Plan</w:t>
            </w:r>
          </w:p>
        </w:tc>
      </w:tr>
      <w:tr>
        <w:trPr/>
        <w:tc>
          <w:tcPr>
            <w:tcW w:w="2482" w:type="dxa"/>
            <w:tcBorders/>
            <w:shd w:fill="CCEEFF" w:val="clear"/>
          </w:tcPr>
          <w:p>
            <w:pPr>
              <w:pStyle w:val="TableContents"/>
              <w:spacing w:before="0" w:after="283"/>
              <w:ind w:left="200" w:right="0" w:hanging="200"/>
              <w:rPr>
                <w:sz w:val="4"/>
                <w:szCs w:val="4"/>
              </w:rPr>
            </w:pPr>
            <w:r>
              <w:rPr>
                <w:sz w:val="4"/>
                <w:szCs w:val="4"/>
              </w:rPr>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922" w:type="dxa"/>
            <w:tcBorders/>
            <w:shd w:fill="CCEEFF" w:val="clear"/>
          </w:tcPr>
          <w:p>
            <w:pPr>
              <w:pStyle w:val="TableContents"/>
              <w:spacing w:before="0" w:after="283"/>
              <w:jc w:val="right"/>
              <w:rPr>
                <w:rFonts w:ascii="times" w:hAnsi="times"/>
                <w:sz w:val="20"/>
              </w:rPr>
            </w:pPr>
            <w:r>
              <w:rPr>
                <w:rFonts w:ascii="times" w:hAnsi="times"/>
                <w:sz w:val="20"/>
              </w:rPr>
              <w:t>5,626</w:t>
            </w:r>
          </w:p>
        </w:tc>
        <w:tc>
          <w:tcPr>
            <w:tcW w:w="190" w:type="dxa"/>
            <w:tcBorders/>
            <w:shd w:fill="CCEEFF" w:val="clear"/>
          </w:tcPr>
          <w:p>
            <w:pPr>
              <w:pStyle w:val="TableContents"/>
              <w:spacing w:before="0" w:after="283"/>
              <w:rPr/>
            </w:pPr>
            <w:r>
              <w:rPr/>
              <w:t> </w:t>
            </w:r>
          </w:p>
        </w:tc>
        <w:tc>
          <w:tcPr>
            <w:tcW w:w="110" w:type="dxa"/>
            <w:tcBorders/>
            <w:shd w:fill="CCEEFF" w:val="clear"/>
          </w:tcPr>
          <w:p>
            <w:pPr>
              <w:pStyle w:val="TableContents"/>
              <w:spacing w:before="0" w:after="283"/>
              <w:rPr/>
            </w:pPr>
            <w:r>
              <w:rPr/>
              <w:t> </w:t>
            </w:r>
          </w:p>
        </w:tc>
        <w:tc>
          <w:tcPr>
            <w:tcW w:w="1060" w:type="dxa"/>
            <w:tcBorders/>
            <w:shd w:fill="CCEEFF" w:val="clear"/>
          </w:tcPr>
          <w:p>
            <w:pPr>
              <w:pStyle w:val="TableContents"/>
              <w:spacing w:before="0" w:after="283"/>
              <w:jc w:val="right"/>
              <w:rPr>
                <w:rFonts w:ascii="times" w:hAnsi="times"/>
                <w:sz w:val="20"/>
              </w:rPr>
            </w:pPr>
            <w:r>
              <w:rPr>
                <w:rFonts w:ascii="times" w:hAnsi="times"/>
                <w:sz w:val="20"/>
              </w:rPr>
              <w:t>US$40.44</w:t>
            </w:r>
          </w:p>
        </w:tc>
        <w:tc>
          <w:tcPr>
            <w:tcW w:w="189" w:type="dxa"/>
            <w:tcBorders/>
            <w:shd w:fill="CCEEFF" w:val="clear"/>
          </w:tcPr>
          <w:p>
            <w:pPr>
              <w:pStyle w:val="TableContents"/>
              <w:spacing w:before="0" w:after="283"/>
              <w:rPr/>
            </w:pPr>
            <w:r>
              <w:rPr/>
              <w:t> </w:t>
            </w:r>
          </w:p>
        </w:tc>
        <w:tc>
          <w:tcPr>
            <w:tcW w:w="4951" w:type="dxa"/>
            <w:tcBorders/>
            <w:shd w:fill="CCEEFF" w:val="clear"/>
          </w:tcPr>
          <w:p>
            <w:pPr>
              <w:pStyle w:val="TableContents"/>
              <w:spacing w:before="0" w:after="283"/>
              <w:rPr>
                <w:rFonts w:ascii="times" w:hAnsi="times"/>
                <w:sz w:val="20"/>
              </w:rPr>
            </w:pPr>
            <w:r>
              <w:rPr>
                <w:rFonts w:ascii="times" w:hAnsi="times"/>
                <w:sz w:val="20"/>
              </w:rPr>
              <w:t>Shares issued under Employee Share Purchase Plan</w:t>
            </w:r>
          </w:p>
        </w:tc>
      </w:tr>
      <w:tr>
        <w:trPr/>
        <w:tc>
          <w:tcPr>
            <w:tcW w:w="2482" w:type="dxa"/>
            <w:tcBorders/>
            <w:shd w:fill="FFFFFF" w:val="clear"/>
          </w:tcPr>
          <w:p>
            <w:pPr>
              <w:pStyle w:val="TableContents"/>
              <w:spacing w:before="0" w:after="283"/>
              <w:ind w:left="200" w:right="0" w:hanging="200"/>
              <w:rPr>
                <w:sz w:val="4"/>
                <w:szCs w:val="4"/>
              </w:rPr>
            </w:pPr>
            <w:r>
              <w:rPr>
                <w:sz w:val="4"/>
                <w:szCs w:val="4"/>
              </w:rPr>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922" w:type="dxa"/>
            <w:tcBorders/>
            <w:shd w:fill="FFFFFF" w:val="clear"/>
          </w:tcPr>
          <w:p>
            <w:pPr>
              <w:pStyle w:val="TableContents"/>
              <w:spacing w:before="0" w:after="283"/>
              <w:jc w:val="right"/>
              <w:rPr>
                <w:rFonts w:ascii="times" w:hAnsi="times"/>
                <w:sz w:val="20"/>
              </w:rPr>
            </w:pPr>
            <w:r>
              <w:rPr>
                <w:rFonts w:ascii="times" w:hAnsi="times"/>
                <w:sz w:val="20"/>
              </w:rPr>
              <w:t>3,910</w:t>
            </w:r>
          </w:p>
        </w:tc>
        <w:tc>
          <w:tcPr>
            <w:tcW w:w="190" w:type="dxa"/>
            <w:tcBorders/>
            <w:shd w:fill="FFFFFF" w:val="clear"/>
          </w:tcPr>
          <w:p>
            <w:pPr>
              <w:pStyle w:val="TableContents"/>
              <w:spacing w:before="0" w:after="283"/>
              <w:rPr/>
            </w:pPr>
            <w:r>
              <w:rPr/>
              <w:t> </w:t>
            </w:r>
          </w:p>
        </w:tc>
        <w:tc>
          <w:tcPr>
            <w:tcW w:w="110" w:type="dxa"/>
            <w:tcBorders/>
            <w:shd w:fill="FFFFFF" w:val="clear"/>
          </w:tcPr>
          <w:p>
            <w:pPr>
              <w:pStyle w:val="TableContents"/>
              <w:spacing w:before="0" w:after="283"/>
              <w:rPr/>
            </w:pPr>
            <w:r>
              <w:rPr/>
              <w:t> </w:t>
            </w:r>
          </w:p>
        </w:tc>
        <w:tc>
          <w:tcPr>
            <w:tcW w:w="1060" w:type="dxa"/>
            <w:tcBorders/>
            <w:shd w:fill="FFFFFF" w:val="clear"/>
          </w:tcPr>
          <w:p>
            <w:pPr>
              <w:pStyle w:val="TableContents"/>
              <w:spacing w:before="0" w:after="283"/>
              <w:jc w:val="right"/>
              <w:rPr>
                <w:rFonts w:ascii="times" w:hAnsi="times"/>
                <w:sz w:val="20"/>
              </w:rPr>
            </w:pPr>
            <w:r>
              <w:rPr>
                <w:rFonts w:ascii="times" w:hAnsi="times"/>
                <w:sz w:val="20"/>
              </w:rPr>
              <w:t>40.80</w:t>
            </w:r>
          </w:p>
        </w:tc>
        <w:tc>
          <w:tcPr>
            <w:tcW w:w="189" w:type="dxa"/>
            <w:tcBorders/>
            <w:shd w:fill="FFFFFF" w:val="clear"/>
          </w:tcPr>
          <w:p>
            <w:pPr>
              <w:pStyle w:val="TableContents"/>
              <w:spacing w:before="0" w:after="283"/>
              <w:rPr/>
            </w:pPr>
            <w:r>
              <w:rPr/>
              <w:t> </w:t>
            </w:r>
          </w:p>
        </w:tc>
        <w:tc>
          <w:tcPr>
            <w:tcW w:w="4951" w:type="dxa"/>
            <w:tcBorders/>
            <w:shd w:fill="FFFFFF" w:val="clear"/>
          </w:tcPr>
          <w:p>
            <w:pPr>
              <w:pStyle w:val="TableContents"/>
              <w:spacing w:before="0" w:after="283"/>
              <w:rPr>
                <w:rFonts w:ascii="times" w:hAnsi="times"/>
                <w:sz w:val="20"/>
              </w:rPr>
            </w:pPr>
            <w:r>
              <w:rPr>
                <w:rFonts w:ascii="times" w:hAnsi="times"/>
                <w:sz w:val="20"/>
              </w:rPr>
              <w:t>Restricted Share Units purchased through the Dividend</w:t>
              <w:br/>
              <w:t>Reinvestment Plan</w:t>
            </w:r>
          </w:p>
        </w:tc>
      </w:tr>
      <w:tr>
        <w:trPr/>
        <w:tc>
          <w:tcPr>
            <w:tcW w:w="2482" w:type="dxa"/>
            <w:tcBorders/>
            <w:shd w:fill="CCEEFF" w:val="clear"/>
          </w:tcPr>
          <w:p>
            <w:pPr>
              <w:pStyle w:val="TableContents"/>
              <w:spacing w:before="0" w:after="283"/>
              <w:ind w:left="200" w:right="0" w:hanging="200"/>
              <w:rPr>
                <w:rFonts w:ascii="times" w:hAnsi="times"/>
                <w:sz w:val="20"/>
              </w:rPr>
            </w:pPr>
            <w:r>
              <w:rPr>
                <w:rFonts w:ascii="times" w:hAnsi="times"/>
                <w:sz w:val="20"/>
              </w:rPr>
              <w:t>April 2013</w:t>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922" w:type="dxa"/>
            <w:tcBorders/>
            <w:shd w:fill="CCEEFF" w:val="clear"/>
          </w:tcPr>
          <w:p>
            <w:pPr>
              <w:pStyle w:val="TableContents"/>
              <w:spacing w:before="0" w:after="283"/>
              <w:jc w:val="right"/>
              <w:rPr>
                <w:rFonts w:ascii="times" w:hAnsi="times"/>
                <w:sz w:val="20"/>
              </w:rPr>
            </w:pPr>
            <w:r>
              <w:rPr>
                <w:rFonts w:ascii="times" w:hAnsi="times"/>
                <w:sz w:val="20"/>
              </w:rPr>
              <w:t>1,000</w:t>
            </w:r>
          </w:p>
        </w:tc>
        <w:tc>
          <w:tcPr>
            <w:tcW w:w="190" w:type="dxa"/>
            <w:tcBorders/>
            <w:shd w:fill="CCEEFF" w:val="clear"/>
          </w:tcPr>
          <w:p>
            <w:pPr>
              <w:pStyle w:val="TableContents"/>
              <w:spacing w:before="0" w:after="283"/>
              <w:rPr/>
            </w:pPr>
            <w:r>
              <w:rPr/>
              <w:t> </w:t>
            </w:r>
          </w:p>
        </w:tc>
        <w:tc>
          <w:tcPr>
            <w:tcW w:w="110" w:type="dxa"/>
            <w:tcBorders/>
            <w:shd w:fill="CCEEFF" w:val="clear"/>
          </w:tcPr>
          <w:p>
            <w:pPr>
              <w:pStyle w:val="TableContents"/>
              <w:spacing w:before="0" w:after="283"/>
              <w:rPr/>
            </w:pPr>
            <w:r>
              <w:rPr/>
              <w:t> </w:t>
            </w:r>
          </w:p>
        </w:tc>
        <w:tc>
          <w:tcPr>
            <w:tcW w:w="1060" w:type="dxa"/>
            <w:tcBorders/>
            <w:shd w:fill="CCEEFF" w:val="clear"/>
          </w:tcPr>
          <w:p>
            <w:pPr>
              <w:pStyle w:val="TableContents"/>
              <w:spacing w:before="0" w:after="283"/>
              <w:jc w:val="right"/>
              <w:rPr>
                <w:rFonts w:ascii="times" w:hAnsi="times"/>
                <w:sz w:val="20"/>
              </w:rPr>
            </w:pPr>
            <w:r>
              <w:rPr>
                <w:rFonts w:ascii="times" w:hAnsi="times"/>
                <w:sz w:val="20"/>
              </w:rPr>
              <w:t>37.05</w:t>
            </w:r>
          </w:p>
        </w:tc>
        <w:tc>
          <w:tcPr>
            <w:tcW w:w="189" w:type="dxa"/>
            <w:tcBorders/>
            <w:shd w:fill="CCEEFF" w:val="clear"/>
          </w:tcPr>
          <w:p>
            <w:pPr>
              <w:pStyle w:val="TableContents"/>
              <w:spacing w:before="0" w:after="283"/>
              <w:rPr/>
            </w:pPr>
            <w:r>
              <w:rPr/>
              <w:t> </w:t>
            </w:r>
          </w:p>
        </w:tc>
        <w:tc>
          <w:tcPr>
            <w:tcW w:w="4951" w:type="dxa"/>
            <w:tcBorders/>
            <w:shd w:fill="CCEEFF" w:val="clear"/>
          </w:tcPr>
          <w:p>
            <w:pPr>
              <w:pStyle w:val="TableContents"/>
              <w:spacing w:before="0" w:after="283"/>
              <w:rPr>
                <w:rFonts w:ascii="times" w:hAnsi="times"/>
                <w:sz w:val="20"/>
              </w:rPr>
            </w:pPr>
            <w:r>
              <w:rPr>
                <w:rFonts w:ascii="times" w:hAnsi="times"/>
                <w:sz w:val="20"/>
              </w:rPr>
              <w:t>Exercise of Options</w:t>
            </w:r>
          </w:p>
        </w:tc>
      </w:tr>
      <w:tr>
        <w:trPr/>
        <w:tc>
          <w:tcPr>
            <w:tcW w:w="2482" w:type="dxa"/>
            <w:tcBorders/>
            <w:shd w:fill="FFFFFF" w:val="clear"/>
          </w:tcPr>
          <w:p>
            <w:pPr>
              <w:pStyle w:val="TableContents"/>
              <w:spacing w:before="0" w:after="283"/>
              <w:ind w:left="200" w:right="0" w:hanging="200"/>
              <w:rPr>
                <w:rFonts w:ascii="times" w:hAnsi="times"/>
                <w:sz w:val="20"/>
              </w:rPr>
            </w:pPr>
            <w:r>
              <w:rPr>
                <w:rFonts w:ascii="times" w:hAnsi="times"/>
                <w:sz w:val="20"/>
              </w:rPr>
              <w:t>May 2013</w:t>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922" w:type="dxa"/>
            <w:tcBorders/>
            <w:shd w:fill="FFFFFF" w:val="clear"/>
          </w:tcPr>
          <w:p>
            <w:pPr>
              <w:pStyle w:val="TableContents"/>
              <w:spacing w:before="0" w:after="283"/>
              <w:jc w:val="right"/>
              <w:rPr>
                <w:rFonts w:ascii="times" w:hAnsi="times"/>
                <w:sz w:val="20"/>
              </w:rPr>
            </w:pPr>
            <w:r>
              <w:rPr>
                <w:rFonts w:ascii="times" w:hAnsi="times"/>
                <w:sz w:val="20"/>
              </w:rPr>
              <w:t>Nil</w:t>
            </w:r>
          </w:p>
        </w:tc>
        <w:tc>
          <w:tcPr>
            <w:tcW w:w="190" w:type="dxa"/>
            <w:tcBorders/>
            <w:shd w:fill="FFFFFF" w:val="clear"/>
          </w:tcPr>
          <w:p>
            <w:pPr>
              <w:pStyle w:val="TableContents"/>
              <w:spacing w:before="0" w:after="283"/>
              <w:rPr/>
            </w:pPr>
            <w:r>
              <w:rPr/>
              <w:t> </w:t>
            </w:r>
          </w:p>
        </w:tc>
        <w:tc>
          <w:tcPr>
            <w:tcW w:w="110" w:type="dxa"/>
            <w:tcBorders/>
            <w:shd w:fill="FFFFFF" w:val="clear"/>
          </w:tcPr>
          <w:p>
            <w:pPr>
              <w:pStyle w:val="TableContents"/>
              <w:spacing w:before="0" w:after="283"/>
              <w:rPr/>
            </w:pPr>
            <w:r>
              <w:rPr/>
              <w:t> </w:t>
            </w:r>
          </w:p>
        </w:tc>
        <w:tc>
          <w:tcPr>
            <w:tcW w:w="1060" w:type="dxa"/>
            <w:tcBorders/>
            <w:shd w:fill="FFFFFF" w:val="clear"/>
          </w:tcPr>
          <w:p>
            <w:pPr>
              <w:pStyle w:val="TableContents"/>
              <w:spacing w:before="0" w:after="283"/>
              <w:jc w:val="right"/>
              <w:rPr>
                <w:rFonts w:ascii="times" w:hAnsi="times"/>
                <w:sz w:val="20"/>
              </w:rPr>
            </w:pPr>
            <w:r>
              <w:rPr>
                <w:rFonts w:ascii="times" w:hAnsi="times"/>
                <w:sz w:val="20"/>
              </w:rPr>
              <w:t>N/A</w:t>
            </w:r>
          </w:p>
        </w:tc>
        <w:tc>
          <w:tcPr>
            <w:tcW w:w="189" w:type="dxa"/>
            <w:tcBorders/>
            <w:shd w:fill="FFFFFF" w:val="clear"/>
          </w:tcPr>
          <w:p>
            <w:pPr>
              <w:pStyle w:val="TableContents"/>
              <w:spacing w:before="0" w:after="283"/>
              <w:rPr/>
            </w:pPr>
            <w:r>
              <w:rPr/>
              <w:t> </w:t>
            </w:r>
          </w:p>
        </w:tc>
        <w:tc>
          <w:tcPr>
            <w:tcW w:w="4951" w:type="dxa"/>
            <w:tcBorders/>
            <w:shd w:fill="FFFFFF" w:val="clear"/>
          </w:tcPr>
          <w:p>
            <w:pPr>
              <w:pStyle w:val="TableContents"/>
              <w:spacing w:before="0" w:after="283"/>
              <w:rPr>
                <w:rFonts w:ascii="times" w:hAnsi="times"/>
                <w:sz w:val="20"/>
              </w:rPr>
            </w:pPr>
            <w:r>
              <w:rPr>
                <w:rFonts w:ascii="times" w:hAnsi="times"/>
                <w:sz w:val="20"/>
              </w:rPr>
              <w:t>N/A</w:t>
            </w:r>
          </w:p>
        </w:tc>
      </w:tr>
      <w:tr>
        <w:trPr/>
        <w:tc>
          <w:tcPr>
            <w:tcW w:w="2482" w:type="dxa"/>
            <w:tcBorders/>
            <w:shd w:fill="CCEEFF" w:val="clear"/>
          </w:tcPr>
          <w:p>
            <w:pPr>
              <w:pStyle w:val="TableContents"/>
              <w:spacing w:before="0" w:after="283"/>
              <w:ind w:left="200" w:right="0" w:hanging="200"/>
              <w:rPr>
                <w:rFonts w:ascii="times" w:hAnsi="times"/>
                <w:sz w:val="20"/>
              </w:rPr>
            </w:pPr>
            <w:r>
              <w:rPr>
                <w:rFonts w:ascii="times" w:hAnsi="times"/>
                <w:sz w:val="20"/>
              </w:rPr>
              <w:t>June 2013 (to June 27, 2013)</w:t>
            </w:r>
          </w:p>
        </w:tc>
        <w:tc>
          <w:tcPr>
            <w:tcW w:w="190" w:type="dxa"/>
            <w:tcBorders/>
            <w:shd w:fill="CCEEFF" w:val="clear"/>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922" w:type="dxa"/>
            <w:tcBorders/>
            <w:shd w:fill="CCEEFF" w:val="clear"/>
            <w:vAlign w:val="bottom"/>
          </w:tcPr>
          <w:p>
            <w:pPr>
              <w:pStyle w:val="TableContents"/>
              <w:spacing w:before="0" w:after="283"/>
              <w:jc w:val="right"/>
              <w:rPr>
                <w:rFonts w:ascii="times" w:hAnsi="times"/>
                <w:sz w:val="20"/>
              </w:rPr>
            </w:pPr>
            <w:r>
              <w:rPr>
                <w:rFonts w:ascii="times" w:hAnsi="times"/>
                <w:sz w:val="20"/>
              </w:rPr>
              <w:t>217,656</w:t>
            </w:r>
          </w:p>
        </w:tc>
        <w:tc>
          <w:tcPr>
            <w:tcW w:w="190"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1060" w:type="dxa"/>
            <w:tcBorders/>
            <w:shd w:fill="CCEEFF" w:val="clear"/>
            <w:vAlign w:val="bottom"/>
          </w:tcPr>
          <w:p>
            <w:pPr>
              <w:pStyle w:val="TableContents"/>
              <w:spacing w:before="0" w:after="283"/>
              <w:jc w:val="right"/>
              <w:rPr>
                <w:rFonts w:ascii="times" w:hAnsi="times"/>
                <w:sz w:val="20"/>
              </w:rPr>
            </w:pPr>
            <w:r>
              <w:rPr>
                <w:rFonts w:ascii="times" w:hAnsi="times"/>
                <w:sz w:val="20"/>
              </w:rPr>
              <w:t>US$29.08</w:t>
            </w:r>
          </w:p>
        </w:tc>
        <w:tc>
          <w:tcPr>
            <w:tcW w:w="189" w:type="dxa"/>
            <w:tcBorders/>
            <w:shd w:fill="CCEEFF" w:val="clear"/>
            <w:vAlign w:val="bottom"/>
          </w:tcPr>
          <w:p>
            <w:pPr>
              <w:pStyle w:val="TableContents"/>
              <w:spacing w:before="0" w:after="283"/>
              <w:rPr/>
            </w:pPr>
            <w:r>
              <w:rPr/>
              <w:t> </w:t>
            </w:r>
          </w:p>
        </w:tc>
        <w:tc>
          <w:tcPr>
            <w:tcW w:w="4951" w:type="dxa"/>
            <w:tcBorders/>
            <w:shd w:fill="CCEEFF" w:val="clear"/>
            <w:vAlign w:val="bottom"/>
          </w:tcPr>
          <w:p>
            <w:pPr>
              <w:pStyle w:val="TableContents"/>
              <w:spacing w:before="0" w:after="283"/>
              <w:rPr>
                <w:rFonts w:ascii="times" w:hAnsi="times"/>
                <w:sz w:val="20"/>
              </w:rPr>
            </w:pPr>
            <w:r>
              <w:rPr>
                <w:rFonts w:ascii="times" w:hAnsi="times"/>
                <w:sz w:val="20"/>
              </w:rPr>
              <w:t>Shares issued under the Dividend Reinvestment Plan</w:t>
            </w:r>
          </w:p>
        </w:tc>
      </w:tr>
      <w:tr>
        <w:trPr/>
        <w:tc>
          <w:tcPr>
            <w:tcW w:w="2482" w:type="dxa"/>
            <w:tcBorders/>
            <w:shd w:fill="FFFFFF" w:val="clear"/>
          </w:tcPr>
          <w:p>
            <w:pPr>
              <w:pStyle w:val="TableContents"/>
              <w:spacing w:before="0" w:after="283"/>
              <w:ind w:left="200" w:right="0" w:hanging="200"/>
              <w:rPr>
                <w:sz w:val="4"/>
                <w:szCs w:val="4"/>
              </w:rPr>
            </w:pPr>
            <w:r>
              <w:rPr>
                <w:sz w:val="4"/>
                <w:szCs w:val="4"/>
              </w:rPr>
            </w:r>
          </w:p>
        </w:tc>
        <w:tc>
          <w:tcPr>
            <w:tcW w:w="190" w:type="dxa"/>
            <w:tcBorders/>
            <w:shd w:fill="FFFFFF" w:val="clear"/>
          </w:tcPr>
          <w:p>
            <w:pPr>
              <w:pStyle w:val="TableContents"/>
              <w:spacing w:before="0" w:after="283"/>
              <w:rPr/>
            </w:pPr>
            <w:r>
              <w:rPr/>
              <w:t> </w:t>
            </w:r>
          </w:p>
        </w:tc>
        <w:tc>
          <w:tcPr>
            <w:tcW w:w="111" w:type="dxa"/>
            <w:tcBorders/>
            <w:shd w:fill="FFFFFF" w:val="clear"/>
          </w:tcPr>
          <w:p>
            <w:pPr>
              <w:pStyle w:val="TableContents"/>
              <w:spacing w:before="0" w:after="283"/>
              <w:rPr/>
            </w:pPr>
            <w:r>
              <w:rPr/>
              <w:t> </w:t>
            </w:r>
          </w:p>
        </w:tc>
        <w:tc>
          <w:tcPr>
            <w:tcW w:w="922" w:type="dxa"/>
            <w:tcBorders/>
            <w:shd w:fill="FFFFFF" w:val="clear"/>
          </w:tcPr>
          <w:p>
            <w:pPr>
              <w:pStyle w:val="TableContents"/>
              <w:spacing w:before="0" w:after="283"/>
              <w:jc w:val="right"/>
              <w:rPr>
                <w:rFonts w:ascii="times" w:hAnsi="times"/>
                <w:sz w:val="20"/>
              </w:rPr>
            </w:pPr>
            <w:r>
              <w:rPr>
                <w:rFonts w:ascii="times" w:hAnsi="times"/>
                <w:sz w:val="20"/>
              </w:rPr>
              <w:t>65</w:t>
            </w:r>
          </w:p>
        </w:tc>
        <w:tc>
          <w:tcPr>
            <w:tcW w:w="190" w:type="dxa"/>
            <w:tcBorders/>
            <w:shd w:fill="FFFFFF" w:val="clear"/>
          </w:tcPr>
          <w:p>
            <w:pPr>
              <w:pStyle w:val="TableContents"/>
              <w:spacing w:before="0" w:after="283"/>
              <w:rPr/>
            </w:pPr>
            <w:r>
              <w:rPr/>
              <w:t> </w:t>
            </w:r>
          </w:p>
        </w:tc>
        <w:tc>
          <w:tcPr>
            <w:tcW w:w="110" w:type="dxa"/>
            <w:tcBorders/>
            <w:shd w:fill="FFFFFF" w:val="clear"/>
          </w:tcPr>
          <w:p>
            <w:pPr>
              <w:pStyle w:val="TableContents"/>
              <w:spacing w:before="0" w:after="283"/>
              <w:rPr/>
            </w:pPr>
            <w:r>
              <w:rPr/>
              <w:t> </w:t>
            </w:r>
          </w:p>
        </w:tc>
        <w:tc>
          <w:tcPr>
            <w:tcW w:w="1060" w:type="dxa"/>
            <w:tcBorders/>
            <w:shd w:fill="FFFFFF" w:val="clear"/>
          </w:tcPr>
          <w:p>
            <w:pPr>
              <w:pStyle w:val="TableContents"/>
              <w:spacing w:before="0" w:after="283"/>
              <w:jc w:val="right"/>
              <w:rPr>
                <w:rFonts w:ascii="times" w:hAnsi="times"/>
                <w:sz w:val="20"/>
              </w:rPr>
            </w:pPr>
            <w:r>
              <w:rPr>
                <w:rFonts w:ascii="times" w:hAnsi="times"/>
                <w:sz w:val="20"/>
              </w:rPr>
              <w:t>US$30.61</w:t>
            </w:r>
          </w:p>
        </w:tc>
        <w:tc>
          <w:tcPr>
            <w:tcW w:w="189" w:type="dxa"/>
            <w:tcBorders/>
            <w:shd w:fill="FFFFFF" w:val="clear"/>
          </w:tcPr>
          <w:p>
            <w:pPr>
              <w:pStyle w:val="TableContents"/>
              <w:spacing w:before="0" w:after="283"/>
              <w:rPr/>
            </w:pPr>
            <w:r>
              <w:rPr/>
              <w:t> </w:t>
            </w:r>
          </w:p>
        </w:tc>
        <w:tc>
          <w:tcPr>
            <w:tcW w:w="4951" w:type="dxa"/>
            <w:tcBorders/>
            <w:shd w:fill="FFFFFF" w:val="clear"/>
          </w:tcPr>
          <w:p>
            <w:pPr>
              <w:pStyle w:val="TableContents"/>
              <w:spacing w:before="0" w:after="283"/>
              <w:rPr>
                <w:rFonts w:ascii="times" w:hAnsi="times"/>
                <w:sz w:val="20"/>
              </w:rPr>
            </w:pPr>
            <w:r>
              <w:rPr>
                <w:rFonts w:ascii="times" w:hAnsi="times"/>
                <w:sz w:val="20"/>
              </w:rPr>
              <w:t>Shares issued under the Dividend Reinvestment Plan</w:t>
            </w:r>
          </w:p>
        </w:tc>
      </w:tr>
      <w:tr>
        <w:trPr/>
        <w:tc>
          <w:tcPr>
            <w:tcW w:w="2482" w:type="dxa"/>
            <w:tcBorders/>
            <w:shd w:fill="CCEEFF" w:val="clear"/>
          </w:tcPr>
          <w:p>
            <w:pPr>
              <w:pStyle w:val="TableContents"/>
              <w:spacing w:before="0" w:after="283"/>
              <w:ind w:left="200" w:right="0" w:hanging="200"/>
              <w:rPr>
                <w:sz w:val="4"/>
                <w:szCs w:val="4"/>
              </w:rPr>
            </w:pPr>
            <w:r>
              <w:rPr>
                <w:sz w:val="4"/>
                <w:szCs w:val="4"/>
              </w:rPr>
            </w:r>
          </w:p>
        </w:tc>
        <w:tc>
          <w:tcPr>
            <w:tcW w:w="190" w:type="dxa"/>
            <w:tcBorders/>
            <w:shd w:fill="CCEEFF" w:val="clear"/>
          </w:tcPr>
          <w:p>
            <w:pPr>
              <w:pStyle w:val="TableContents"/>
              <w:spacing w:before="0" w:after="283"/>
              <w:rPr/>
            </w:pPr>
            <w:r>
              <w:rPr/>
              <w:t> </w:t>
            </w:r>
          </w:p>
        </w:tc>
        <w:tc>
          <w:tcPr>
            <w:tcW w:w="111" w:type="dxa"/>
            <w:tcBorders/>
            <w:shd w:fill="CCEEFF" w:val="clear"/>
          </w:tcPr>
          <w:p>
            <w:pPr>
              <w:pStyle w:val="TableContents"/>
              <w:spacing w:before="0" w:after="283"/>
              <w:rPr/>
            </w:pPr>
            <w:r>
              <w:rPr/>
              <w:t> </w:t>
            </w:r>
          </w:p>
        </w:tc>
        <w:tc>
          <w:tcPr>
            <w:tcW w:w="922" w:type="dxa"/>
            <w:tcBorders/>
            <w:shd w:fill="CCEEFF" w:val="clear"/>
          </w:tcPr>
          <w:p>
            <w:pPr>
              <w:pStyle w:val="TableContents"/>
              <w:spacing w:before="0" w:after="283"/>
              <w:jc w:val="right"/>
              <w:rPr>
                <w:rFonts w:ascii="times" w:hAnsi="times"/>
                <w:sz w:val="20"/>
              </w:rPr>
            </w:pPr>
            <w:r>
              <w:rPr>
                <w:rFonts w:ascii="times" w:hAnsi="times"/>
                <w:sz w:val="20"/>
              </w:rPr>
              <w:t>1,181</w:t>
            </w:r>
          </w:p>
        </w:tc>
        <w:tc>
          <w:tcPr>
            <w:tcW w:w="190" w:type="dxa"/>
            <w:tcBorders/>
            <w:shd w:fill="CCEEFF" w:val="clear"/>
          </w:tcPr>
          <w:p>
            <w:pPr>
              <w:pStyle w:val="TableContents"/>
              <w:spacing w:before="0" w:after="283"/>
              <w:rPr/>
            </w:pPr>
            <w:r>
              <w:rPr/>
              <w:t> </w:t>
            </w:r>
          </w:p>
        </w:tc>
        <w:tc>
          <w:tcPr>
            <w:tcW w:w="110" w:type="dxa"/>
            <w:tcBorders/>
            <w:shd w:fill="CCEEFF" w:val="clear"/>
          </w:tcPr>
          <w:p>
            <w:pPr>
              <w:pStyle w:val="TableContents"/>
              <w:spacing w:before="0" w:after="283"/>
              <w:rPr/>
            </w:pPr>
            <w:r>
              <w:rPr/>
              <w:t> </w:t>
            </w:r>
          </w:p>
        </w:tc>
        <w:tc>
          <w:tcPr>
            <w:tcW w:w="1060" w:type="dxa"/>
            <w:tcBorders/>
            <w:shd w:fill="CCEEFF" w:val="clear"/>
          </w:tcPr>
          <w:p>
            <w:pPr>
              <w:pStyle w:val="TableContents"/>
              <w:spacing w:before="0" w:after="283"/>
              <w:jc w:val="right"/>
              <w:rPr>
                <w:rFonts w:ascii="times" w:hAnsi="times"/>
                <w:sz w:val="20"/>
              </w:rPr>
            </w:pPr>
            <w:r>
              <w:rPr>
                <w:rFonts w:ascii="times" w:hAnsi="times"/>
                <w:sz w:val="20"/>
              </w:rPr>
              <w:t>32.00</w:t>
            </w:r>
          </w:p>
        </w:tc>
        <w:tc>
          <w:tcPr>
            <w:tcW w:w="189" w:type="dxa"/>
            <w:tcBorders/>
            <w:shd w:fill="CCEEFF" w:val="clear"/>
          </w:tcPr>
          <w:p>
            <w:pPr>
              <w:pStyle w:val="TableContents"/>
              <w:spacing w:before="0" w:after="283"/>
              <w:rPr/>
            </w:pPr>
            <w:r>
              <w:rPr/>
              <w:t> </w:t>
            </w:r>
          </w:p>
        </w:tc>
        <w:tc>
          <w:tcPr>
            <w:tcW w:w="4951" w:type="dxa"/>
            <w:tcBorders/>
            <w:shd w:fill="CCEEFF" w:val="clear"/>
          </w:tcPr>
          <w:p>
            <w:pPr>
              <w:pStyle w:val="TableContents"/>
              <w:spacing w:before="0" w:after="283"/>
              <w:rPr>
                <w:rFonts w:ascii="times" w:hAnsi="times"/>
                <w:sz w:val="20"/>
              </w:rPr>
            </w:pPr>
            <w:r>
              <w:rPr>
                <w:rFonts w:ascii="times" w:hAnsi="times"/>
                <w:sz w:val="20"/>
              </w:rPr>
              <w:t>Shares issued under the Dividend Reinvestment Plan</w:t>
            </w:r>
          </w:p>
        </w:tc>
      </w:tr>
    </w:tbl>
    <w:p>
      <w:pPr>
        <w:pStyle w:val="TextBody"/>
        <w:jc w:val="both"/>
        <w:rPr/>
      </w:pPr>
      <w:r>
        <w:rPr/>
        <w:t>        </w:t>
      </w:r>
      <w:r>
        <w:rPr>
          <w:rFonts w:ascii="times" w:hAnsi="times"/>
          <w:sz w:val="20"/>
        </w:rPr>
        <w:t xml:space="preserve">In addition, on July 24, 2012, the Company issued by way of private placement $200.0 million aggregate principal amount of guaranteed senior unsecured notes consisting of $100 million 4.87% Series A senior notes due 2022 and $100 million 5.02% Series B senior notes due 2024. </w:t>
      </w:r>
    </w:p>
    <w:p>
      <w:pPr>
        <w:pStyle w:val="TextBody"/>
        <w:jc w:val="center"/>
        <w:rPr>
          <w:rFonts w:ascii="times" w:hAnsi="times"/>
        </w:rPr>
      </w:pPr>
      <w:bookmarkStart w:id="47" w:name="toc_di48002_5"/>
      <w:bookmarkStart w:id="48" w:name="di48002_trading_price_and_volu__di402228"/>
      <w:bookmarkEnd w:id="47"/>
      <w:bookmarkEnd w:id="48"/>
      <w:r>
        <w:rPr>
          <w:rFonts w:ascii="times" w:hAnsi="times"/>
          <w:sz w:val="20"/>
        </w:rPr>
        <w:br/>
      </w:r>
      <w:r>
        <w:rPr>
          <w:rFonts w:ascii="times" w:hAnsi="times"/>
          <w:b/>
          <w:sz w:val="20"/>
        </w:rPr>
        <w:t xml:space="preserve">TRADING PRICE AND VOLUME OF COMMON SHARES AND WARRANTS </w:t>
      </w:r>
    </w:p>
    <w:p>
      <w:pPr>
        <w:pStyle w:val="TextBody"/>
        <w:jc w:val="both"/>
        <w:rPr/>
      </w:pPr>
      <w:r>
        <w:rPr/>
        <w:t>        </w:t>
      </w:r>
      <w:r>
        <w:rPr>
          <w:rFonts w:ascii="times" w:hAnsi="times"/>
          <w:sz w:val="20"/>
        </w:rPr>
        <w:t xml:space="preserve">The Company's common shares are listed and traded in Canada on the TSX and in the United States on the NYSE. </w:t>
      </w:r>
    </w:p>
    <w:p>
      <w:pPr>
        <w:pStyle w:val="TextBody"/>
        <w:jc w:val="both"/>
        <w:rPr/>
      </w:pPr>
      <w:r>
        <w:rPr/>
        <w:t>        </w:t>
      </w:r>
      <w:r>
        <w:rPr>
          <w:rFonts w:ascii="times" w:hAnsi="times"/>
          <w:sz w:val="20"/>
        </w:rPr>
        <w:t xml:space="preserve">The following table sets forth the high and low sale prices and the average daily trading volume for the Company's common shares on the TSX since June 1, 2012. </w:t>
      </w:r>
    </w:p>
    <w:tbl>
      <w:tblPr>
        <w:tblW w:w="5000" w:type="pct"/>
        <w:jc w:val="center"/>
        <w:tblInd w:w="0" w:type="dxa"/>
        <w:tblCellMar>
          <w:top w:w="0" w:type="dxa"/>
          <w:left w:w="0" w:type="dxa"/>
          <w:bottom w:w="0" w:type="dxa"/>
          <w:right w:w="0" w:type="dxa"/>
        </w:tblCellMar>
      </w:tblPr>
      <w:tblGrid>
        <w:gridCol w:w="4639"/>
        <w:gridCol w:w="351"/>
        <w:gridCol w:w="205"/>
        <w:gridCol w:w="947"/>
        <w:gridCol w:w="352"/>
        <w:gridCol w:w="205"/>
        <w:gridCol w:w="947"/>
        <w:gridCol w:w="352"/>
        <w:gridCol w:w="205"/>
        <w:gridCol w:w="1650"/>
        <w:gridCol w:w="352"/>
      </w:tblGrid>
      <w:tr>
        <w:trPr/>
        <w:tc>
          <w:tcPr>
            <w:tcW w:w="4639" w:type="dxa"/>
            <w:tcBorders/>
            <w:shd w:fill="auto" w:val="clear"/>
            <w:vAlign w:val="center"/>
          </w:tcPr>
          <w:p>
            <w:pPr>
              <w:pStyle w:val="TableContents"/>
              <w:spacing w:before="0" w:after="283"/>
              <w:rPr>
                <w:sz w:val="4"/>
                <w:szCs w:val="4"/>
              </w:rPr>
            </w:pPr>
            <w:r>
              <w:rPr>
                <w:sz w:val="4"/>
                <w:szCs w:val="4"/>
              </w:rPr>
            </w:r>
          </w:p>
        </w:tc>
        <w:tc>
          <w:tcPr>
            <w:tcW w:w="351" w:type="dxa"/>
            <w:tcBorders/>
            <w:shd w:fill="auto" w:val="clear"/>
            <w:vAlign w:val="center"/>
          </w:tcPr>
          <w:p>
            <w:pPr>
              <w:pStyle w:val="TableContents"/>
              <w:spacing w:before="0" w:after="283"/>
              <w:rPr>
                <w:sz w:val="4"/>
                <w:szCs w:val="4"/>
              </w:rPr>
            </w:pPr>
            <w:r>
              <w:rPr>
                <w:sz w:val="4"/>
                <w:szCs w:val="4"/>
              </w:rPr>
            </w:r>
          </w:p>
        </w:tc>
        <w:tc>
          <w:tcPr>
            <w:tcW w:w="205" w:type="dxa"/>
            <w:tcBorders/>
            <w:shd w:fill="auto" w:val="clear"/>
            <w:vAlign w:val="center"/>
          </w:tcPr>
          <w:p>
            <w:pPr>
              <w:pStyle w:val="TableContents"/>
              <w:spacing w:before="0" w:after="283"/>
              <w:rPr>
                <w:sz w:val="4"/>
                <w:szCs w:val="4"/>
              </w:rPr>
            </w:pPr>
            <w:r>
              <w:rPr>
                <w:sz w:val="4"/>
                <w:szCs w:val="4"/>
              </w:rPr>
            </w:r>
          </w:p>
        </w:tc>
        <w:tc>
          <w:tcPr>
            <w:tcW w:w="947" w:type="dxa"/>
            <w:tcBorders/>
            <w:shd w:fill="auto" w:val="clear"/>
            <w:vAlign w:val="center"/>
          </w:tcPr>
          <w:p>
            <w:pPr>
              <w:pStyle w:val="TableContents"/>
              <w:spacing w:before="0" w:after="283"/>
              <w:rPr>
                <w:sz w:val="4"/>
                <w:szCs w:val="4"/>
              </w:rPr>
            </w:pPr>
            <w:r>
              <w:rPr>
                <w:sz w:val="4"/>
                <w:szCs w:val="4"/>
              </w:rPr>
            </w:r>
          </w:p>
        </w:tc>
        <w:tc>
          <w:tcPr>
            <w:tcW w:w="352" w:type="dxa"/>
            <w:tcBorders/>
            <w:shd w:fill="auto" w:val="clear"/>
            <w:vAlign w:val="center"/>
          </w:tcPr>
          <w:p>
            <w:pPr>
              <w:pStyle w:val="TableContents"/>
              <w:spacing w:before="0" w:after="283"/>
              <w:rPr>
                <w:sz w:val="4"/>
                <w:szCs w:val="4"/>
              </w:rPr>
            </w:pPr>
            <w:r>
              <w:rPr>
                <w:sz w:val="4"/>
                <w:szCs w:val="4"/>
              </w:rPr>
            </w:r>
          </w:p>
        </w:tc>
        <w:tc>
          <w:tcPr>
            <w:tcW w:w="205" w:type="dxa"/>
            <w:tcBorders/>
            <w:shd w:fill="auto" w:val="clear"/>
            <w:vAlign w:val="center"/>
          </w:tcPr>
          <w:p>
            <w:pPr>
              <w:pStyle w:val="TableContents"/>
              <w:spacing w:before="0" w:after="283"/>
              <w:rPr>
                <w:sz w:val="4"/>
                <w:szCs w:val="4"/>
              </w:rPr>
            </w:pPr>
            <w:r>
              <w:rPr>
                <w:sz w:val="4"/>
                <w:szCs w:val="4"/>
              </w:rPr>
            </w:r>
          </w:p>
        </w:tc>
        <w:tc>
          <w:tcPr>
            <w:tcW w:w="947" w:type="dxa"/>
            <w:tcBorders/>
            <w:shd w:fill="auto" w:val="clear"/>
            <w:vAlign w:val="center"/>
          </w:tcPr>
          <w:p>
            <w:pPr>
              <w:pStyle w:val="TableContents"/>
              <w:spacing w:before="0" w:after="283"/>
              <w:rPr>
                <w:sz w:val="4"/>
                <w:szCs w:val="4"/>
              </w:rPr>
            </w:pPr>
            <w:r>
              <w:rPr>
                <w:sz w:val="4"/>
                <w:szCs w:val="4"/>
              </w:rPr>
            </w:r>
          </w:p>
        </w:tc>
        <w:tc>
          <w:tcPr>
            <w:tcW w:w="352" w:type="dxa"/>
            <w:tcBorders/>
            <w:shd w:fill="auto" w:val="clear"/>
            <w:vAlign w:val="center"/>
          </w:tcPr>
          <w:p>
            <w:pPr>
              <w:pStyle w:val="TableContents"/>
              <w:spacing w:before="0" w:after="283"/>
              <w:rPr>
                <w:sz w:val="4"/>
                <w:szCs w:val="4"/>
              </w:rPr>
            </w:pPr>
            <w:r>
              <w:rPr>
                <w:sz w:val="4"/>
                <w:szCs w:val="4"/>
              </w:rPr>
            </w:r>
          </w:p>
        </w:tc>
        <w:tc>
          <w:tcPr>
            <w:tcW w:w="205" w:type="dxa"/>
            <w:tcBorders/>
            <w:shd w:fill="auto" w:val="clear"/>
            <w:vAlign w:val="center"/>
          </w:tcPr>
          <w:p>
            <w:pPr>
              <w:pStyle w:val="TableContents"/>
              <w:spacing w:before="0" w:after="283"/>
              <w:rPr>
                <w:sz w:val="4"/>
                <w:szCs w:val="4"/>
              </w:rPr>
            </w:pPr>
            <w:r>
              <w:rPr>
                <w:sz w:val="4"/>
                <w:szCs w:val="4"/>
              </w:rPr>
            </w:r>
          </w:p>
        </w:tc>
        <w:tc>
          <w:tcPr>
            <w:tcW w:w="1650" w:type="dxa"/>
            <w:tcBorders/>
            <w:shd w:fill="auto" w:val="clear"/>
            <w:vAlign w:val="center"/>
          </w:tcPr>
          <w:p>
            <w:pPr>
              <w:pStyle w:val="TableContents"/>
              <w:spacing w:before="0" w:after="283"/>
              <w:rPr>
                <w:sz w:val="4"/>
                <w:szCs w:val="4"/>
              </w:rPr>
            </w:pPr>
            <w:r>
              <w:rPr>
                <w:sz w:val="4"/>
                <w:szCs w:val="4"/>
              </w:rPr>
            </w:r>
          </w:p>
        </w:tc>
        <w:tc>
          <w:tcPr>
            <w:tcW w:w="352" w:type="dxa"/>
            <w:tcBorders/>
            <w:shd w:fill="auto" w:val="clear"/>
            <w:vAlign w:val="center"/>
          </w:tcPr>
          <w:p>
            <w:pPr>
              <w:pStyle w:val="TableContents"/>
              <w:spacing w:before="0" w:after="283"/>
              <w:rPr>
                <w:sz w:val="4"/>
                <w:szCs w:val="4"/>
              </w:rPr>
            </w:pPr>
            <w:r>
              <w:rPr>
                <w:sz w:val="4"/>
                <w:szCs w:val="4"/>
              </w:rPr>
            </w:r>
          </w:p>
        </w:tc>
      </w:tr>
      <w:tr>
        <w:trPr/>
        <w:tc>
          <w:tcPr>
            <w:tcW w:w="4639" w:type="dxa"/>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Month </w:t>
            </w:r>
          </w:p>
        </w:tc>
        <w:tc>
          <w:tcPr>
            <w:tcW w:w="351" w:type="dxa"/>
            <w:tcBorders/>
            <w:shd w:fill="auto" w:val="clear"/>
            <w:vAlign w:val="bottom"/>
          </w:tcPr>
          <w:p>
            <w:pPr>
              <w:pStyle w:val="TableHeading"/>
              <w:suppressLineNumbers/>
              <w:spacing w:before="0" w:after="283"/>
              <w:jc w:val="center"/>
              <w:rPr/>
            </w:pPr>
            <w:r>
              <w:rPr/>
              <w:t> </w:t>
            </w:r>
          </w:p>
        </w:tc>
        <w:tc>
          <w:tcPr>
            <w:tcW w:w="1152"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High</w:t>
              <w:br/>
              <w:t xml:space="preserve">(C$) </w:t>
            </w:r>
          </w:p>
        </w:tc>
        <w:tc>
          <w:tcPr>
            <w:tcW w:w="352" w:type="dxa"/>
            <w:tcBorders/>
            <w:shd w:fill="auto" w:val="clear"/>
            <w:vAlign w:val="bottom"/>
          </w:tcPr>
          <w:p>
            <w:pPr>
              <w:pStyle w:val="TableHeading"/>
              <w:suppressLineNumbers/>
              <w:spacing w:before="0" w:after="283"/>
              <w:jc w:val="center"/>
              <w:rPr/>
            </w:pPr>
            <w:r>
              <w:rPr/>
              <w:t> </w:t>
            </w:r>
          </w:p>
        </w:tc>
        <w:tc>
          <w:tcPr>
            <w:tcW w:w="1152"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Low</w:t>
              <w:br/>
              <w:t xml:space="preserve">(C$) </w:t>
            </w:r>
          </w:p>
        </w:tc>
        <w:tc>
          <w:tcPr>
            <w:tcW w:w="352" w:type="dxa"/>
            <w:tcBorders/>
            <w:shd w:fill="auto" w:val="clear"/>
            <w:vAlign w:val="bottom"/>
          </w:tcPr>
          <w:p>
            <w:pPr>
              <w:pStyle w:val="TableHeading"/>
              <w:suppressLineNumbers/>
              <w:spacing w:before="0" w:after="283"/>
              <w:jc w:val="center"/>
              <w:rPr/>
            </w:pPr>
            <w:r>
              <w:rPr/>
              <w:t> </w:t>
            </w:r>
          </w:p>
        </w:tc>
        <w:tc>
          <w:tcPr>
            <w:tcW w:w="185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Average</w:t>
              <w:br/>
              <w:t>Daily</w:t>
              <w:br/>
              <w:t xml:space="preserve">Volume </w:t>
            </w:r>
          </w:p>
        </w:tc>
        <w:tc>
          <w:tcPr>
            <w:tcW w:w="352" w:type="dxa"/>
            <w:tcBorders/>
            <w:shd w:fill="auto" w:val="clear"/>
            <w:vAlign w:val="bottom"/>
          </w:tcPr>
          <w:p>
            <w:pPr>
              <w:pStyle w:val="TableHeading"/>
              <w:suppressLineNumbers/>
              <w:spacing w:before="0" w:after="283"/>
              <w:jc w:val="center"/>
              <w:rPr/>
            </w:pPr>
            <w:r>
              <w:rPr/>
              <w:t> </w:t>
            </w:r>
          </w:p>
        </w:tc>
      </w:tr>
      <w:tr>
        <w:trPr/>
        <w:tc>
          <w:tcPr>
            <w:tcW w:w="463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June 2012</w:t>
            </w:r>
          </w:p>
        </w:tc>
        <w:tc>
          <w:tcPr>
            <w:tcW w:w="351"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947" w:type="dxa"/>
            <w:tcBorders/>
            <w:shd w:fill="CCEEFF" w:val="clear"/>
            <w:vAlign w:val="bottom"/>
          </w:tcPr>
          <w:p>
            <w:pPr>
              <w:pStyle w:val="TableContents"/>
              <w:spacing w:before="0" w:after="283"/>
              <w:jc w:val="right"/>
              <w:rPr>
                <w:rFonts w:ascii="times" w:hAnsi="times"/>
                <w:sz w:val="20"/>
              </w:rPr>
            </w:pPr>
            <w:r>
              <w:rPr>
                <w:rFonts w:ascii="times" w:hAnsi="times"/>
                <w:sz w:val="20"/>
              </w:rPr>
              <w:t>43.98</w:t>
            </w:r>
          </w:p>
        </w:tc>
        <w:tc>
          <w:tcPr>
            <w:tcW w:w="352"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947" w:type="dxa"/>
            <w:tcBorders/>
            <w:shd w:fill="CCEEFF" w:val="clear"/>
            <w:vAlign w:val="bottom"/>
          </w:tcPr>
          <w:p>
            <w:pPr>
              <w:pStyle w:val="TableContents"/>
              <w:spacing w:before="0" w:after="283"/>
              <w:jc w:val="right"/>
              <w:rPr>
                <w:rFonts w:ascii="times" w:hAnsi="times"/>
                <w:sz w:val="20"/>
              </w:rPr>
            </w:pPr>
            <w:r>
              <w:rPr>
                <w:rFonts w:ascii="times" w:hAnsi="times"/>
                <w:sz w:val="20"/>
              </w:rPr>
              <w:t>39.46</w:t>
            </w:r>
          </w:p>
        </w:tc>
        <w:tc>
          <w:tcPr>
            <w:tcW w:w="352"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1650" w:type="dxa"/>
            <w:tcBorders/>
            <w:shd w:fill="CCEEFF" w:val="clear"/>
            <w:vAlign w:val="bottom"/>
          </w:tcPr>
          <w:p>
            <w:pPr>
              <w:pStyle w:val="TableContents"/>
              <w:spacing w:before="0" w:after="283"/>
              <w:jc w:val="right"/>
              <w:rPr>
                <w:rFonts w:ascii="times" w:hAnsi="times"/>
                <w:sz w:val="20"/>
              </w:rPr>
            </w:pPr>
            <w:r>
              <w:rPr>
                <w:rFonts w:ascii="times" w:hAnsi="times"/>
                <w:sz w:val="20"/>
              </w:rPr>
              <w:t>1,124,404</w:t>
            </w:r>
          </w:p>
        </w:tc>
        <w:tc>
          <w:tcPr>
            <w:tcW w:w="352" w:type="dxa"/>
            <w:tcBorders/>
            <w:shd w:fill="CCEEFF" w:val="clear"/>
            <w:vAlign w:val="bottom"/>
          </w:tcPr>
          <w:p>
            <w:pPr>
              <w:pStyle w:val="TableContents"/>
              <w:spacing w:before="0" w:after="283"/>
              <w:rPr/>
            </w:pPr>
            <w:r>
              <w:rPr/>
              <w:t> </w:t>
            </w:r>
          </w:p>
        </w:tc>
      </w:tr>
      <w:tr>
        <w:trPr/>
        <w:tc>
          <w:tcPr>
            <w:tcW w:w="4639"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July 2012</w:t>
            </w:r>
          </w:p>
        </w:tc>
        <w:tc>
          <w:tcPr>
            <w:tcW w:w="351" w:type="dxa"/>
            <w:tcBorders/>
            <w:shd w:fill="FFFFFF" w:val="clear"/>
            <w:vAlign w:val="bottom"/>
          </w:tcPr>
          <w:p>
            <w:pPr>
              <w:pStyle w:val="TableContents"/>
              <w:spacing w:before="0" w:after="283"/>
              <w:rPr/>
            </w:pPr>
            <w:r>
              <w:rPr/>
              <w:t> </w:t>
            </w:r>
          </w:p>
        </w:tc>
        <w:tc>
          <w:tcPr>
            <w:tcW w:w="205" w:type="dxa"/>
            <w:tcBorders/>
            <w:shd w:fill="FFFFFF" w:val="clear"/>
            <w:vAlign w:val="bottom"/>
          </w:tcPr>
          <w:p>
            <w:pPr>
              <w:pStyle w:val="TableContents"/>
              <w:spacing w:before="0" w:after="283"/>
              <w:rPr/>
            </w:pPr>
            <w:r>
              <w:rPr/>
              <w:t> </w:t>
            </w:r>
          </w:p>
        </w:tc>
        <w:tc>
          <w:tcPr>
            <w:tcW w:w="947" w:type="dxa"/>
            <w:tcBorders/>
            <w:shd w:fill="FFFFFF" w:val="clear"/>
            <w:vAlign w:val="bottom"/>
          </w:tcPr>
          <w:p>
            <w:pPr>
              <w:pStyle w:val="TableContents"/>
              <w:spacing w:before="0" w:after="283"/>
              <w:jc w:val="right"/>
              <w:rPr>
                <w:rFonts w:ascii="times" w:hAnsi="times"/>
                <w:sz w:val="20"/>
              </w:rPr>
            </w:pPr>
            <w:r>
              <w:rPr>
                <w:rFonts w:ascii="times" w:hAnsi="times"/>
                <w:sz w:val="20"/>
              </w:rPr>
              <w:t>44.88</w:t>
            </w:r>
          </w:p>
        </w:tc>
        <w:tc>
          <w:tcPr>
            <w:tcW w:w="352" w:type="dxa"/>
            <w:tcBorders/>
            <w:shd w:fill="FFFFFF" w:val="clear"/>
            <w:vAlign w:val="bottom"/>
          </w:tcPr>
          <w:p>
            <w:pPr>
              <w:pStyle w:val="TableContents"/>
              <w:spacing w:before="0" w:after="283"/>
              <w:rPr/>
            </w:pPr>
            <w:r>
              <w:rPr/>
              <w:t> </w:t>
            </w:r>
          </w:p>
        </w:tc>
        <w:tc>
          <w:tcPr>
            <w:tcW w:w="205" w:type="dxa"/>
            <w:tcBorders/>
            <w:shd w:fill="FFFFFF" w:val="clear"/>
            <w:vAlign w:val="bottom"/>
          </w:tcPr>
          <w:p>
            <w:pPr>
              <w:pStyle w:val="TableContents"/>
              <w:spacing w:before="0" w:after="283"/>
              <w:rPr/>
            </w:pPr>
            <w:r>
              <w:rPr/>
              <w:t> </w:t>
            </w:r>
          </w:p>
        </w:tc>
        <w:tc>
          <w:tcPr>
            <w:tcW w:w="947" w:type="dxa"/>
            <w:tcBorders/>
            <w:shd w:fill="FFFFFF" w:val="clear"/>
            <w:vAlign w:val="bottom"/>
          </w:tcPr>
          <w:p>
            <w:pPr>
              <w:pStyle w:val="TableContents"/>
              <w:spacing w:before="0" w:after="283"/>
              <w:jc w:val="right"/>
              <w:rPr>
                <w:rFonts w:ascii="times" w:hAnsi="times"/>
                <w:sz w:val="20"/>
              </w:rPr>
            </w:pPr>
            <w:r>
              <w:rPr>
                <w:rFonts w:ascii="times" w:hAnsi="times"/>
                <w:sz w:val="20"/>
              </w:rPr>
              <w:t>36.38</w:t>
            </w:r>
          </w:p>
        </w:tc>
        <w:tc>
          <w:tcPr>
            <w:tcW w:w="352" w:type="dxa"/>
            <w:tcBorders/>
            <w:shd w:fill="FFFFFF" w:val="clear"/>
            <w:vAlign w:val="bottom"/>
          </w:tcPr>
          <w:p>
            <w:pPr>
              <w:pStyle w:val="TableContents"/>
              <w:spacing w:before="0" w:after="283"/>
              <w:rPr/>
            </w:pPr>
            <w:r>
              <w:rPr/>
              <w:t> </w:t>
            </w:r>
          </w:p>
        </w:tc>
        <w:tc>
          <w:tcPr>
            <w:tcW w:w="205" w:type="dxa"/>
            <w:tcBorders/>
            <w:shd w:fill="FFFFFF" w:val="clear"/>
            <w:vAlign w:val="bottom"/>
          </w:tcPr>
          <w:p>
            <w:pPr>
              <w:pStyle w:val="TableContents"/>
              <w:spacing w:before="0" w:after="283"/>
              <w:rPr/>
            </w:pPr>
            <w:r>
              <w:rPr/>
              <w:t> </w:t>
            </w:r>
          </w:p>
        </w:tc>
        <w:tc>
          <w:tcPr>
            <w:tcW w:w="1650" w:type="dxa"/>
            <w:tcBorders/>
            <w:shd w:fill="FFFFFF" w:val="clear"/>
            <w:vAlign w:val="bottom"/>
          </w:tcPr>
          <w:p>
            <w:pPr>
              <w:pStyle w:val="TableContents"/>
              <w:spacing w:before="0" w:after="283"/>
              <w:jc w:val="right"/>
              <w:rPr>
                <w:rFonts w:ascii="times" w:hAnsi="times"/>
                <w:sz w:val="20"/>
              </w:rPr>
            </w:pPr>
            <w:r>
              <w:rPr>
                <w:rFonts w:ascii="times" w:hAnsi="times"/>
                <w:sz w:val="20"/>
              </w:rPr>
              <w:t>856,104</w:t>
            </w:r>
          </w:p>
        </w:tc>
        <w:tc>
          <w:tcPr>
            <w:tcW w:w="352" w:type="dxa"/>
            <w:tcBorders/>
            <w:shd w:fill="FFFFFF" w:val="clear"/>
            <w:vAlign w:val="bottom"/>
          </w:tcPr>
          <w:p>
            <w:pPr>
              <w:pStyle w:val="TableContents"/>
              <w:spacing w:before="0" w:after="283"/>
              <w:rPr/>
            </w:pPr>
            <w:r>
              <w:rPr/>
              <w:t> </w:t>
            </w:r>
          </w:p>
        </w:tc>
      </w:tr>
      <w:tr>
        <w:trPr/>
        <w:tc>
          <w:tcPr>
            <w:tcW w:w="463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August 2012</w:t>
            </w:r>
          </w:p>
        </w:tc>
        <w:tc>
          <w:tcPr>
            <w:tcW w:w="351"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947" w:type="dxa"/>
            <w:tcBorders/>
            <w:shd w:fill="CCEEFF" w:val="clear"/>
            <w:vAlign w:val="bottom"/>
          </w:tcPr>
          <w:p>
            <w:pPr>
              <w:pStyle w:val="TableContents"/>
              <w:spacing w:before="0" w:after="283"/>
              <w:jc w:val="right"/>
              <w:rPr>
                <w:rFonts w:ascii="times" w:hAnsi="times"/>
                <w:sz w:val="20"/>
              </w:rPr>
            </w:pPr>
            <w:r>
              <w:rPr>
                <w:rFonts w:ascii="times" w:hAnsi="times"/>
                <w:sz w:val="20"/>
              </w:rPr>
              <w:t>47.75</w:t>
            </w:r>
          </w:p>
        </w:tc>
        <w:tc>
          <w:tcPr>
            <w:tcW w:w="352"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947" w:type="dxa"/>
            <w:tcBorders/>
            <w:shd w:fill="CCEEFF" w:val="clear"/>
            <w:vAlign w:val="bottom"/>
          </w:tcPr>
          <w:p>
            <w:pPr>
              <w:pStyle w:val="TableContents"/>
              <w:spacing w:before="0" w:after="283"/>
              <w:jc w:val="right"/>
              <w:rPr>
                <w:rFonts w:ascii="times" w:hAnsi="times"/>
                <w:sz w:val="20"/>
              </w:rPr>
            </w:pPr>
            <w:r>
              <w:rPr>
                <w:rFonts w:ascii="times" w:hAnsi="times"/>
                <w:sz w:val="20"/>
              </w:rPr>
              <w:t>42.55</w:t>
            </w:r>
          </w:p>
        </w:tc>
        <w:tc>
          <w:tcPr>
            <w:tcW w:w="352"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1650" w:type="dxa"/>
            <w:tcBorders/>
            <w:shd w:fill="CCEEFF" w:val="clear"/>
            <w:vAlign w:val="bottom"/>
          </w:tcPr>
          <w:p>
            <w:pPr>
              <w:pStyle w:val="TableContents"/>
              <w:spacing w:before="0" w:after="283"/>
              <w:jc w:val="right"/>
              <w:rPr>
                <w:rFonts w:ascii="times" w:hAnsi="times"/>
                <w:sz w:val="20"/>
              </w:rPr>
            </w:pPr>
            <w:r>
              <w:rPr>
                <w:rFonts w:ascii="times" w:hAnsi="times"/>
                <w:sz w:val="20"/>
              </w:rPr>
              <w:t>635,614</w:t>
            </w:r>
          </w:p>
        </w:tc>
        <w:tc>
          <w:tcPr>
            <w:tcW w:w="352" w:type="dxa"/>
            <w:tcBorders/>
            <w:shd w:fill="CCEEFF" w:val="clear"/>
            <w:vAlign w:val="bottom"/>
          </w:tcPr>
          <w:p>
            <w:pPr>
              <w:pStyle w:val="TableContents"/>
              <w:spacing w:before="0" w:after="283"/>
              <w:rPr/>
            </w:pPr>
            <w:r>
              <w:rPr/>
              <w:t> </w:t>
            </w:r>
          </w:p>
        </w:tc>
      </w:tr>
      <w:tr>
        <w:trPr/>
        <w:tc>
          <w:tcPr>
            <w:tcW w:w="4639"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September 2012</w:t>
            </w:r>
          </w:p>
        </w:tc>
        <w:tc>
          <w:tcPr>
            <w:tcW w:w="351" w:type="dxa"/>
            <w:tcBorders/>
            <w:shd w:fill="FFFFFF" w:val="clear"/>
            <w:vAlign w:val="bottom"/>
          </w:tcPr>
          <w:p>
            <w:pPr>
              <w:pStyle w:val="TableContents"/>
              <w:spacing w:before="0" w:after="283"/>
              <w:rPr/>
            </w:pPr>
            <w:r>
              <w:rPr/>
              <w:t> </w:t>
            </w:r>
          </w:p>
        </w:tc>
        <w:tc>
          <w:tcPr>
            <w:tcW w:w="205" w:type="dxa"/>
            <w:tcBorders/>
            <w:shd w:fill="FFFFFF" w:val="clear"/>
            <w:vAlign w:val="bottom"/>
          </w:tcPr>
          <w:p>
            <w:pPr>
              <w:pStyle w:val="TableContents"/>
              <w:spacing w:before="0" w:after="283"/>
              <w:rPr/>
            </w:pPr>
            <w:r>
              <w:rPr/>
              <w:t> </w:t>
            </w:r>
          </w:p>
        </w:tc>
        <w:tc>
          <w:tcPr>
            <w:tcW w:w="947" w:type="dxa"/>
            <w:tcBorders/>
            <w:shd w:fill="FFFFFF" w:val="clear"/>
            <w:vAlign w:val="bottom"/>
          </w:tcPr>
          <w:p>
            <w:pPr>
              <w:pStyle w:val="TableContents"/>
              <w:spacing w:before="0" w:after="283"/>
              <w:jc w:val="right"/>
              <w:rPr>
                <w:rFonts w:ascii="times" w:hAnsi="times"/>
                <w:sz w:val="20"/>
              </w:rPr>
            </w:pPr>
            <w:r>
              <w:rPr>
                <w:rFonts w:ascii="times" w:hAnsi="times"/>
                <w:sz w:val="20"/>
              </w:rPr>
              <w:t>51.80</w:t>
            </w:r>
          </w:p>
        </w:tc>
        <w:tc>
          <w:tcPr>
            <w:tcW w:w="352" w:type="dxa"/>
            <w:tcBorders/>
            <w:shd w:fill="FFFFFF" w:val="clear"/>
            <w:vAlign w:val="bottom"/>
          </w:tcPr>
          <w:p>
            <w:pPr>
              <w:pStyle w:val="TableContents"/>
              <w:spacing w:before="0" w:after="283"/>
              <w:rPr/>
            </w:pPr>
            <w:r>
              <w:rPr/>
              <w:t> </w:t>
            </w:r>
          </w:p>
        </w:tc>
        <w:tc>
          <w:tcPr>
            <w:tcW w:w="205" w:type="dxa"/>
            <w:tcBorders/>
            <w:shd w:fill="FFFFFF" w:val="clear"/>
            <w:vAlign w:val="bottom"/>
          </w:tcPr>
          <w:p>
            <w:pPr>
              <w:pStyle w:val="TableContents"/>
              <w:spacing w:before="0" w:after="283"/>
              <w:rPr/>
            </w:pPr>
            <w:r>
              <w:rPr/>
              <w:t> </w:t>
            </w:r>
          </w:p>
        </w:tc>
        <w:tc>
          <w:tcPr>
            <w:tcW w:w="947" w:type="dxa"/>
            <w:tcBorders/>
            <w:shd w:fill="FFFFFF" w:val="clear"/>
            <w:vAlign w:val="bottom"/>
          </w:tcPr>
          <w:p>
            <w:pPr>
              <w:pStyle w:val="TableContents"/>
              <w:spacing w:before="0" w:after="283"/>
              <w:jc w:val="right"/>
              <w:rPr>
                <w:rFonts w:ascii="times" w:hAnsi="times"/>
                <w:sz w:val="20"/>
              </w:rPr>
            </w:pPr>
            <w:r>
              <w:rPr>
                <w:rFonts w:ascii="times" w:hAnsi="times"/>
                <w:sz w:val="20"/>
              </w:rPr>
              <w:t>46.15</w:t>
            </w:r>
          </w:p>
        </w:tc>
        <w:tc>
          <w:tcPr>
            <w:tcW w:w="352" w:type="dxa"/>
            <w:tcBorders/>
            <w:shd w:fill="FFFFFF" w:val="clear"/>
            <w:vAlign w:val="bottom"/>
          </w:tcPr>
          <w:p>
            <w:pPr>
              <w:pStyle w:val="TableContents"/>
              <w:spacing w:before="0" w:after="283"/>
              <w:rPr/>
            </w:pPr>
            <w:r>
              <w:rPr/>
              <w:t> </w:t>
            </w:r>
          </w:p>
        </w:tc>
        <w:tc>
          <w:tcPr>
            <w:tcW w:w="205" w:type="dxa"/>
            <w:tcBorders/>
            <w:shd w:fill="FFFFFF" w:val="clear"/>
            <w:vAlign w:val="bottom"/>
          </w:tcPr>
          <w:p>
            <w:pPr>
              <w:pStyle w:val="TableContents"/>
              <w:spacing w:before="0" w:after="283"/>
              <w:rPr/>
            </w:pPr>
            <w:r>
              <w:rPr/>
              <w:t> </w:t>
            </w:r>
          </w:p>
        </w:tc>
        <w:tc>
          <w:tcPr>
            <w:tcW w:w="1650" w:type="dxa"/>
            <w:tcBorders/>
            <w:shd w:fill="FFFFFF" w:val="clear"/>
            <w:vAlign w:val="bottom"/>
          </w:tcPr>
          <w:p>
            <w:pPr>
              <w:pStyle w:val="TableContents"/>
              <w:spacing w:before="0" w:after="283"/>
              <w:jc w:val="right"/>
              <w:rPr>
                <w:rFonts w:ascii="times" w:hAnsi="times"/>
                <w:sz w:val="20"/>
              </w:rPr>
            </w:pPr>
            <w:r>
              <w:rPr>
                <w:rFonts w:ascii="times" w:hAnsi="times"/>
                <w:sz w:val="20"/>
              </w:rPr>
              <w:t>973,488</w:t>
            </w:r>
          </w:p>
        </w:tc>
        <w:tc>
          <w:tcPr>
            <w:tcW w:w="352" w:type="dxa"/>
            <w:tcBorders/>
            <w:shd w:fill="FFFFFF" w:val="clear"/>
            <w:vAlign w:val="bottom"/>
          </w:tcPr>
          <w:p>
            <w:pPr>
              <w:pStyle w:val="TableContents"/>
              <w:spacing w:before="0" w:after="283"/>
              <w:rPr/>
            </w:pPr>
            <w:r>
              <w:rPr/>
              <w:t> </w:t>
            </w:r>
          </w:p>
        </w:tc>
      </w:tr>
      <w:tr>
        <w:trPr/>
        <w:tc>
          <w:tcPr>
            <w:tcW w:w="463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October 2012</w:t>
            </w:r>
          </w:p>
        </w:tc>
        <w:tc>
          <w:tcPr>
            <w:tcW w:w="351"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947" w:type="dxa"/>
            <w:tcBorders/>
            <w:shd w:fill="CCEEFF" w:val="clear"/>
            <w:vAlign w:val="bottom"/>
          </w:tcPr>
          <w:p>
            <w:pPr>
              <w:pStyle w:val="TableContents"/>
              <w:spacing w:before="0" w:after="283"/>
              <w:jc w:val="right"/>
              <w:rPr>
                <w:rFonts w:ascii="times" w:hAnsi="times"/>
                <w:sz w:val="20"/>
              </w:rPr>
            </w:pPr>
            <w:r>
              <w:rPr>
                <w:rFonts w:ascii="times" w:hAnsi="times"/>
                <w:sz w:val="20"/>
              </w:rPr>
              <w:t>56.98</w:t>
            </w:r>
          </w:p>
        </w:tc>
        <w:tc>
          <w:tcPr>
            <w:tcW w:w="352"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947" w:type="dxa"/>
            <w:tcBorders/>
            <w:shd w:fill="CCEEFF" w:val="clear"/>
            <w:vAlign w:val="bottom"/>
          </w:tcPr>
          <w:p>
            <w:pPr>
              <w:pStyle w:val="TableContents"/>
              <w:spacing w:before="0" w:after="283"/>
              <w:jc w:val="right"/>
              <w:rPr>
                <w:rFonts w:ascii="times" w:hAnsi="times"/>
                <w:sz w:val="20"/>
              </w:rPr>
            </w:pPr>
            <w:r>
              <w:rPr>
                <w:rFonts w:ascii="times" w:hAnsi="times"/>
                <w:sz w:val="20"/>
              </w:rPr>
              <w:t>49.39</w:t>
            </w:r>
          </w:p>
        </w:tc>
        <w:tc>
          <w:tcPr>
            <w:tcW w:w="352"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1650" w:type="dxa"/>
            <w:tcBorders/>
            <w:shd w:fill="CCEEFF" w:val="clear"/>
            <w:vAlign w:val="bottom"/>
          </w:tcPr>
          <w:p>
            <w:pPr>
              <w:pStyle w:val="TableContents"/>
              <w:spacing w:before="0" w:after="283"/>
              <w:jc w:val="right"/>
              <w:rPr>
                <w:rFonts w:ascii="times" w:hAnsi="times"/>
                <w:sz w:val="20"/>
              </w:rPr>
            </w:pPr>
            <w:r>
              <w:rPr>
                <w:rFonts w:ascii="times" w:hAnsi="times"/>
                <w:sz w:val="20"/>
              </w:rPr>
              <w:t>605,285</w:t>
            </w:r>
          </w:p>
        </w:tc>
        <w:tc>
          <w:tcPr>
            <w:tcW w:w="352" w:type="dxa"/>
            <w:tcBorders/>
            <w:shd w:fill="CCEEFF" w:val="clear"/>
            <w:vAlign w:val="bottom"/>
          </w:tcPr>
          <w:p>
            <w:pPr>
              <w:pStyle w:val="TableContents"/>
              <w:spacing w:before="0" w:after="283"/>
              <w:rPr/>
            </w:pPr>
            <w:r>
              <w:rPr/>
              <w:t> </w:t>
            </w:r>
          </w:p>
        </w:tc>
      </w:tr>
      <w:tr>
        <w:trPr/>
        <w:tc>
          <w:tcPr>
            <w:tcW w:w="4639"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November 2012</w:t>
            </w:r>
          </w:p>
        </w:tc>
        <w:tc>
          <w:tcPr>
            <w:tcW w:w="351" w:type="dxa"/>
            <w:tcBorders/>
            <w:shd w:fill="FFFFFF" w:val="clear"/>
            <w:vAlign w:val="bottom"/>
          </w:tcPr>
          <w:p>
            <w:pPr>
              <w:pStyle w:val="TableContents"/>
              <w:spacing w:before="0" w:after="283"/>
              <w:rPr/>
            </w:pPr>
            <w:r>
              <w:rPr/>
              <w:t> </w:t>
            </w:r>
          </w:p>
        </w:tc>
        <w:tc>
          <w:tcPr>
            <w:tcW w:w="205" w:type="dxa"/>
            <w:tcBorders/>
            <w:shd w:fill="FFFFFF" w:val="clear"/>
            <w:vAlign w:val="bottom"/>
          </w:tcPr>
          <w:p>
            <w:pPr>
              <w:pStyle w:val="TableContents"/>
              <w:spacing w:before="0" w:after="283"/>
              <w:rPr/>
            </w:pPr>
            <w:r>
              <w:rPr/>
              <w:t> </w:t>
            </w:r>
          </w:p>
        </w:tc>
        <w:tc>
          <w:tcPr>
            <w:tcW w:w="947" w:type="dxa"/>
            <w:tcBorders/>
            <w:shd w:fill="FFFFFF" w:val="clear"/>
            <w:vAlign w:val="bottom"/>
          </w:tcPr>
          <w:p>
            <w:pPr>
              <w:pStyle w:val="TableContents"/>
              <w:spacing w:before="0" w:after="283"/>
              <w:jc w:val="right"/>
              <w:rPr>
                <w:rFonts w:ascii="times" w:hAnsi="times"/>
                <w:sz w:val="20"/>
              </w:rPr>
            </w:pPr>
            <w:r>
              <w:rPr>
                <w:rFonts w:ascii="times" w:hAnsi="times"/>
                <w:sz w:val="20"/>
              </w:rPr>
              <w:t>56.99</w:t>
            </w:r>
          </w:p>
        </w:tc>
        <w:tc>
          <w:tcPr>
            <w:tcW w:w="352" w:type="dxa"/>
            <w:tcBorders/>
            <w:shd w:fill="FFFFFF" w:val="clear"/>
            <w:vAlign w:val="bottom"/>
          </w:tcPr>
          <w:p>
            <w:pPr>
              <w:pStyle w:val="TableContents"/>
              <w:spacing w:before="0" w:after="283"/>
              <w:rPr/>
            </w:pPr>
            <w:r>
              <w:rPr/>
              <w:t> </w:t>
            </w:r>
          </w:p>
        </w:tc>
        <w:tc>
          <w:tcPr>
            <w:tcW w:w="205" w:type="dxa"/>
            <w:tcBorders/>
            <w:shd w:fill="FFFFFF" w:val="clear"/>
            <w:vAlign w:val="bottom"/>
          </w:tcPr>
          <w:p>
            <w:pPr>
              <w:pStyle w:val="TableContents"/>
              <w:spacing w:before="0" w:after="283"/>
              <w:rPr/>
            </w:pPr>
            <w:r>
              <w:rPr/>
              <w:t> </w:t>
            </w:r>
          </w:p>
        </w:tc>
        <w:tc>
          <w:tcPr>
            <w:tcW w:w="947" w:type="dxa"/>
            <w:tcBorders/>
            <w:shd w:fill="FFFFFF" w:val="clear"/>
            <w:vAlign w:val="bottom"/>
          </w:tcPr>
          <w:p>
            <w:pPr>
              <w:pStyle w:val="TableContents"/>
              <w:spacing w:before="0" w:after="283"/>
              <w:jc w:val="right"/>
              <w:rPr>
                <w:rFonts w:ascii="times" w:hAnsi="times"/>
                <w:sz w:val="20"/>
              </w:rPr>
            </w:pPr>
            <w:r>
              <w:rPr>
                <w:rFonts w:ascii="times" w:hAnsi="times"/>
                <w:sz w:val="20"/>
              </w:rPr>
              <w:t>50.70</w:t>
            </w:r>
          </w:p>
        </w:tc>
        <w:tc>
          <w:tcPr>
            <w:tcW w:w="352" w:type="dxa"/>
            <w:tcBorders/>
            <w:shd w:fill="FFFFFF" w:val="clear"/>
            <w:vAlign w:val="bottom"/>
          </w:tcPr>
          <w:p>
            <w:pPr>
              <w:pStyle w:val="TableContents"/>
              <w:spacing w:before="0" w:after="283"/>
              <w:rPr/>
            </w:pPr>
            <w:r>
              <w:rPr/>
              <w:t> </w:t>
            </w:r>
          </w:p>
        </w:tc>
        <w:tc>
          <w:tcPr>
            <w:tcW w:w="205" w:type="dxa"/>
            <w:tcBorders/>
            <w:shd w:fill="FFFFFF" w:val="clear"/>
            <w:vAlign w:val="bottom"/>
          </w:tcPr>
          <w:p>
            <w:pPr>
              <w:pStyle w:val="TableContents"/>
              <w:spacing w:before="0" w:after="283"/>
              <w:rPr/>
            </w:pPr>
            <w:r>
              <w:rPr/>
              <w:t> </w:t>
            </w:r>
          </w:p>
        </w:tc>
        <w:tc>
          <w:tcPr>
            <w:tcW w:w="1650" w:type="dxa"/>
            <w:tcBorders/>
            <w:shd w:fill="FFFFFF" w:val="clear"/>
            <w:vAlign w:val="bottom"/>
          </w:tcPr>
          <w:p>
            <w:pPr>
              <w:pStyle w:val="TableContents"/>
              <w:spacing w:before="0" w:after="283"/>
              <w:jc w:val="right"/>
              <w:rPr>
                <w:rFonts w:ascii="times" w:hAnsi="times"/>
                <w:sz w:val="20"/>
              </w:rPr>
            </w:pPr>
            <w:r>
              <w:rPr>
                <w:rFonts w:ascii="times" w:hAnsi="times"/>
                <w:sz w:val="20"/>
              </w:rPr>
              <w:t>566,203</w:t>
            </w:r>
          </w:p>
        </w:tc>
        <w:tc>
          <w:tcPr>
            <w:tcW w:w="352" w:type="dxa"/>
            <w:tcBorders/>
            <w:shd w:fill="FFFFFF" w:val="clear"/>
            <w:vAlign w:val="bottom"/>
          </w:tcPr>
          <w:p>
            <w:pPr>
              <w:pStyle w:val="TableContents"/>
              <w:spacing w:before="0" w:after="283"/>
              <w:rPr/>
            </w:pPr>
            <w:r>
              <w:rPr/>
              <w:t> </w:t>
            </w:r>
          </w:p>
        </w:tc>
      </w:tr>
      <w:tr>
        <w:trPr/>
        <w:tc>
          <w:tcPr>
            <w:tcW w:w="463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December 2012</w:t>
            </w:r>
          </w:p>
        </w:tc>
        <w:tc>
          <w:tcPr>
            <w:tcW w:w="351"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947" w:type="dxa"/>
            <w:tcBorders/>
            <w:shd w:fill="CCEEFF" w:val="clear"/>
            <w:vAlign w:val="bottom"/>
          </w:tcPr>
          <w:p>
            <w:pPr>
              <w:pStyle w:val="TableContents"/>
              <w:spacing w:before="0" w:after="283"/>
              <w:jc w:val="right"/>
              <w:rPr>
                <w:rFonts w:ascii="times" w:hAnsi="times"/>
                <w:sz w:val="20"/>
              </w:rPr>
            </w:pPr>
            <w:r>
              <w:rPr>
                <w:rFonts w:ascii="times" w:hAnsi="times"/>
                <w:sz w:val="20"/>
              </w:rPr>
              <w:t>56.18</w:t>
            </w:r>
          </w:p>
        </w:tc>
        <w:tc>
          <w:tcPr>
            <w:tcW w:w="352"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947" w:type="dxa"/>
            <w:tcBorders/>
            <w:shd w:fill="CCEEFF" w:val="clear"/>
            <w:vAlign w:val="bottom"/>
          </w:tcPr>
          <w:p>
            <w:pPr>
              <w:pStyle w:val="TableContents"/>
              <w:spacing w:before="0" w:after="283"/>
              <w:jc w:val="right"/>
              <w:rPr>
                <w:rFonts w:ascii="times" w:hAnsi="times"/>
                <w:sz w:val="20"/>
              </w:rPr>
            </w:pPr>
            <w:r>
              <w:rPr>
                <w:rFonts w:ascii="times" w:hAnsi="times"/>
                <w:sz w:val="20"/>
              </w:rPr>
              <w:t>49.25</w:t>
            </w:r>
          </w:p>
        </w:tc>
        <w:tc>
          <w:tcPr>
            <w:tcW w:w="352"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1650" w:type="dxa"/>
            <w:tcBorders/>
            <w:shd w:fill="CCEEFF" w:val="clear"/>
            <w:vAlign w:val="bottom"/>
          </w:tcPr>
          <w:p>
            <w:pPr>
              <w:pStyle w:val="TableContents"/>
              <w:spacing w:before="0" w:after="283"/>
              <w:jc w:val="right"/>
              <w:rPr>
                <w:rFonts w:ascii="times" w:hAnsi="times"/>
                <w:sz w:val="20"/>
              </w:rPr>
            </w:pPr>
            <w:r>
              <w:rPr>
                <w:rFonts w:ascii="times" w:hAnsi="times"/>
                <w:sz w:val="20"/>
              </w:rPr>
              <w:t>710,244</w:t>
            </w:r>
          </w:p>
        </w:tc>
        <w:tc>
          <w:tcPr>
            <w:tcW w:w="352" w:type="dxa"/>
            <w:tcBorders/>
            <w:shd w:fill="CCEEFF" w:val="clear"/>
            <w:vAlign w:val="bottom"/>
          </w:tcPr>
          <w:p>
            <w:pPr>
              <w:pStyle w:val="TableContents"/>
              <w:spacing w:before="0" w:after="283"/>
              <w:rPr/>
            </w:pPr>
            <w:r>
              <w:rPr/>
              <w:t> </w:t>
            </w:r>
          </w:p>
        </w:tc>
      </w:tr>
      <w:tr>
        <w:trPr/>
        <w:tc>
          <w:tcPr>
            <w:tcW w:w="4639"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January 2013</w:t>
            </w:r>
          </w:p>
        </w:tc>
        <w:tc>
          <w:tcPr>
            <w:tcW w:w="351" w:type="dxa"/>
            <w:tcBorders/>
            <w:shd w:fill="FFFFFF" w:val="clear"/>
            <w:vAlign w:val="bottom"/>
          </w:tcPr>
          <w:p>
            <w:pPr>
              <w:pStyle w:val="TableContents"/>
              <w:spacing w:before="0" w:after="283"/>
              <w:rPr/>
            </w:pPr>
            <w:r>
              <w:rPr/>
              <w:t> </w:t>
            </w:r>
          </w:p>
        </w:tc>
        <w:tc>
          <w:tcPr>
            <w:tcW w:w="205" w:type="dxa"/>
            <w:tcBorders/>
            <w:shd w:fill="FFFFFF" w:val="clear"/>
            <w:vAlign w:val="bottom"/>
          </w:tcPr>
          <w:p>
            <w:pPr>
              <w:pStyle w:val="TableContents"/>
              <w:spacing w:before="0" w:after="283"/>
              <w:rPr/>
            </w:pPr>
            <w:r>
              <w:rPr/>
              <w:t> </w:t>
            </w:r>
          </w:p>
        </w:tc>
        <w:tc>
          <w:tcPr>
            <w:tcW w:w="947" w:type="dxa"/>
            <w:tcBorders/>
            <w:shd w:fill="FFFFFF" w:val="clear"/>
            <w:vAlign w:val="bottom"/>
          </w:tcPr>
          <w:p>
            <w:pPr>
              <w:pStyle w:val="TableContents"/>
              <w:spacing w:before="0" w:after="283"/>
              <w:jc w:val="right"/>
              <w:rPr>
                <w:rFonts w:ascii="times" w:hAnsi="times"/>
                <w:sz w:val="20"/>
              </w:rPr>
            </w:pPr>
            <w:r>
              <w:rPr>
                <w:rFonts w:ascii="times" w:hAnsi="times"/>
                <w:sz w:val="20"/>
              </w:rPr>
              <w:t>52.97</w:t>
            </w:r>
          </w:p>
        </w:tc>
        <w:tc>
          <w:tcPr>
            <w:tcW w:w="352" w:type="dxa"/>
            <w:tcBorders/>
            <w:shd w:fill="FFFFFF" w:val="clear"/>
            <w:vAlign w:val="bottom"/>
          </w:tcPr>
          <w:p>
            <w:pPr>
              <w:pStyle w:val="TableContents"/>
              <w:spacing w:before="0" w:after="283"/>
              <w:rPr/>
            </w:pPr>
            <w:r>
              <w:rPr/>
              <w:t> </w:t>
            </w:r>
          </w:p>
        </w:tc>
        <w:tc>
          <w:tcPr>
            <w:tcW w:w="205" w:type="dxa"/>
            <w:tcBorders/>
            <w:shd w:fill="FFFFFF" w:val="clear"/>
            <w:vAlign w:val="bottom"/>
          </w:tcPr>
          <w:p>
            <w:pPr>
              <w:pStyle w:val="TableContents"/>
              <w:spacing w:before="0" w:after="283"/>
              <w:rPr/>
            </w:pPr>
            <w:r>
              <w:rPr/>
              <w:t> </w:t>
            </w:r>
          </w:p>
        </w:tc>
        <w:tc>
          <w:tcPr>
            <w:tcW w:w="947" w:type="dxa"/>
            <w:tcBorders/>
            <w:shd w:fill="FFFFFF" w:val="clear"/>
            <w:vAlign w:val="bottom"/>
          </w:tcPr>
          <w:p>
            <w:pPr>
              <w:pStyle w:val="TableContents"/>
              <w:spacing w:before="0" w:after="283"/>
              <w:jc w:val="right"/>
              <w:rPr>
                <w:rFonts w:ascii="times" w:hAnsi="times"/>
                <w:sz w:val="20"/>
              </w:rPr>
            </w:pPr>
            <w:r>
              <w:rPr>
                <w:rFonts w:ascii="times" w:hAnsi="times"/>
                <w:sz w:val="20"/>
              </w:rPr>
              <w:t>45.63</w:t>
            </w:r>
          </w:p>
        </w:tc>
        <w:tc>
          <w:tcPr>
            <w:tcW w:w="352" w:type="dxa"/>
            <w:tcBorders/>
            <w:shd w:fill="FFFFFF" w:val="clear"/>
            <w:vAlign w:val="bottom"/>
          </w:tcPr>
          <w:p>
            <w:pPr>
              <w:pStyle w:val="TableContents"/>
              <w:spacing w:before="0" w:after="283"/>
              <w:rPr/>
            </w:pPr>
            <w:r>
              <w:rPr/>
              <w:t> </w:t>
            </w:r>
          </w:p>
        </w:tc>
        <w:tc>
          <w:tcPr>
            <w:tcW w:w="205" w:type="dxa"/>
            <w:tcBorders/>
            <w:shd w:fill="FFFFFF" w:val="clear"/>
            <w:vAlign w:val="bottom"/>
          </w:tcPr>
          <w:p>
            <w:pPr>
              <w:pStyle w:val="TableContents"/>
              <w:spacing w:before="0" w:after="283"/>
              <w:rPr/>
            </w:pPr>
            <w:r>
              <w:rPr/>
              <w:t> </w:t>
            </w:r>
          </w:p>
        </w:tc>
        <w:tc>
          <w:tcPr>
            <w:tcW w:w="1650" w:type="dxa"/>
            <w:tcBorders/>
            <w:shd w:fill="FFFFFF" w:val="clear"/>
            <w:vAlign w:val="bottom"/>
          </w:tcPr>
          <w:p>
            <w:pPr>
              <w:pStyle w:val="TableContents"/>
              <w:spacing w:before="0" w:after="283"/>
              <w:jc w:val="right"/>
              <w:rPr>
                <w:rFonts w:ascii="times" w:hAnsi="times"/>
                <w:sz w:val="20"/>
              </w:rPr>
            </w:pPr>
            <w:r>
              <w:rPr>
                <w:rFonts w:ascii="times" w:hAnsi="times"/>
                <w:sz w:val="20"/>
              </w:rPr>
              <w:t>543,251</w:t>
            </w:r>
          </w:p>
        </w:tc>
        <w:tc>
          <w:tcPr>
            <w:tcW w:w="352" w:type="dxa"/>
            <w:tcBorders/>
            <w:shd w:fill="FFFFFF" w:val="clear"/>
            <w:vAlign w:val="bottom"/>
          </w:tcPr>
          <w:p>
            <w:pPr>
              <w:pStyle w:val="TableContents"/>
              <w:spacing w:before="0" w:after="283"/>
              <w:rPr/>
            </w:pPr>
            <w:r>
              <w:rPr/>
              <w:t> </w:t>
            </w:r>
          </w:p>
        </w:tc>
      </w:tr>
      <w:tr>
        <w:trPr/>
        <w:tc>
          <w:tcPr>
            <w:tcW w:w="463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February 2013</w:t>
            </w:r>
          </w:p>
        </w:tc>
        <w:tc>
          <w:tcPr>
            <w:tcW w:w="351"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947" w:type="dxa"/>
            <w:tcBorders/>
            <w:shd w:fill="CCEEFF" w:val="clear"/>
            <w:vAlign w:val="bottom"/>
          </w:tcPr>
          <w:p>
            <w:pPr>
              <w:pStyle w:val="TableContents"/>
              <w:spacing w:before="0" w:after="283"/>
              <w:jc w:val="right"/>
              <w:rPr>
                <w:rFonts w:ascii="times" w:hAnsi="times"/>
                <w:sz w:val="20"/>
              </w:rPr>
            </w:pPr>
            <w:r>
              <w:rPr>
                <w:rFonts w:ascii="times" w:hAnsi="times"/>
                <w:sz w:val="20"/>
              </w:rPr>
              <w:t>46.90</w:t>
            </w:r>
          </w:p>
        </w:tc>
        <w:tc>
          <w:tcPr>
            <w:tcW w:w="352"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947" w:type="dxa"/>
            <w:tcBorders/>
            <w:shd w:fill="CCEEFF" w:val="clear"/>
            <w:vAlign w:val="bottom"/>
          </w:tcPr>
          <w:p>
            <w:pPr>
              <w:pStyle w:val="TableContents"/>
              <w:spacing w:before="0" w:after="283"/>
              <w:jc w:val="right"/>
              <w:rPr>
                <w:rFonts w:ascii="times" w:hAnsi="times"/>
                <w:sz w:val="20"/>
              </w:rPr>
            </w:pPr>
            <w:r>
              <w:rPr>
                <w:rFonts w:ascii="times" w:hAnsi="times"/>
                <w:sz w:val="20"/>
              </w:rPr>
              <w:t>39.20</w:t>
            </w:r>
          </w:p>
        </w:tc>
        <w:tc>
          <w:tcPr>
            <w:tcW w:w="352"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1650" w:type="dxa"/>
            <w:tcBorders/>
            <w:shd w:fill="CCEEFF" w:val="clear"/>
            <w:vAlign w:val="bottom"/>
          </w:tcPr>
          <w:p>
            <w:pPr>
              <w:pStyle w:val="TableContents"/>
              <w:spacing w:before="0" w:after="283"/>
              <w:jc w:val="right"/>
              <w:rPr>
                <w:rFonts w:ascii="times" w:hAnsi="times"/>
                <w:sz w:val="20"/>
              </w:rPr>
            </w:pPr>
            <w:r>
              <w:rPr>
                <w:rFonts w:ascii="times" w:hAnsi="times"/>
                <w:sz w:val="20"/>
              </w:rPr>
              <w:t>554,355</w:t>
            </w:r>
          </w:p>
        </w:tc>
        <w:tc>
          <w:tcPr>
            <w:tcW w:w="352" w:type="dxa"/>
            <w:tcBorders/>
            <w:shd w:fill="CCEEFF" w:val="clear"/>
            <w:vAlign w:val="bottom"/>
          </w:tcPr>
          <w:p>
            <w:pPr>
              <w:pStyle w:val="TableContents"/>
              <w:spacing w:before="0" w:after="283"/>
              <w:rPr/>
            </w:pPr>
            <w:r>
              <w:rPr/>
              <w:t> </w:t>
            </w:r>
          </w:p>
        </w:tc>
      </w:tr>
      <w:tr>
        <w:trPr/>
        <w:tc>
          <w:tcPr>
            <w:tcW w:w="4639"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March 2013</w:t>
            </w:r>
          </w:p>
        </w:tc>
        <w:tc>
          <w:tcPr>
            <w:tcW w:w="351" w:type="dxa"/>
            <w:tcBorders/>
            <w:shd w:fill="FFFFFF" w:val="clear"/>
            <w:vAlign w:val="bottom"/>
          </w:tcPr>
          <w:p>
            <w:pPr>
              <w:pStyle w:val="TableContents"/>
              <w:spacing w:before="0" w:after="283"/>
              <w:rPr/>
            </w:pPr>
            <w:r>
              <w:rPr/>
              <w:t> </w:t>
            </w:r>
          </w:p>
        </w:tc>
        <w:tc>
          <w:tcPr>
            <w:tcW w:w="205" w:type="dxa"/>
            <w:tcBorders/>
            <w:shd w:fill="FFFFFF" w:val="clear"/>
            <w:vAlign w:val="bottom"/>
          </w:tcPr>
          <w:p>
            <w:pPr>
              <w:pStyle w:val="TableContents"/>
              <w:spacing w:before="0" w:after="283"/>
              <w:rPr/>
            </w:pPr>
            <w:r>
              <w:rPr/>
              <w:t> </w:t>
            </w:r>
          </w:p>
        </w:tc>
        <w:tc>
          <w:tcPr>
            <w:tcW w:w="947" w:type="dxa"/>
            <w:tcBorders/>
            <w:shd w:fill="FFFFFF" w:val="clear"/>
            <w:vAlign w:val="bottom"/>
          </w:tcPr>
          <w:p>
            <w:pPr>
              <w:pStyle w:val="TableContents"/>
              <w:spacing w:before="0" w:after="283"/>
              <w:jc w:val="right"/>
              <w:rPr>
                <w:rFonts w:ascii="times" w:hAnsi="times"/>
                <w:sz w:val="20"/>
              </w:rPr>
            </w:pPr>
            <w:r>
              <w:rPr>
                <w:rFonts w:ascii="times" w:hAnsi="times"/>
                <w:sz w:val="20"/>
              </w:rPr>
              <w:t>42.58</w:t>
            </w:r>
          </w:p>
        </w:tc>
        <w:tc>
          <w:tcPr>
            <w:tcW w:w="352" w:type="dxa"/>
            <w:tcBorders/>
            <w:shd w:fill="FFFFFF" w:val="clear"/>
            <w:vAlign w:val="bottom"/>
          </w:tcPr>
          <w:p>
            <w:pPr>
              <w:pStyle w:val="TableContents"/>
              <w:spacing w:before="0" w:after="283"/>
              <w:rPr/>
            </w:pPr>
            <w:r>
              <w:rPr/>
              <w:t> </w:t>
            </w:r>
          </w:p>
        </w:tc>
        <w:tc>
          <w:tcPr>
            <w:tcW w:w="205" w:type="dxa"/>
            <w:tcBorders/>
            <w:shd w:fill="FFFFFF" w:val="clear"/>
            <w:vAlign w:val="bottom"/>
          </w:tcPr>
          <w:p>
            <w:pPr>
              <w:pStyle w:val="TableContents"/>
              <w:spacing w:before="0" w:after="283"/>
              <w:rPr/>
            </w:pPr>
            <w:r>
              <w:rPr/>
              <w:t> </w:t>
            </w:r>
          </w:p>
        </w:tc>
        <w:tc>
          <w:tcPr>
            <w:tcW w:w="947" w:type="dxa"/>
            <w:tcBorders/>
            <w:shd w:fill="FFFFFF" w:val="clear"/>
            <w:vAlign w:val="bottom"/>
          </w:tcPr>
          <w:p>
            <w:pPr>
              <w:pStyle w:val="TableContents"/>
              <w:spacing w:before="0" w:after="283"/>
              <w:jc w:val="right"/>
              <w:rPr>
                <w:rFonts w:ascii="times" w:hAnsi="times"/>
                <w:sz w:val="20"/>
              </w:rPr>
            </w:pPr>
            <w:r>
              <w:rPr>
                <w:rFonts w:ascii="times" w:hAnsi="times"/>
                <w:sz w:val="20"/>
              </w:rPr>
              <w:t>38.55</w:t>
            </w:r>
          </w:p>
        </w:tc>
        <w:tc>
          <w:tcPr>
            <w:tcW w:w="352" w:type="dxa"/>
            <w:tcBorders/>
            <w:shd w:fill="FFFFFF" w:val="clear"/>
            <w:vAlign w:val="bottom"/>
          </w:tcPr>
          <w:p>
            <w:pPr>
              <w:pStyle w:val="TableContents"/>
              <w:spacing w:before="0" w:after="283"/>
              <w:rPr/>
            </w:pPr>
            <w:r>
              <w:rPr/>
              <w:t> </w:t>
            </w:r>
          </w:p>
        </w:tc>
        <w:tc>
          <w:tcPr>
            <w:tcW w:w="205" w:type="dxa"/>
            <w:tcBorders/>
            <w:shd w:fill="FFFFFF" w:val="clear"/>
            <w:vAlign w:val="bottom"/>
          </w:tcPr>
          <w:p>
            <w:pPr>
              <w:pStyle w:val="TableContents"/>
              <w:spacing w:before="0" w:after="283"/>
              <w:rPr/>
            </w:pPr>
            <w:r>
              <w:rPr/>
              <w:t> </w:t>
            </w:r>
          </w:p>
        </w:tc>
        <w:tc>
          <w:tcPr>
            <w:tcW w:w="1650" w:type="dxa"/>
            <w:tcBorders/>
            <w:shd w:fill="FFFFFF" w:val="clear"/>
            <w:vAlign w:val="bottom"/>
          </w:tcPr>
          <w:p>
            <w:pPr>
              <w:pStyle w:val="TableContents"/>
              <w:spacing w:before="0" w:after="283"/>
              <w:jc w:val="right"/>
              <w:rPr>
                <w:rFonts w:ascii="times" w:hAnsi="times"/>
                <w:sz w:val="20"/>
              </w:rPr>
            </w:pPr>
            <w:r>
              <w:rPr>
                <w:rFonts w:ascii="times" w:hAnsi="times"/>
                <w:sz w:val="20"/>
              </w:rPr>
              <w:t>615,670</w:t>
            </w:r>
          </w:p>
        </w:tc>
        <w:tc>
          <w:tcPr>
            <w:tcW w:w="352" w:type="dxa"/>
            <w:tcBorders/>
            <w:shd w:fill="FFFFFF" w:val="clear"/>
            <w:vAlign w:val="bottom"/>
          </w:tcPr>
          <w:p>
            <w:pPr>
              <w:pStyle w:val="TableContents"/>
              <w:spacing w:before="0" w:after="283"/>
              <w:rPr/>
            </w:pPr>
            <w:r>
              <w:rPr/>
              <w:t> </w:t>
            </w:r>
          </w:p>
        </w:tc>
      </w:tr>
      <w:tr>
        <w:trPr/>
        <w:tc>
          <w:tcPr>
            <w:tcW w:w="463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April 2013</w:t>
            </w:r>
          </w:p>
        </w:tc>
        <w:tc>
          <w:tcPr>
            <w:tcW w:w="351"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947" w:type="dxa"/>
            <w:tcBorders/>
            <w:shd w:fill="CCEEFF" w:val="clear"/>
            <w:vAlign w:val="bottom"/>
          </w:tcPr>
          <w:p>
            <w:pPr>
              <w:pStyle w:val="TableContents"/>
              <w:spacing w:before="0" w:after="283"/>
              <w:jc w:val="right"/>
              <w:rPr>
                <w:rFonts w:ascii="times" w:hAnsi="times"/>
                <w:sz w:val="20"/>
              </w:rPr>
            </w:pPr>
            <w:r>
              <w:rPr>
                <w:rFonts w:ascii="times" w:hAnsi="times"/>
                <w:sz w:val="20"/>
              </w:rPr>
              <w:t>41.78</w:t>
            </w:r>
          </w:p>
        </w:tc>
        <w:tc>
          <w:tcPr>
            <w:tcW w:w="352"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947" w:type="dxa"/>
            <w:tcBorders/>
            <w:shd w:fill="CCEEFF" w:val="clear"/>
            <w:vAlign w:val="bottom"/>
          </w:tcPr>
          <w:p>
            <w:pPr>
              <w:pStyle w:val="TableContents"/>
              <w:spacing w:before="0" w:after="283"/>
              <w:jc w:val="right"/>
              <w:rPr>
                <w:rFonts w:ascii="times" w:hAnsi="times"/>
                <w:sz w:val="20"/>
              </w:rPr>
            </w:pPr>
            <w:r>
              <w:rPr>
                <w:rFonts w:ascii="times" w:hAnsi="times"/>
                <w:sz w:val="20"/>
              </w:rPr>
              <w:t>30.69</w:t>
            </w:r>
          </w:p>
        </w:tc>
        <w:tc>
          <w:tcPr>
            <w:tcW w:w="352"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1650" w:type="dxa"/>
            <w:tcBorders/>
            <w:shd w:fill="CCEEFF" w:val="clear"/>
            <w:vAlign w:val="bottom"/>
          </w:tcPr>
          <w:p>
            <w:pPr>
              <w:pStyle w:val="TableContents"/>
              <w:spacing w:before="0" w:after="283"/>
              <w:jc w:val="right"/>
              <w:rPr>
                <w:rFonts w:ascii="times" w:hAnsi="times"/>
                <w:sz w:val="20"/>
              </w:rPr>
            </w:pPr>
            <w:r>
              <w:rPr>
                <w:rFonts w:ascii="times" w:hAnsi="times"/>
                <w:sz w:val="20"/>
              </w:rPr>
              <w:t>966,601</w:t>
            </w:r>
          </w:p>
        </w:tc>
        <w:tc>
          <w:tcPr>
            <w:tcW w:w="352" w:type="dxa"/>
            <w:tcBorders/>
            <w:shd w:fill="CCEEFF" w:val="clear"/>
            <w:vAlign w:val="bottom"/>
          </w:tcPr>
          <w:p>
            <w:pPr>
              <w:pStyle w:val="TableContents"/>
              <w:spacing w:before="0" w:after="283"/>
              <w:rPr/>
            </w:pPr>
            <w:r>
              <w:rPr/>
              <w:t> </w:t>
            </w:r>
          </w:p>
        </w:tc>
      </w:tr>
      <w:tr>
        <w:trPr/>
        <w:tc>
          <w:tcPr>
            <w:tcW w:w="4639"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May 2013</w:t>
            </w:r>
          </w:p>
        </w:tc>
        <w:tc>
          <w:tcPr>
            <w:tcW w:w="351" w:type="dxa"/>
            <w:tcBorders/>
            <w:shd w:fill="FFFFFF" w:val="clear"/>
            <w:vAlign w:val="bottom"/>
          </w:tcPr>
          <w:p>
            <w:pPr>
              <w:pStyle w:val="TableContents"/>
              <w:spacing w:before="0" w:after="283"/>
              <w:rPr/>
            </w:pPr>
            <w:r>
              <w:rPr/>
              <w:t> </w:t>
            </w:r>
          </w:p>
        </w:tc>
        <w:tc>
          <w:tcPr>
            <w:tcW w:w="205" w:type="dxa"/>
            <w:tcBorders/>
            <w:shd w:fill="FFFFFF" w:val="clear"/>
            <w:vAlign w:val="bottom"/>
          </w:tcPr>
          <w:p>
            <w:pPr>
              <w:pStyle w:val="TableContents"/>
              <w:spacing w:before="0" w:after="283"/>
              <w:rPr/>
            </w:pPr>
            <w:r>
              <w:rPr/>
              <w:t> </w:t>
            </w:r>
          </w:p>
        </w:tc>
        <w:tc>
          <w:tcPr>
            <w:tcW w:w="947" w:type="dxa"/>
            <w:tcBorders/>
            <w:shd w:fill="FFFFFF" w:val="clear"/>
            <w:vAlign w:val="bottom"/>
          </w:tcPr>
          <w:p>
            <w:pPr>
              <w:pStyle w:val="TableContents"/>
              <w:spacing w:before="0" w:after="283"/>
              <w:jc w:val="right"/>
              <w:rPr>
                <w:rFonts w:ascii="times" w:hAnsi="times"/>
                <w:sz w:val="20"/>
              </w:rPr>
            </w:pPr>
            <w:r>
              <w:rPr>
                <w:rFonts w:ascii="times" w:hAnsi="times"/>
                <w:sz w:val="20"/>
              </w:rPr>
              <w:t>33.70</w:t>
            </w:r>
          </w:p>
        </w:tc>
        <w:tc>
          <w:tcPr>
            <w:tcW w:w="352" w:type="dxa"/>
            <w:tcBorders/>
            <w:shd w:fill="FFFFFF" w:val="clear"/>
            <w:vAlign w:val="bottom"/>
          </w:tcPr>
          <w:p>
            <w:pPr>
              <w:pStyle w:val="TableContents"/>
              <w:spacing w:before="0" w:after="283"/>
              <w:rPr/>
            </w:pPr>
            <w:r>
              <w:rPr/>
              <w:t> </w:t>
            </w:r>
          </w:p>
        </w:tc>
        <w:tc>
          <w:tcPr>
            <w:tcW w:w="205" w:type="dxa"/>
            <w:tcBorders/>
            <w:shd w:fill="FFFFFF" w:val="clear"/>
            <w:vAlign w:val="bottom"/>
          </w:tcPr>
          <w:p>
            <w:pPr>
              <w:pStyle w:val="TableContents"/>
              <w:spacing w:before="0" w:after="283"/>
              <w:rPr/>
            </w:pPr>
            <w:r>
              <w:rPr/>
              <w:t> </w:t>
            </w:r>
          </w:p>
        </w:tc>
        <w:tc>
          <w:tcPr>
            <w:tcW w:w="947" w:type="dxa"/>
            <w:tcBorders/>
            <w:shd w:fill="FFFFFF" w:val="clear"/>
            <w:vAlign w:val="bottom"/>
          </w:tcPr>
          <w:p>
            <w:pPr>
              <w:pStyle w:val="TableContents"/>
              <w:spacing w:before="0" w:after="283"/>
              <w:jc w:val="right"/>
              <w:rPr>
                <w:rFonts w:ascii="times" w:hAnsi="times"/>
                <w:sz w:val="20"/>
              </w:rPr>
            </w:pPr>
            <w:r>
              <w:rPr>
                <w:rFonts w:ascii="times" w:hAnsi="times"/>
                <w:sz w:val="20"/>
              </w:rPr>
              <w:t>28.50</w:t>
            </w:r>
          </w:p>
        </w:tc>
        <w:tc>
          <w:tcPr>
            <w:tcW w:w="352" w:type="dxa"/>
            <w:tcBorders/>
            <w:shd w:fill="FFFFFF" w:val="clear"/>
            <w:vAlign w:val="bottom"/>
          </w:tcPr>
          <w:p>
            <w:pPr>
              <w:pStyle w:val="TableContents"/>
              <w:spacing w:before="0" w:after="283"/>
              <w:rPr/>
            </w:pPr>
            <w:r>
              <w:rPr/>
              <w:t> </w:t>
            </w:r>
          </w:p>
        </w:tc>
        <w:tc>
          <w:tcPr>
            <w:tcW w:w="205" w:type="dxa"/>
            <w:tcBorders/>
            <w:shd w:fill="FFFFFF" w:val="clear"/>
            <w:vAlign w:val="bottom"/>
          </w:tcPr>
          <w:p>
            <w:pPr>
              <w:pStyle w:val="TableContents"/>
              <w:spacing w:before="0" w:after="283"/>
              <w:rPr/>
            </w:pPr>
            <w:r>
              <w:rPr/>
              <w:t> </w:t>
            </w:r>
          </w:p>
        </w:tc>
        <w:tc>
          <w:tcPr>
            <w:tcW w:w="1650" w:type="dxa"/>
            <w:tcBorders/>
            <w:shd w:fill="FFFFFF" w:val="clear"/>
            <w:vAlign w:val="bottom"/>
          </w:tcPr>
          <w:p>
            <w:pPr>
              <w:pStyle w:val="TableContents"/>
              <w:spacing w:before="0" w:after="283"/>
              <w:jc w:val="right"/>
              <w:rPr>
                <w:rFonts w:ascii="times" w:hAnsi="times"/>
                <w:sz w:val="20"/>
              </w:rPr>
            </w:pPr>
            <w:r>
              <w:rPr>
                <w:rFonts w:ascii="times" w:hAnsi="times"/>
                <w:sz w:val="20"/>
              </w:rPr>
              <w:t>733,877</w:t>
            </w:r>
          </w:p>
        </w:tc>
        <w:tc>
          <w:tcPr>
            <w:tcW w:w="352" w:type="dxa"/>
            <w:tcBorders/>
            <w:shd w:fill="FFFFFF" w:val="clear"/>
            <w:vAlign w:val="bottom"/>
          </w:tcPr>
          <w:p>
            <w:pPr>
              <w:pStyle w:val="TableContents"/>
              <w:spacing w:before="0" w:after="283"/>
              <w:rPr/>
            </w:pPr>
            <w:r>
              <w:rPr/>
              <w:t> </w:t>
            </w:r>
          </w:p>
        </w:tc>
      </w:tr>
      <w:tr>
        <w:trPr/>
        <w:tc>
          <w:tcPr>
            <w:tcW w:w="463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June 2013 (to June 27, 2013)</w:t>
            </w:r>
          </w:p>
        </w:tc>
        <w:tc>
          <w:tcPr>
            <w:tcW w:w="351"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947" w:type="dxa"/>
            <w:tcBorders/>
            <w:shd w:fill="CCEEFF" w:val="clear"/>
            <w:vAlign w:val="bottom"/>
          </w:tcPr>
          <w:p>
            <w:pPr>
              <w:pStyle w:val="TableContents"/>
              <w:spacing w:before="0" w:after="283"/>
              <w:jc w:val="right"/>
              <w:rPr>
                <w:rFonts w:ascii="times" w:hAnsi="times"/>
                <w:sz w:val="20"/>
              </w:rPr>
            </w:pPr>
            <w:r>
              <w:rPr>
                <w:rFonts w:ascii="times" w:hAnsi="times"/>
                <w:sz w:val="20"/>
              </w:rPr>
              <w:t>34.41</w:t>
            </w:r>
          </w:p>
        </w:tc>
        <w:tc>
          <w:tcPr>
            <w:tcW w:w="352"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947" w:type="dxa"/>
            <w:tcBorders/>
            <w:shd w:fill="CCEEFF" w:val="clear"/>
            <w:vAlign w:val="bottom"/>
          </w:tcPr>
          <w:p>
            <w:pPr>
              <w:pStyle w:val="TableContents"/>
              <w:spacing w:before="0" w:after="283"/>
              <w:jc w:val="right"/>
              <w:rPr>
                <w:rFonts w:ascii="times" w:hAnsi="times"/>
                <w:sz w:val="20"/>
              </w:rPr>
            </w:pPr>
            <w:r>
              <w:rPr>
                <w:rFonts w:ascii="times" w:hAnsi="times"/>
                <w:sz w:val="20"/>
              </w:rPr>
              <w:t>26.18</w:t>
            </w:r>
          </w:p>
        </w:tc>
        <w:tc>
          <w:tcPr>
            <w:tcW w:w="352"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1650" w:type="dxa"/>
            <w:tcBorders/>
            <w:shd w:fill="CCEEFF" w:val="clear"/>
            <w:vAlign w:val="bottom"/>
          </w:tcPr>
          <w:p>
            <w:pPr>
              <w:pStyle w:val="TableContents"/>
              <w:spacing w:before="0" w:after="283"/>
              <w:jc w:val="right"/>
              <w:rPr>
                <w:rFonts w:ascii="times" w:hAnsi="times"/>
                <w:sz w:val="20"/>
              </w:rPr>
            </w:pPr>
            <w:r>
              <w:rPr>
                <w:rFonts w:ascii="times" w:hAnsi="times"/>
                <w:sz w:val="20"/>
              </w:rPr>
              <w:t>806,627</w:t>
            </w:r>
          </w:p>
        </w:tc>
        <w:tc>
          <w:tcPr>
            <w:tcW w:w="352" w:type="dxa"/>
            <w:tcBorders/>
            <w:shd w:fill="CCEEFF" w:val="clear"/>
            <w:vAlign w:val="bottom"/>
          </w:tcPr>
          <w:p>
            <w:pPr>
              <w:pStyle w:val="TableContents"/>
              <w:spacing w:before="0" w:after="283"/>
              <w:rPr/>
            </w:pPr>
            <w:r>
              <w:rPr/>
              <w:t> </w:t>
            </w:r>
          </w:p>
        </w:tc>
      </w:tr>
    </w:tbl>
    <w:p>
      <w:pPr>
        <w:pStyle w:val="HorizontalLine"/>
        <w:pBdr>
          <w:bottom w:val="single" w:sz="6" w:space="0" w:color="000000"/>
        </w:pBdr>
        <w:ind w:left="0" w:right="8981" w:hanging="0"/>
        <w:rPr/>
      </w:pPr>
      <w:r>
        <w:rPr/>
      </w:r>
    </w:p>
    <w:p>
      <w:pPr>
        <w:pStyle w:val="TextBody"/>
        <w:jc w:val="both"/>
        <w:rPr>
          <w:rFonts w:ascii="times" w:hAnsi="times"/>
          <w:sz w:val="14"/>
        </w:rPr>
      </w:pPr>
      <w:r>
        <w:rPr>
          <w:rFonts w:ascii="times" w:hAnsi="times"/>
          <w:sz w:val="14"/>
        </w:rPr>
        <w:t xml:space="preserve">Source: TSX Datalinx </w:t>
      </w:r>
    </w:p>
    <w:p>
      <w:pPr>
        <w:pStyle w:val="TextBody"/>
        <w:jc w:val="center"/>
        <w:rPr>
          <w:rFonts w:ascii="times" w:hAnsi="times"/>
          <w:sz w:val="20"/>
        </w:rPr>
      </w:pPr>
      <w:r>
        <w:rPr>
          <w:rFonts w:ascii="times" w:hAnsi="times"/>
          <w:sz w:val="20"/>
        </w:rPr>
        <w:t>15</w:t>
      </w:r>
    </w:p>
    <w:p>
      <w:pPr>
        <w:pStyle w:val="HorizontalLine"/>
        <w:pBdr>
          <w:bottom w:val="single" w:sz="20" w:space="0" w:color="808080"/>
        </w:pBdr>
        <w:rPr/>
      </w:pPr>
      <w:r>
        <w:rPr/>
      </w:r>
      <w:r>
        <w:br w:type="page"/>
      </w:r>
    </w:p>
    <w:p>
      <w:pPr>
        <w:pStyle w:val="TextBody"/>
        <w:jc w:val="both"/>
        <w:rPr/>
      </w:pPr>
      <w:bookmarkStart w:id="49" w:name="page_di48002_1_16"/>
      <w:bookmarkEnd w:id="49"/>
      <w:r>
        <w:rPr/>
        <w:t>        </w:t>
      </w:r>
      <w:r>
        <w:rPr>
          <w:rFonts w:ascii="times" w:hAnsi="times"/>
          <w:sz w:val="20"/>
        </w:rPr>
        <w:t xml:space="preserve">The following table sets forth the high and low sale prices and the average daily trading volume for the Company's common shares on the NYSE since June 1, 2012. </w:t>
      </w:r>
    </w:p>
    <w:tbl>
      <w:tblPr>
        <w:tblW w:w="5000" w:type="pct"/>
        <w:jc w:val="center"/>
        <w:tblInd w:w="0" w:type="dxa"/>
        <w:tblCellMar>
          <w:top w:w="0" w:type="dxa"/>
          <w:left w:w="0" w:type="dxa"/>
          <w:bottom w:w="0" w:type="dxa"/>
          <w:right w:w="0" w:type="dxa"/>
        </w:tblCellMar>
      </w:tblPr>
      <w:tblGrid>
        <w:gridCol w:w="4639"/>
        <w:gridCol w:w="351"/>
        <w:gridCol w:w="205"/>
        <w:gridCol w:w="947"/>
        <w:gridCol w:w="352"/>
        <w:gridCol w:w="205"/>
        <w:gridCol w:w="947"/>
        <w:gridCol w:w="352"/>
        <w:gridCol w:w="205"/>
        <w:gridCol w:w="1650"/>
        <w:gridCol w:w="352"/>
      </w:tblGrid>
      <w:tr>
        <w:trPr/>
        <w:tc>
          <w:tcPr>
            <w:tcW w:w="4639" w:type="dxa"/>
            <w:tcBorders/>
            <w:shd w:fill="auto" w:val="clear"/>
            <w:vAlign w:val="center"/>
          </w:tcPr>
          <w:p>
            <w:pPr>
              <w:pStyle w:val="TableContents"/>
              <w:spacing w:before="0" w:after="283"/>
              <w:rPr>
                <w:sz w:val="4"/>
                <w:szCs w:val="4"/>
              </w:rPr>
            </w:pPr>
            <w:r>
              <w:rPr>
                <w:sz w:val="4"/>
                <w:szCs w:val="4"/>
              </w:rPr>
            </w:r>
          </w:p>
        </w:tc>
        <w:tc>
          <w:tcPr>
            <w:tcW w:w="351" w:type="dxa"/>
            <w:tcBorders/>
            <w:shd w:fill="auto" w:val="clear"/>
            <w:vAlign w:val="center"/>
          </w:tcPr>
          <w:p>
            <w:pPr>
              <w:pStyle w:val="TableContents"/>
              <w:spacing w:before="0" w:after="283"/>
              <w:rPr>
                <w:sz w:val="4"/>
                <w:szCs w:val="4"/>
              </w:rPr>
            </w:pPr>
            <w:r>
              <w:rPr>
                <w:sz w:val="4"/>
                <w:szCs w:val="4"/>
              </w:rPr>
            </w:r>
          </w:p>
        </w:tc>
        <w:tc>
          <w:tcPr>
            <w:tcW w:w="205" w:type="dxa"/>
            <w:tcBorders/>
            <w:shd w:fill="auto" w:val="clear"/>
            <w:vAlign w:val="center"/>
          </w:tcPr>
          <w:p>
            <w:pPr>
              <w:pStyle w:val="TableContents"/>
              <w:spacing w:before="0" w:after="283"/>
              <w:rPr>
                <w:sz w:val="4"/>
                <w:szCs w:val="4"/>
              </w:rPr>
            </w:pPr>
            <w:r>
              <w:rPr>
                <w:sz w:val="4"/>
                <w:szCs w:val="4"/>
              </w:rPr>
            </w:r>
          </w:p>
        </w:tc>
        <w:tc>
          <w:tcPr>
            <w:tcW w:w="947" w:type="dxa"/>
            <w:tcBorders/>
            <w:shd w:fill="auto" w:val="clear"/>
            <w:vAlign w:val="center"/>
          </w:tcPr>
          <w:p>
            <w:pPr>
              <w:pStyle w:val="TableContents"/>
              <w:spacing w:before="0" w:after="283"/>
              <w:rPr>
                <w:sz w:val="4"/>
                <w:szCs w:val="4"/>
              </w:rPr>
            </w:pPr>
            <w:r>
              <w:rPr>
                <w:sz w:val="4"/>
                <w:szCs w:val="4"/>
              </w:rPr>
            </w:r>
          </w:p>
        </w:tc>
        <w:tc>
          <w:tcPr>
            <w:tcW w:w="352" w:type="dxa"/>
            <w:tcBorders/>
            <w:shd w:fill="auto" w:val="clear"/>
            <w:vAlign w:val="center"/>
          </w:tcPr>
          <w:p>
            <w:pPr>
              <w:pStyle w:val="TableContents"/>
              <w:spacing w:before="0" w:after="283"/>
              <w:rPr>
                <w:sz w:val="4"/>
                <w:szCs w:val="4"/>
              </w:rPr>
            </w:pPr>
            <w:r>
              <w:rPr>
                <w:sz w:val="4"/>
                <w:szCs w:val="4"/>
              </w:rPr>
            </w:r>
          </w:p>
        </w:tc>
        <w:tc>
          <w:tcPr>
            <w:tcW w:w="205" w:type="dxa"/>
            <w:tcBorders/>
            <w:shd w:fill="auto" w:val="clear"/>
            <w:vAlign w:val="center"/>
          </w:tcPr>
          <w:p>
            <w:pPr>
              <w:pStyle w:val="TableContents"/>
              <w:spacing w:before="0" w:after="283"/>
              <w:rPr>
                <w:sz w:val="4"/>
                <w:szCs w:val="4"/>
              </w:rPr>
            </w:pPr>
            <w:r>
              <w:rPr>
                <w:sz w:val="4"/>
                <w:szCs w:val="4"/>
              </w:rPr>
            </w:r>
          </w:p>
        </w:tc>
        <w:tc>
          <w:tcPr>
            <w:tcW w:w="947" w:type="dxa"/>
            <w:tcBorders/>
            <w:shd w:fill="auto" w:val="clear"/>
            <w:vAlign w:val="center"/>
          </w:tcPr>
          <w:p>
            <w:pPr>
              <w:pStyle w:val="TableContents"/>
              <w:spacing w:before="0" w:after="283"/>
              <w:rPr>
                <w:sz w:val="4"/>
                <w:szCs w:val="4"/>
              </w:rPr>
            </w:pPr>
            <w:r>
              <w:rPr>
                <w:sz w:val="4"/>
                <w:szCs w:val="4"/>
              </w:rPr>
            </w:r>
          </w:p>
        </w:tc>
        <w:tc>
          <w:tcPr>
            <w:tcW w:w="352" w:type="dxa"/>
            <w:tcBorders/>
            <w:shd w:fill="auto" w:val="clear"/>
            <w:vAlign w:val="center"/>
          </w:tcPr>
          <w:p>
            <w:pPr>
              <w:pStyle w:val="TableContents"/>
              <w:spacing w:before="0" w:after="283"/>
              <w:rPr>
                <w:sz w:val="4"/>
                <w:szCs w:val="4"/>
              </w:rPr>
            </w:pPr>
            <w:r>
              <w:rPr>
                <w:sz w:val="4"/>
                <w:szCs w:val="4"/>
              </w:rPr>
            </w:r>
          </w:p>
        </w:tc>
        <w:tc>
          <w:tcPr>
            <w:tcW w:w="205" w:type="dxa"/>
            <w:tcBorders/>
            <w:shd w:fill="auto" w:val="clear"/>
            <w:vAlign w:val="center"/>
          </w:tcPr>
          <w:p>
            <w:pPr>
              <w:pStyle w:val="TableContents"/>
              <w:spacing w:before="0" w:after="283"/>
              <w:rPr>
                <w:sz w:val="4"/>
                <w:szCs w:val="4"/>
              </w:rPr>
            </w:pPr>
            <w:r>
              <w:rPr>
                <w:sz w:val="4"/>
                <w:szCs w:val="4"/>
              </w:rPr>
            </w:r>
          </w:p>
        </w:tc>
        <w:tc>
          <w:tcPr>
            <w:tcW w:w="1650" w:type="dxa"/>
            <w:tcBorders/>
            <w:shd w:fill="auto" w:val="clear"/>
            <w:vAlign w:val="center"/>
          </w:tcPr>
          <w:p>
            <w:pPr>
              <w:pStyle w:val="TableContents"/>
              <w:spacing w:before="0" w:after="283"/>
              <w:rPr>
                <w:sz w:val="4"/>
                <w:szCs w:val="4"/>
              </w:rPr>
            </w:pPr>
            <w:r>
              <w:rPr>
                <w:sz w:val="4"/>
                <w:szCs w:val="4"/>
              </w:rPr>
            </w:r>
          </w:p>
        </w:tc>
        <w:tc>
          <w:tcPr>
            <w:tcW w:w="352" w:type="dxa"/>
            <w:tcBorders/>
            <w:shd w:fill="auto" w:val="clear"/>
            <w:vAlign w:val="center"/>
          </w:tcPr>
          <w:p>
            <w:pPr>
              <w:pStyle w:val="TableContents"/>
              <w:spacing w:before="0" w:after="283"/>
              <w:rPr>
                <w:sz w:val="4"/>
                <w:szCs w:val="4"/>
              </w:rPr>
            </w:pPr>
            <w:r>
              <w:rPr>
                <w:sz w:val="4"/>
                <w:szCs w:val="4"/>
              </w:rPr>
            </w:r>
          </w:p>
        </w:tc>
      </w:tr>
      <w:tr>
        <w:trPr/>
        <w:tc>
          <w:tcPr>
            <w:tcW w:w="4639" w:type="dxa"/>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Month </w:t>
            </w:r>
          </w:p>
        </w:tc>
        <w:tc>
          <w:tcPr>
            <w:tcW w:w="351" w:type="dxa"/>
            <w:tcBorders/>
            <w:shd w:fill="auto" w:val="clear"/>
            <w:vAlign w:val="bottom"/>
          </w:tcPr>
          <w:p>
            <w:pPr>
              <w:pStyle w:val="TableHeading"/>
              <w:suppressLineNumbers/>
              <w:spacing w:before="0" w:after="283"/>
              <w:jc w:val="center"/>
              <w:rPr/>
            </w:pPr>
            <w:r>
              <w:rPr/>
              <w:t> </w:t>
            </w:r>
          </w:p>
        </w:tc>
        <w:tc>
          <w:tcPr>
            <w:tcW w:w="1152"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High</w:t>
              <w:br/>
              <w:t xml:space="preserve">($) </w:t>
            </w:r>
          </w:p>
        </w:tc>
        <w:tc>
          <w:tcPr>
            <w:tcW w:w="352" w:type="dxa"/>
            <w:tcBorders/>
            <w:shd w:fill="auto" w:val="clear"/>
            <w:vAlign w:val="bottom"/>
          </w:tcPr>
          <w:p>
            <w:pPr>
              <w:pStyle w:val="TableHeading"/>
              <w:suppressLineNumbers/>
              <w:spacing w:before="0" w:after="283"/>
              <w:jc w:val="center"/>
              <w:rPr/>
            </w:pPr>
            <w:r>
              <w:rPr/>
              <w:t> </w:t>
            </w:r>
          </w:p>
        </w:tc>
        <w:tc>
          <w:tcPr>
            <w:tcW w:w="1152"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Low</w:t>
              <w:br/>
              <w:t xml:space="preserve">($) </w:t>
            </w:r>
          </w:p>
        </w:tc>
        <w:tc>
          <w:tcPr>
            <w:tcW w:w="352" w:type="dxa"/>
            <w:tcBorders/>
            <w:shd w:fill="auto" w:val="clear"/>
            <w:vAlign w:val="bottom"/>
          </w:tcPr>
          <w:p>
            <w:pPr>
              <w:pStyle w:val="TableHeading"/>
              <w:suppressLineNumbers/>
              <w:spacing w:before="0" w:after="283"/>
              <w:jc w:val="center"/>
              <w:rPr/>
            </w:pPr>
            <w:r>
              <w:rPr/>
              <w:t> </w:t>
            </w:r>
          </w:p>
        </w:tc>
        <w:tc>
          <w:tcPr>
            <w:tcW w:w="185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Average</w:t>
              <w:br/>
              <w:t>Daily</w:t>
              <w:br/>
              <w:t xml:space="preserve">Volume </w:t>
            </w:r>
          </w:p>
        </w:tc>
        <w:tc>
          <w:tcPr>
            <w:tcW w:w="352" w:type="dxa"/>
            <w:tcBorders/>
            <w:shd w:fill="auto" w:val="clear"/>
            <w:vAlign w:val="bottom"/>
          </w:tcPr>
          <w:p>
            <w:pPr>
              <w:pStyle w:val="TableHeading"/>
              <w:suppressLineNumbers/>
              <w:spacing w:before="0" w:after="283"/>
              <w:jc w:val="center"/>
              <w:rPr/>
            </w:pPr>
            <w:r>
              <w:rPr/>
              <w:t> </w:t>
            </w:r>
          </w:p>
        </w:tc>
      </w:tr>
      <w:tr>
        <w:trPr/>
        <w:tc>
          <w:tcPr>
            <w:tcW w:w="463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June 2012</w:t>
            </w:r>
          </w:p>
        </w:tc>
        <w:tc>
          <w:tcPr>
            <w:tcW w:w="351"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947" w:type="dxa"/>
            <w:tcBorders/>
            <w:shd w:fill="CCEEFF" w:val="clear"/>
            <w:vAlign w:val="bottom"/>
          </w:tcPr>
          <w:p>
            <w:pPr>
              <w:pStyle w:val="TableContents"/>
              <w:spacing w:before="0" w:after="283"/>
              <w:jc w:val="right"/>
              <w:rPr>
                <w:rFonts w:ascii="times" w:hAnsi="times"/>
                <w:sz w:val="20"/>
              </w:rPr>
            </w:pPr>
            <w:r>
              <w:rPr>
                <w:rFonts w:ascii="times" w:hAnsi="times"/>
                <w:sz w:val="20"/>
              </w:rPr>
              <w:t>43.22</w:t>
            </w:r>
          </w:p>
        </w:tc>
        <w:tc>
          <w:tcPr>
            <w:tcW w:w="352"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947" w:type="dxa"/>
            <w:tcBorders/>
            <w:shd w:fill="CCEEFF" w:val="clear"/>
            <w:vAlign w:val="bottom"/>
          </w:tcPr>
          <w:p>
            <w:pPr>
              <w:pStyle w:val="TableContents"/>
              <w:spacing w:before="0" w:after="283"/>
              <w:jc w:val="right"/>
              <w:rPr>
                <w:rFonts w:ascii="times" w:hAnsi="times"/>
                <w:sz w:val="20"/>
              </w:rPr>
            </w:pPr>
            <w:r>
              <w:rPr>
                <w:rFonts w:ascii="times" w:hAnsi="times"/>
                <w:sz w:val="20"/>
              </w:rPr>
              <w:t>38.10</w:t>
            </w:r>
          </w:p>
        </w:tc>
        <w:tc>
          <w:tcPr>
            <w:tcW w:w="352"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1650" w:type="dxa"/>
            <w:tcBorders/>
            <w:shd w:fill="CCEEFF" w:val="clear"/>
            <w:vAlign w:val="bottom"/>
          </w:tcPr>
          <w:p>
            <w:pPr>
              <w:pStyle w:val="TableContents"/>
              <w:spacing w:before="0" w:after="283"/>
              <w:jc w:val="right"/>
              <w:rPr>
                <w:rFonts w:ascii="times" w:hAnsi="times"/>
                <w:sz w:val="20"/>
              </w:rPr>
            </w:pPr>
            <w:r>
              <w:rPr>
                <w:rFonts w:ascii="times" w:hAnsi="times"/>
                <w:sz w:val="20"/>
              </w:rPr>
              <w:t>2,418,142</w:t>
            </w:r>
          </w:p>
        </w:tc>
        <w:tc>
          <w:tcPr>
            <w:tcW w:w="352" w:type="dxa"/>
            <w:tcBorders/>
            <w:shd w:fill="CCEEFF" w:val="clear"/>
            <w:vAlign w:val="bottom"/>
          </w:tcPr>
          <w:p>
            <w:pPr>
              <w:pStyle w:val="TableContents"/>
              <w:spacing w:before="0" w:after="283"/>
              <w:rPr/>
            </w:pPr>
            <w:r>
              <w:rPr/>
              <w:t> </w:t>
            </w:r>
          </w:p>
        </w:tc>
      </w:tr>
      <w:tr>
        <w:trPr/>
        <w:tc>
          <w:tcPr>
            <w:tcW w:w="4639"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July 2012</w:t>
            </w:r>
          </w:p>
        </w:tc>
        <w:tc>
          <w:tcPr>
            <w:tcW w:w="351" w:type="dxa"/>
            <w:tcBorders/>
            <w:shd w:fill="FFFFFF" w:val="clear"/>
            <w:vAlign w:val="bottom"/>
          </w:tcPr>
          <w:p>
            <w:pPr>
              <w:pStyle w:val="TableContents"/>
              <w:spacing w:before="0" w:after="283"/>
              <w:rPr/>
            </w:pPr>
            <w:r>
              <w:rPr/>
              <w:t> </w:t>
            </w:r>
          </w:p>
        </w:tc>
        <w:tc>
          <w:tcPr>
            <w:tcW w:w="205" w:type="dxa"/>
            <w:tcBorders/>
            <w:shd w:fill="FFFFFF" w:val="clear"/>
            <w:vAlign w:val="bottom"/>
          </w:tcPr>
          <w:p>
            <w:pPr>
              <w:pStyle w:val="TableContents"/>
              <w:spacing w:before="0" w:after="283"/>
              <w:rPr/>
            </w:pPr>
            <w:r>
              <w:rPr/>
              <w:t> </w:t>
            </w:r>
          </w:p>
        </w:tc>
        <w:tc>
          <w:tcPr>
            <w:tcW w:w="947" w:type="dxa"/>
            <w:tcBorders/>
            <w:shd w:fill="FFFFFF" w:val="clear"/>
            <w:vAlign w:val="bottom"/>
          </w:tcPr>
          <w:p>
            <w:pPr>
              <w:pStyle w:val="TableContents"/>
              <w:spacing w:before="0" w:after="283"/>
              <w:jc w:val="right"/>
              <w:rPr>
                <w:rFonts w:ascii="times" w:hAnsi="times"/>
                <w:sz w:val="20"/>
              </w:rPr>
            </w:pPr>
            <w:r>
              <w:rPr>
                <w:rFonts w:ascii="times" w:hAnsi="times"/>
                <w:sz w:val="20"/>
              </w:rPr>
              <w:t>44.70</w:t>
            </w:r>
          </w:p>
        </w:tc>
        <w:tc>
          <w:tcPr>
            <w:tcW w:w="352" w:type="dxa"/>
            <w:tcBorders/>
            <w:shd w:fill="FFFFFF" w:val="clear"/>
            <w:vAlign w:val="bottom"/>
          </w:tcPr>
          <w:p>
            <w:pPr>
              <w:pStyle w:val="TableContents"/>
              <w:spacing w:before="0" w:after="283"/>
              <w:rPr/>
            </w:pPr>
            <w:r>
              <w:rPr/>
              <w:t> </w:t>
            </w:r>
          </w:p>
        </w:tc>
        <w:tc>
          <w:tcPr>
            <w:tcW w:w="205" w:type="dxa"/>
            <w:tcBorders/>
            <w:shd w:fill="FFFFFF" w:val="clear"/>
            <w:vAlign w:val="bottom"/>
          </w:tcPr>
          <w:p>
            <w:pPr>
              <w:pStyle w:val="TableContents"/>
              <w:spacing w:before="0" w:after="283"/>
              <w:rPr/>
            </w:pPr>
            <w:r>
              <w:rPr/>
              <w:t> </w:t>
            </w:r>
          </w:p>
        </w:tc>
        <w:tc>
          <w:tcPr>
            <w:tcW w:w="947" w:type="dxa"/>
            <w:tcBorders/>
            <w:shd w:fill="FFFFFF" w:val="clear"/>
            <w:vAlign w:val="bottom"/>
          </w:tcPr>
          <w:p>
            <w:pPr>
              <w:pStyle w:val="TableContents"/>
              <w:spacing w:before="0" w:after="283"/>
              <w:jc w:val="right"/>
              <w:rPr>
                <w:rFonts w:ascii="times" w:hAnsi="times"/>
                <w:sz w:val="20"/>
              </w:rPr>
            </w:pPr>
            <w:r>
              <w:rPr>
                <w:rFonts w:ascii="times" w:hAnsi="times"/>
                <w:sz w:val="20"/>
              </w:rPr>
              <w:t>35.77</w:t>
            </w:r>
          </w:p>
        </w:tc>
        <w:tc>
          <w:tcPr>
            <w:tcW w:w="352" w:type="dxa"/>
            <w:tcBorders/>
            <w:shd w:fill="FFFFFF" w:val="clear"/>
            <w:vAlign w:val="bottom"/>
          </w:tcPr>
          <w:p>
            <w:pPr>
              <w:pStyle w:val="TableContents"/>
              <w:spacing w:before="0" w:after="283"/>
              <w:rPr/>
            </w:pPr>
            <w:r>
              <w:rPr/>
              <w:t> </w:t>
            </w:r>
          </w:p>
        </w:tc>
        <w:tc>
          <w:tcPr>
            <w:tcW w:w="205" w:type="dxa"/>
            <w:tcBorders/>
            <w:shd w:fill="FFFFFF" w:val="clear"/>
            <w:vAlign w:val="bottom"/>
          </w:tcPr>
          <w:p>
            <w:pPr>
              <w:pStyle w:val="TableContents"/>
              <w:spacing w:before="0" w:after="283"/>
              <w:rPr/>
            </w:pPr>
            <w:r>
              <w:rPr/>
              <w:t> </w:t>
            </w:r>
          </w:p>
        </w:tc>
        <w:tc>
          <w:tcPr>
            <w:tcW w:w="1650" w:type="dxa"/>
            <w:tcBorders/>
            <w:shd w:fill="FFFFFF" w:val="clear"/>
            <w:vAlign w:val="bottom"/>
          </w:tcPr>
          <w:p>
            <w:pPr>
              <w:pStyle w:val="TableContents"/>
              <w:spacing w:before="0" w:after="283"/>
              <w:jc w:val="right"/>
              <w:rPr>
                <w:rFonts w:ascii="times" w:hAnsi="times"/>
                <w:sz w:val="20"/>
              </w:rPr>
            </w:pPr>
            <w:r>
              <w:rPr>
                <w:rFonts w:ascii="times" w:hAnsi="times"/>
                <w:sz w:val="20"/>
              </w:rPr>
              <w:t>1,956,779</w:t>
            </w:r>
          </w:p>
        </w:tc>
        <w:tc>
          <w:tcPr>
            <w:tcW w:w="352" w:type="dxa"/>
            <w:tcBorders/>
            <w:shd w:fill="FFFFFF" w:val="clear"/>
            <w:vAlign w:val="bottom"/>
          </w:tcPr>
          <w:p>
            <w:pPr>
              <w:pStyle w:val="TableContents"/>
              <w:spacing w:before="0" w:after="283"/>
              <w:rPr/>
            </w:pPr>
            <w:r>
              <w:rPr/>
              <w:t> </w:t>
            </w:r>
          </w:p>
        </w:tc>
      </w:tr>
      <w:tr>
        <w:trPr/>
        <w:tc>
          <w:tcPr>
            <w:tcW w:w="463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August 2012</w:t>
            </w:r>
          </w:p>
        </w:tc>
        <w:tc>
          <w:tcPr>
            <w:tcW w:w="351"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947" w:type="dxa"/>
            <w:tcBorders/>
            <w:shd w:fill="CCEEFF" w:val="clear"/>
            <w:vAlign w:val="bottom"/>
          </w:tcPr>
          <w:p>
            <w:pPr>
              <w:pStyle w:val="TableContents"/>
              <w:spacing w:before="0" w:after="283"/>
              <w:jc w:val="right"/>
              <w:rPr>
                <w:rFonts w:ascii="times" w:hAnsi="times"/>
                <w:sz w:val="20"/>
              </w:rPr>
            </w:pPr>
            <w:r>
              <w:rPr>
                <w:rFonts w:ascii="times" w:hAnsi="times"/>
                <w:sz w:val="20"/>
              </w:rPr>
              <w:t>48.44</w:t>
            </w:r>
          </w:p>
        </w:tc>
        <w:tc>
          <w:tcPr>
            <w:tcW w:w="352"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947" w:type="dxa"/>
            <w:tcBorders/>
            <w:shd w:fill="CCEEFF" w:val="clear"/>
            <w:vAlign w:val="bottom"/>
          </w:tcPr>
          <w:p>
            <w:pPr>
              <w:pStyle w:val="TableContents"/>
              <w:spacing w:before="0" w:after="283"/>
              <w:jc w:val="right"/>
              <w:rPr>
                <w:rFonts w:ascii="times" w:hAnsi="times"/>
                <w:sz w:val="20"/>
              </w:rPr>
            </w:pPr>
            <w:r>
              <w:rPr>
                <w:rFonts w:ascii="times" w:hAnsi="times"/>
                <w:sz w:val="20"/>
              </w:rPr>
              <w:t>42.45</w:t>
            </w:r>
          </w:p>
        </w:tc>
        <w:tc>
          <w:tcPr>
            <w:tcW w:w="352"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1650" w:type="dxa"/>
            <w:tcBorders/>
            <w:shd w:fill="CCEEFF" w:val="clear"/>
            <w:vAlign w:val="bottom"/>
          </w:tcPr>
          <w:p>
            <w:pPr>
              <w:pStyle w:val="TableContents"/>
              <w:spacing w:before="0" w:after="283"/>
              <w:jc w:val="right"/>
              <w:rPr>
                <w:rFonts w:ascii="times" w:hAnsi="times"/>
                <w:sz w:val="20"/>
              </w:rPr>
            </w:pPr>
            <w:r>
              <w:rPr>
                <w:rFonts w:ascii="times" w:hAnsi="times"/>
                <w:sz w:val="20"/>
              </w:rPr>
              <w:t>1,757,900</w:t>
            </w:r>
          </w:p>
        </w:tc>
        <w:tc>
          <w:tcPr>
            <w:tcW w:w="352" w:type="dxa"/>
            <w:tcBorders/>
            <w:shd w:fill="CCEEFF" w:val="clear"/>
            <w:vAlign w:val="bottom"/>
          </w:tcPr>
          <w:p>
            <w:pPr>
              <w:pStyle w:val="TableContents"/>
              <w:spacing w:before="0" w:after="283"/>
              <w:rPr/>
            </w:pPr>
            <w:r>
              <w:rPr/>
              <w:t> </w:t>
            </w:r>
          </w:p>
        </w:tc>
      </w:tr>
      <w:tr>
        <w:trPr/>
        <w:tc>
          <w:tcPr>
            <w:tcW w:w="4639"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September 2012</w:t>
            </w:r>
          </w:p>
        </w:tc>
        <w:tc>
          <w:tcPr>
            <w:tcW w:w="351" w:type="dxa"/>
            <w:tcBorders/>
            <w:shd w:fill="FFFFFF" w:val="clear"/>
            <w:vAlign w:val="bottom"/>
          </w:tcPr>
          <w:p>
            <w:pPr>
              <w:pStyle w:val="TableContents"/>
              <w:spacing w:before="0" w:after="283"/>
              <w:rPr/>
            </w:pPr>
            <w:r>
              <w:rPr/>
              <w:t> </w:t>
            </w:r>
          </w:p>
        </w:tc>
        <w:tc>
          <w:tcPr>
            <w:tcW w:w="205" w:type="dxa"/>
            <w:tcBorders/>
            <w:shd w:fill="FFFFFF" w:val="clear"/>
            <w:vAlign w:val="bottom"/>
          </w:tcPr>
          <w:p>
            <w:pPr>
              <w:pStyle w:val="TableContents"/>
              <w:spacing w:before="0" w:after="283"/>
              <w:rPr/>
            </w:pPr>
            <w:r>
              <w:rPr/>
              <w:t> </w:t>
            </w:r>
          </w:p>
        </w:tc>
        <w:tc>
          <w:tcPr>
            <w:tcW w:w="947" w:type="dxa"/>
            <w:tcBorders/>
            <w:shd w:fill="FFFFFF" w:val="clear"/>
            <w:vAlign w:val="bottom"/>
          </w:tcPr>
          <w:p>
            <w:pPr>
              <w:pStyle w:val="TableContents"/>
              <w:spacing w:before="0" w:after="283"/>
              <w:jc w:val="right"/>
              <w:rPr>
                <w:rFonts w:ascii="times" w:hAnsi="times"/>
                <w:sz w:val="20"/>
              </w:rPr>
            </w:pPr>
            <w:r>
              <w:rPr>
                <w:rFonts w:ascii="times" w:hAnsi="times"/>
                <w:sz w:val="20"/>
              </w:rPr>
              <w:t>53.12</w:t>
            </w:r>
          </w:p>
        </w:tc>
        <w:tc>
          <w:tcPr>
            <w:tcW w:w="352" w:type="dxa"/>
            <w:tcBorders/>
            <w:shd w:fill="FFFFFF" w:val="clear"/>
            <w:vAlign w:val="bottom"/>
          </w:tcPr>
          <w:p>
            <w:pPr>
              <w:pStyle w:val="TableContents"/>
              <w:spacing w:before="0" w:after="283"/>
              <w:rPr/>
            </w:pPr>
            <w:r>
              <w:rPr/>
              <w:t> </w:t>
            </w:r>
          </w:p>
        </w:tc>
        <w:tc>
          <w:tcPr>
            <w:tcW w:w="205" w:type="dxa"/>
            <w:tcBorders/>
            <w:shd w:fill="FFFFFF" w:val="clear"/>
            <w:vAlign w:val="bottom"/>
          </w:tcPr>
          <w:p>
            <w:pPr>
              <w:pStyle w:val="TableContents"/>
              <w:spacing w:before="0" w:after="283"/>
              <w:rPr/>
            </w:pPr>
            <w:r>
              <w:rPr/>
              <w:t> </w:t>
            </w:r>
          </w:p>
        </w:tc>
        <w:tc>
          <w:tcPr>
            <w:tcW w:w="947" w:type="dxa"/>
            <w:tcBorders/>
            <w:shd w:fill="FFFFFF" w:val="clear"/>
            <w:vAlign w:val="bottom"/>
          </w:tcPr>
          <w:p>
            <w:pPr>
              <w:pStyle w:val="TableContents"/>
              <w:spacing w:before="0" w:after="283"/>
              <w:jc w:val="right"/>
              <w:rPr>
                <w:rFonts w:ascii="times" w:hAnsi="times"/>
                <w:sz w:val="20"/>
              </w:rPr>
            </w:pPr>
            <w:r>
              <w:rPr>
                <w:rFonts w:ascii="times" w:hAnsi="times"/>
                <w:sz w:val="20"/>
              </w:rPr>
              <w:t>46.71</w:t>
            </w:r>
          </w:p>
        </w:tc>
        <w:tc>
          <w:tcPr>
            <w:tcW w:w="352" w:type="dxa"/>
            <w:tcBorders/>
            <w:shd w:fill="FFFFFF" w:val="clear"/>
            <w:vAlign w:val="bottom"/>
          </w:tcPr>
          <w:p>
            <w:pPr>
              <w:pStyle w:val="TableContents"/>
              <w:spacing w:before="0" w:after="283"/>
              <w:rPr/>
            </w:pPr>
            <w:r>
              <w:rPr/>
              <w:t> </w:t>
            </w:r>
          </w:p>
        </w:tc>
        <w:tc>
          <w:tcPr>
            <w:tcW w:w="205" w:type="dxa"/>
            <w:tcBorders/>
            <w:shd w:fill="FFFFFF" w:val="clear"/>
            <w:vAlign w:val="bottom"/>
          </w:tcPr>
          <w:p>
            <w:pPr>
              <w:pStyle w:val="TableContents"/>
              <w:spacing w:before="0" w:after="283"/>
              <w:rPr/>
            </w:pPr>
            <w:r>
              <w:rPr/>
              <w:t> </w:t>
            </w:r>
          </w:p>
        </w:tc>
        <w:tc>
          <w:tcPr>
            <w:tcW w:w="1650" w:type="dxa"/>
            <w:tcBorders/>
            <w:shd w:fill="FFFFFF" w:val="clear"/>
            <w:vAlign w:val="bottom"/>
          </w:tcPr>
          <w:p>
            <w:pPr>
              <w:pStyle w:val="TableContents"/>
              <w:spacing w:before="0" w:after="283"/>
              <w:jc w:val="right"/>
              <w:rPr>
                <w:rFonts w:ascii="times" w:hAnsi="times"/>
                <w:sz w:val="20"/>
              </w:rPr>
            </w:pPr>
            <w:r>
              <w:rPr>
                <w:rFonts w:ascii="times" w:hAnsi="times"/>
                <w:sz w:val="20"/>
              </w:rPr>
              <w:t>2,078,188</w:t>
            </w:r>
          </w:p>
        </w:tc>
        <w:tc>
          <w:tcPr>
            <w:tcW w:w="352" w:type="dxa"/>
            <w:tcBorders/>
            <w:shd w:fill="FFFFFF" w:val="clear"/>
            <w:vAlign w:val="bottom"/>
          </w:tcPr>
          <w:p>
            <w:pPr>
              <w:pStyle w:val="TableContents"/>
              <w:spacing w:before="0" w:after="283"/>
              <w:rPr/>
            </w:pPr>
            <w:r>
              <w:rPr/>
              <w:t> </w:t>
            </w:r>
          </w:p>
        </w:tc>
      </w:tr>
      <w:tr>
        <w:trPr/>
        <w:tc>
          <w:tcPr>
            <w:tcW w:w="463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October 2012</w:t>
            </w:r>
          </w:p>
        </w:tc>
        <w:tc>
          <w:tcPr>
            <w:tcW w:w="351"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947" w:type="dxa"/>
            <w:tcBorders/>
            <w:shd w:fill="CCEEFF" w:val="clear"/>
            <w:vAlign w:val="bottom"/>
          </w:tcPr>
          <w:p>
            <w:pPr>
              <w:pStyle w:val="TableContents"/>
              <w:spacing w:before="0" w:after="283"/>
              <w:jc w:val="right"/>
              <w:rPr>
                <w:rFonts w:ascii="times" w:hAnsi="times"/>
                <w:sz w:val="20"/>
              </w:rPr>
            </w:pPr>
            <w:r>
              <w:rPr>
                <w:rFonts w:ascii="times" w:hAnsi="times"/>
                <w:sz w:val="20"/>
              </w:rPr>
              <w:t>56.99</w:t>
            </w:r>
          </w:p>
        </w:tc>
        <w:tc>
          <w:tcPr>
            <w:tcW w:w="352"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947" w:type="dxa"/>
            <w:tcBorders/>
            <w:shd w:fill="CCEEFF" w:val="clear"/>
            <w:vAlign w:val="bottom"/>
          </w:tcPr>
          <w:p>
            <w:pPr>
              <w:pStyle w:val="TableContents"/>
              <w:spacing w:before="0" w:after="283"/>
              <w:jc w:val="right"/>
              <w:rPr>
                <w:rFonts w:ascii="times" w:hAnsi="times"/>
                <w:sz w:val="20"/>
              </w:rPr>
            </w:pPr>
            <w:r>
              <w:rPr>
                <w:rFonts w:ascii="times" w:hAnsi="times"/>
                <w:sz w:val="20"/>
              </w:rPr>
              <w:t>50.43</w:t>
            </w:r>
          </w:p>
        </w:tc>
        <w:tc>
          <w:tcPr>
            <w:tcW w:w="352"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1650" w:type="dxa"/>
            <w:tcBorders/>
            <w:shd w:fill="CCEEFF" w:val="clear"/>
            <w:vAlign w:val="bottom"/>
          </w:tcPr>
          <w:p>
            <w:pPr>
              <w:pStyle w:val="TableContents"/>
              <w:spacing w:before="0" w:after="283"/>
              <w:jc w:val="right"/>
              <w:rPr>
                <w:rFonts w:ascii="times" w:hAnsi="times"/>
                <w:sz w:val="20"/>
              </w:rPr>
            </w:pPr>
            <w:r>
              <w:rPr>
                <w:rFonts w:ascii="times" w:hAnsi="times"/>
                <w:sz w:val="20"/>
              </w:rPr>
              <w:t>1,362,656</w:t>
            </w:r>
          </w:p>
        </w:tc>
        <w:tc>
          <w:tcPr>
            <w:tcW w:w="352" w:type="dxa"/>
            <w:tcBorders/>
            <w:shd w:fill="CCEEFF" w:val="clear"/>
            <w:vAlign w:val="bottom"/>
          </w:tcPr>
          <w:p>
            <w:pPr>
              <w:pStyle w:val="TableContents"/>
              <w:spacing w:before="0" w:after="283"/>
              <w:rPr/>
            </w:pPr>
            <w:r>
              <w:rPr/>
              <w:t> </w:t>
            </w:r>
          </w:p>
        </w:tc>
      </w:tr>
      <w:tr>
        <w:trPr/>
        <w:tc>
          <w:tcPr>
            <w:tcW w:w="4639"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November 2012</w:t>
            </w:r>
          </w:p>
        </w:tc>
        <w:tc>
          <w:tcPr>
            <w:tcW w:w="351" w:type="dxa"/>
            <w:tcBorders/>
            <w:shd w:fill="FFFFFF" w:val="clear"/>
            <w:vAlign w:val="bottom"/>
          </w:tcPr>
          <w:p>
            <w:pPr>
              <w:pStyle w:val="TableContents"/>
              <w:spacing w:before="0" w:after="283"/>
              <w:rPr/>
            </w:pPr>
            <w:r>
              <w:rPr/>
              <w:t> </w:t>
            </w:r>
          </w:p>
        </w:tc>
        <w:tc>
          <w:tcPr>
            <w:tcW w:w="205" w:type="dxa"/>
            <w:tcBorders/>
            <w:shd w:fill="FFFFFF" w:val="clear"/>
            <w:vAlign w:val="bottom"/>
          </w:tcPr>
          <w:p>
            <w:pPr>
              <w:pStyle w:val="TableContents"/>
              <w:spacing w:before="0" w:after="283"/>
              <w:rPr/>
            </w:pPr>
            <w:r>
              <w:rPr/>
              <w:t> </w:t>
            </w:r>
          </w:p>
        </w:tc>
        <w:tc>
          <w:tcPr>
            <w:tcW w:w="947" w:type="dxa"/>
            <w:tcBorders/>
            <w:shd w:fill="FFFFFF" w:val="clear"/>
            <w:vAlign w:val="bottom"/>
          </w:tcPr>
          <w:p>
            <w:pPr>
              <w:pStyle w:val="TableContents"/>
              <w:spacing w:before="0" w:after="283"/>
              <w:jc w:val="right"/>
              <w:rPr>
                <w:rFonts w:ascii="times" w:hAnsi="times"/>
                <w:sz w:val="20"/>
              </w:rPr>
            </w:pPr>
            <w:r>
              <w:rPr>
                <w:rFonts w:ascii="times" w:hAnsi="times"/>
                <w:sz w:val="20"/>
              </w:rPr>
              <w:t>57.35</w:t>
            </w:r>
          </w:p>
        </w:tc>
        <w:tc>
          <w:tcPr>
            <w:tcW w:w="352" w:type="dxa"/>
            <w:tcBorders/>
            <w:shd w:fill="FFFFFF" w:val="clear"/>
            <w:vAlign w:val="bottom"/>
          </w:tcPr>
          <w:p>
            <w:pPr>
              <w:pStyle w:val="TableContents"/>
              <w:spacing w:before="0" w:after="283"/>
              <w:rPr/>
            </w:pPr>
            <w:r>
              <w:rPr/>
              <w:t> </w:t>
            </w:r>
          </w:p>
        </w:tc>
        <w:tc>
          <w:tcPr>
            <w:tcW w:w="205" w:type="dxa"/>
            <w:tcBorders/>
            <w:shd w:fill="FFFFFF" w:val="clear"/>
            <w:vAlign w:val="bottom"/>
          </w:tcPr>
          <w:p>
            <w:pPr>
              <w:pStyle w:val="TableContents"/>
              <w:spacing w:before="0" w:after="283"/>
              <w:rPr/>
            </w:pPr>
            <w:r>
              <w:rPr/>
              <w:t> </w:t>
            </w:r>
          </w:p>
        </w:tc>
        <w:tc>
          <w:tcPr>
            <w:tcW w:w="947" w:type="dxa"/>
            <w:tcBorders/>
            <w:shd w:fill="FFFFFF" w:val="clear"/>
            <w:vAlign w:val="bottom"/>
          </w:tcPr>
          <w:p>
            <w:pPr>
              <w:pStyle w:val="TableContents"/>
              <w:spacing w:before="0" w:after="283"/>
              <w:jc w:val="right"/>
              <w:rPr>
                <w:rFonts w:ascii="times" w:hAnsi="times"/>
                <w:sz w:val="20"/>
              </w:rPr>
            </w:pPr>
            <w:r>
              <w:rPr>
                <w:rFonts w:ascii="times" w:hAnsi="times"/>
                <w:sz w:val="20"/>
              </w:rPr>
              <w:t>50.45</w:t>
            </w:r>
          </w:p>
        </w:tc>
        <w:tc>
          <w:tcPr>
            <w:tcW w:w="352" w:type="dxa"/>
            <w:tcBorders/>
            <w:shd w:fill="FFFFFF" w:val="clear"/>
            <w:vAlign w:val="bottom"/>
          </w:tcPr>
          <w:p>
            <w:pPr>
              <w:pStyle w:val="TableContents"/>
              <w:spacing w:before="0" w:after="283"/>
              <w:rPr/>
            </w:pPr>
            <w:r>
              <w:rPr/>
              <w:t> </w:t>
            </w:r>
          </w:p>
        </w:tc>
        <w:tc>
          <w:tcPr>
            <w:tcW w:w="205" w:type="dxa"/>
            <w:tcBorders/>
            <w:shd w:fill="FFFFFF" w:val="clear"/>
            <w:vAlign w:val="bottom"/>
          </w:tcPr>
          <w:p>
            <w:pPr>
              <w:pStyle w:val="TableContents"/>
              <w:spacing w:before="0" w:after="283"/>
              <w:rPr/>
            </w:pPr>
            <w:r>
              <w:rPr/>
              <w:t> </w:t>
            </w:r>
          </w:p>
        </w:tc>
        <w:tc>
          <w:tcPr>
            <w:tcW w:w="1650" w:type="dxa"/>
            <w:tcBorders/>
            <w:shd w:fill="FFFFFF" w:val="clear"/>
            <w:vAlign w:val="bottom"/>
          </w:tcPr>
          <w:p>
            <w:pPr>
              <w:pStyle w:val="TableContents"/>
              <w:spacing w:before="0" w:after="283"/>
              <w:jc w:val="right"/>
              <w:rPr>
                <w:rFonts w:ascii="times" w:hAnsi="times"/>
                <w:sz w:val="20"/>
              </w:rPr>
            </w:pPr>
            <w:r>
              <w:rPr>
                <w:rFonts w:ascii="times" w:hAnsi="times"/>
                <w:sz w:val="20"/>
              </w:rPr>
              <w:t>1,552,130</w:t>
            </w:r>
          </w:p>
        </w:tc>
        <w:tc>
          <w:tcPr>
            <w:tcW w:w="352" w:type="dxa"/>
            <w:tcBorders/>
            <w:shd w:fill="FFFFFF" w:val="clear"/>
            <w:vAlign w:val="bottom"/>
          </w:tcPr>
          <w:p>
            <w:pPr>
              <w:pStyle w:val="TableContents"/>
              <w:spacing w:before="0" w:after="283"/>
              <w:rPr/>
            </w:pPr>
            <w:r>
              <w:rPr/>
              <w:t> </w:t>
            </w:r>
          </w:p>
        </w:tc>
      </w:tr>
      <w:tr>
        <w:trPr/>
        <w:tc>
          <w:tcPr>
            <w:tcW w:w="463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December 2012</w:t>
            </w:r>
          </w:p>
        </w:tc>
        <w:tc>
          <w:tcPr>
            <w:tcW w:w="351"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947" w:type="dxa"/>
            <w:tcBorders/>
            <w:shd w:fill="CCEEFF" w:val="clear"/>
            <w:vAlign w:val="bottom"/>
          </w:tcPr>
          <w:p>
            <w:pPr>
              <w:pStyle w:val="TableContents"/>
              <w:spacing w:before="0" w:after="283"/>
              <w:jc w:val="right"/>
              <w:rPr>
                <w:rFonts w:ascii="times" w:hAnsi="times"/>
                <w:sz w:val="20"/>
              </w:rPr>
            </w:pPr>
            <w:r>
              <w:rPr>
                <w:rFonts w:ascii="times" w:hAnsi="times"/>
                <w:sz w:val="20"/>
              </w:rPr>
              <w:t>56.50</w:t>
            </w:r>
          </w:p>
        </w:tc>
        <w:tc>
          <w:tcPr>
            <w:tcW w:w="352"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947" w:type="dxa"/>
            <w:tcBorders/>
            <w:shd w:fill="CCEEFF" w:val="clear"/>
            <w:vAlign w:val="bottom"/>
          </w:tcPr>
          <w:p>
            <w:pPr>
              <w:pStyle w:val="TableContents"/>
              <w:spacing w:before="0" w:after="283"/>
              <w:jc w:val="right"/>
              <w:rPr>
                <w:rFonts w:ascii="times" w:hAnsi="times"/>
                <w:sz w:val="20"/>
              </w:rPr>
            </w:pPr>
            <w:r>
              <w:rPr>
                <w:rFonts w:ascii="times" w:hAnsi="times"/>
                <w:sz w:val="20"/>
              </w:rPr>
              <w:t>49.81</w:t>
            </w:r>
          </w:p>
        </w:tc>
        <w:tc>
          <w:tcPr>
            <w:tcW w:w="352"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1650" w:type="dxa"/>
            <w:tcBorders/>
            <w:shd w:fill="CCEEFF" w:val="clear"/>
            <w:vAlign w:val="bottom"/>
          </w:tcPr>
          <w:p>
            <w:pPr>
              <w:pStyle w:val="TableContents"/>
              <w:spacing w:before="0" w:after="283"/>
              <w:jc w:val="right"/>
              <w:rPr>
                <w:rFonts w:ascii="times" w:hAnsi="times"/>
                <w:sz w:val="20"/>
              </w:rPr>
            </w:pPr>
            <w:r>
              <w:rPr>
                <w:rFonts w:ascii="times" w:hAnsi="times"/>
                <w:sz w:val="20"/>
              </w:rPr>
              <w:t>1,501,669</w:t>
            </w:r>
          </w:p>
        </w:tc>
        <w:tc>
          <w:tcPr>
            <w:tcW w:w="352" w:type="dxa"/>
            <w:tcBorders/>
            <w:shd w:fill="CCEEFF" w:val="clear"/>
            <w:vAlign w:val="bottom"/>
          </w:tcPr>
          <w:p>
            <w:pPr>
              <w:pStyle w:val="TableContents"/>
              <w:spacing w:before="0" w:after="283"/>
              <w:rPr/>
            </w:pPr>
            <w:r>
              <w:rPr/>
              <w:t> </w:t>
            </w:r>
          </w:p>
        </w:tc>
      </w:tr>
      <w:tr>
        <w:trPr/>
        <w:tc>
          <w:tcPr>
            <w:tcW w:w="4639"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January 2013</w:t>
            </w:r>
          </w:p>
        </w:tc>
        <w:tc>
          <w:tcPr>
            <w:tcW w:w="351" w:type="dxa"/>
            <w:tcBorders/>
            <w:shd w:fill="FFFFFF" w:val="clear"/>
            <w:vAlign w:val="bottom"/>
          </w:tcPr>
          <w:p>
            <w:pPr>
              <w:pStyle w:val="TableContents"/>
              <w:spacing w:before="0" w:after="283"/>
              <w:rPr/>
            </w:pPr>
            <w:r>
              <w:rPr/>
              <w:t> </w:t>
            </w:r>
          </w:p>
        </w:tc>
        <w:tc>
          <w:tcPr>
            <w:tcW w:w="205" w:type="dxa"/>
            <w:tcBorders/>
            <w:shd w:fill="FFFFFF" w:val="clear"/>
            <w:vAlign w:val="bottom"/>
          </w:tcPr>
          <w:p>
            <w:pPr>
              <w:pStyle w:val="TableContents"/>
              <w:spacing w:before="0" w:after="283"/>
              <w:rPr/>
            </w:pPr>
            <w:r>
              <w:rPr/>
              <w:t> </w:t>
            </w:r>
          </w:p>
        </w:tc>
        <w:tc>
          <w:tcPr>
            <w:tcW w:w="947" w:type="dxa"/>
            <w:tcBorders/>
            <w:shd w:fill="FFFFFF" w:val="clear"/>
            <w:vAlign w:val="bottom"/>
          </w:tcPr>
          <w:p>
            <w:pPr>
              <w:pStyle w:val="TableContents"/>
              <w:spacing w:before="0" w:after="283"/>
              <w:jc w:val="right"/>
              <w:rPr>
                <w:rFonts w:ascii="times" w:hAnsi="times"/>
                <w:sz w:val="20"/>
              </w:rPr>
            </w:pPr>
            <w:r>
              <w:rPr>
                <w:rFonts w:ascii="times" w:hAnsi="times"/>
                <w:sz w:val="20"/>
              </w:rPr>
              <w:t>53.78</w:t>
            </w:r>
          </w:p>
        </w:tc>
        <w:tc>
          <w:tcPr>
            <w:tcW w:w="352" w:type="dxa"/>
            <w:tcBorders/>
            <w:shd w:fill="FFFFFF" w:val="clear"/>
            <w:vAlign w:val="bottom"/>
          </w:tcPr>
          <w:p>
            <w:pPr>
              <w:pStyle w:val="TableContents"/>
              <w:spacing w:before="0" w:after="283"/>
              <w:rPr/>
            </w:pPr>
            <w:r>
              <w:rPr/>
              <w:t> </w:t>
            </w:r>
          </w:p>
        </w:tc>
        <w:tc>
          <w:tcPr>
            <w:tcW w:w="205" w:type="dxa"/>
            <w:tcBorders/>
            <w:shd w:fill="FFFFFF" w:val="clear"/>
            <w:vAlign w:val="bottom"/>
          </w:tcPr>
          <w:p>
            <w:pPr>
              <w:pStyle w:val="TableContents"/>
              <w:spacing w:before="0" w:after="283"/>
              <w:rPr/>
            </w:pPr>
            <w:r>
              <w:rPr/>
              <w:t> </w:t>
            </w:r>
          </w:p>
        </w:tc>
        <w:tc>
          <w:tcPr>
            <w:tcW w:w="947" w:type="dxa"/>
            <w:tcBorders/>
            <w:shd w:fill="FFFFFF" w:val="clear"/>
            <w:vAlign w:val="bottom"/>
          </w:tcPr>
          <w:p>
            <w:pPr>
              <w:pStyle w:val="TableContents"/>
              <w:spacing w:before="0" w:after="283"/>
              <w:jc w:val="right"/>
              <w:rPr>
                <w:rFonts w:ascii="times" w:hAnsi="times"/>
                <w:sz w:val="20"/>
              </w:rPr>
            </w:pPr>
            <w:r>
              <w:rPr>
                <w:rFonts w:ascii="times" w:hAnsi="times"/>
                <w:sz w:val="20"/>
              </w:rPr>
              <w:t>45.53</w:t>
            </w:r>
          </w:p>
        </w:tc>
        <w:tc>
          <w:tcPr>
            <w:tcW w:w="352" w:type="dxa"/>
            <w:tcBorders/>
            <w:shd w:fill="FFFFFF" w:val="clear"/>
            <w:vAlign w:val="bottom"/>
          </w:tcPr>
          <w:p>
            <w:pPr>
              <w:pStyle w:val="TableContents"/>
              <w:spacing w:before="0" w:after="283"/>
              <w:rPr/>
            </w:pPr>
            <w:r>
              <w:rPr/>
              <w:t> </w:t>
            </w:r>
          </w:p>
        </w:tc>
        <w:tc>
          <w:tcPr>
            <w:tcW w:w="205" w:type="dxa"/>
            <w:tcBorders/>
            <w:shd w:fill="FFFFFF" w:val="clear"/>
            <w:vAlign w:val="bottom"/>
          </w:tcPr>
          <w:p>
            <w:pPr>
              <w:pStyle w:val="TableContents"/>
              <w:spacing w:before="0" w:after="283"/>
              <w:rPr/>
            </w:pPr>
            <w:r>
              <w:rPr/>
              <w:t> </w:t>
            </w:r>
          </w:p>
        </w:tc>
        <w:tc>
          <w:tcPr>
            <w:tcW w:w="1650" w:type="dxa"/>
            <w:tcBorders/>
            <w:shd w:fill="FFFFFF" w:val="clear"/>
            <w:vAlign w:val="bottom"/>
          </w:tcPr>
          <w:p>
            <w:pPr>
              <w:pStyle w:val="TableContents"/>
              <w:spacing w:before="0" w:after="283"/>
              <w:jc w:val="right"/>
              <w:rPr>
                <w:rFonts w:ascii="times" w:hAnsi="times"/>
                <w:sz w:val="20"/>
              </w:rPr>
            </w:pPr>
            <w:r>
              <w:rPr>
                <w:rFonts w:ascii="times" w:hAnsi="times"/>
                <w:sz w:val="20"/>
              </w:rPr>
              <w:t>1,324,473</w:t>
            </w:r>
          </w:p>
        </w:tc>
        <w:tc>
          <w:tcPr>
            <w:tcW w:w="352" w:type="dxa"/>
            <w:tcBorders/>
            <w:shd w:fill="FFFFFF" w:val="clear"/>
            <w:vAlign w:val="bottom"/>
          </w:tcPr>
          <w:p>
            <w:pPr>
              <w:pStyle w:val="TableContents"/>
              <w:spacing w:before="0" w:after="283"/>
              <w:rPr/>
            </w:pPr>
            <w:r>
              <w:rPr/>
              <w:t> </w:t>
            </w:r>
          </w:p>
        </w:tc>
      </w:tr>
      <w:tr>
        <w:trPr/>
        <w:tc>
          <w:tcPr>
            <w:tcW w:w="463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February 2013</w:t>
            </w:r>
          </w:p>
        </w:tc>
        <w:tc>
          <w:tcPr>
            <w:tcW w:w="351"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947" w:type="dxa"/>
            <w:tcBorders/>
            <w:shd w:fill="CCEEFF" w:val="clear"/>
            <w:vAlign w:val="bottom"/>
          </w:tcPr>
          <w:p>
            <w:pPr>
              <w:pStyle w:val="TableContents"/>
              <w:spacing w:before="0" w:after="283"/>
              <w:jc w:val="right"/>
              <w:rPr>
                <w:rFonts w:ascii="times" w:hAnsi="times"/>
                <w:sz w:val="20"/>
              </w:rPr>
            </w:pPr>
            <w:r>
              <w:rPr>
                <w:rFonts w:ascii="times" w:hAnsi="times"/>
                <w:sz w:val="20"/>
              </w:rPr>
              <w:t>46.99</w:t>
            </w:r>
          </w:p>
        </w:tc>
        <w:tc>
          <w:tcPr>
            <w:tcW w:w="352"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947" w:type="dxa"/>
            <w:tcBorders/>
            <w:shd w:fill="CCEEFF" w:val="clear"/>
            <w:vAlign w:val="bottom"/>
          </w:tcPr>
          <w:p>
            <w:pPr>
              <w:pStyle w:val="TableContents"/>
              <w:spacing w:before="0" w:after="283"/>
              <w:jc w:val="right"/>
              <w:rPr>
                <w:rFonts w:ascii="times" w:hAnsi="times"/>
                <w:sz w:val="20"/>
              </w:rPr>
            </w:pPr>
            <w:r>
              <w:rPr>
                <w:rFonts w:ascii="times" w:hAnsi="times"/>
                <w:sz w:val="20"/>
              </w:rPr>
              <w:t>38.52</w:t>
            </w:r>
          </w:p>
        </w:tc>
        <w:tc>
          <w:tcPr>
            <w:tcW w:w="352"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1650" w:type="dxa"/>
            <w:tcBorders/>
            <w:shd w:fill="CCEEFF" w:val="clear"/>
            <w:vAlign w:val="bottom"/>
          </w:tcPr>
          <w:p>
            <w:pPr>
              <w:pStyle w:val="TableContents"/>
              <w:spacing w:before="0" w:after="283"/>
              <w:jc w:val="right"/>
              <w:rPr>
                <w:rFonts w:ascii="times" w:hAnsi="times"/>
                <w:sz w:val="20"/>
              </w:rPr>
            </w:pPr>
            <w:r>
              <w:rPr>
                <w:rFonts w:ascii="times" w:hAnsi="times"/>
                <w:sz w:val="20"/>
              </w:rPr>
              <w:t>1,352,477</w:t>
            </w:r>
          </w:p>
        </w:tc>
        <w:tc>
          <w:tcPr>
            <w:tcW w:w="352" w:type="dxa"/>
            <w:tcBorders/>
            <w:shd w:fill="CCEEFF" w:val="clear"/>
            <w:vAlign w:val="bottom"/>
          </w:tcPr>
          <w:p>
            <w:pPr>
              <w:pStyle w:val="TableContents"/>
              <w:spacing w:before="0" w:after="283"/>
              <w:rPr/>
            </w:pPr>
            <w:r>
              <w:rPr/>
              <w:t> </w:t>
            </w:r>
          </w:p>
        </w:tc>
      </w:tr>
      <w:tr>
        <w:trPr/>
        <w:tc>
          <w:tcPr>
            <w:tcW w:w="4639"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March 2013</w:t>
            </w:r>
          </w:p>
        </w:tc>
        <w:tc>
          <w:tcPr>
            <w:tcW w:w="351" w:type="dxa"/>
            <w:tcBorders/>
            <w:shd w:fill="FFFFFF" w:val="clear"/>
            <w:vAlign w:val="bottom"/>
          </w:tcPr>
          <w:p>
            <w:pPr>
              <w:pStyle w:val="TableContents"/>
              <w:spacing w:before="0" w:after="283"/>
              <w:rPr/>
            </w:pPr>
            <w:r>
              <w:rPr/>
              <w:t> </w:t>
            </w:r>
          </w:p>
        </w:tc>
        <w:tc>
          <w:tcPr>
            <w:tcW w:w="205" w:type="dxa"/>
            <w:tcBorders/>
            <w:shd w:fill="FFFFFF" w:val="clear"/>
            <w:vAlign w:val="bottom"/>
          </w:tcPr>
          <w:p>
            <w:pPr>
              <w:pStyle w:val="TableContents"/>
              <w:spacing w:before="0" w:after="283"/>
              <w:rPr/>
            </w:pPr>
            <w:r>
              <w:rPr/>
              <w:t> </w:t>
            </w:r>
          </w:p>
        </w:tc>
        <w:tc>
          <w:tcPr>
            <w:tcW w:w="947" w:type="dxa"/>
            <w:tcBorders/>
            <w:shd w:fill="FFFFFF" w:val="clear"/>
            <w:vAlign w:val="bottom"/>
          </w:tcPr>
          <w:p>
            <w:pPr>
              <w:pStyle w:val="TableContents"/>
              <w:spacing w:before="0" w:after="283"/>
              <w:jc w:val="right"/>
              <w:rPr>
                <w:rFonts w:ascii="times" w:hAnsi="times"/>
                <w:sz w:val="20"/>
              </w:rPr>
            </w:pPr>
            <w:r>
              <w:rPr>
                <w:rFonts w:ascii="times" w:hAnsi="times"/>
                <w:sz w:val="20"/>
              </w:rPr>
              <w:t>41.57</w:t>
            </w:r>
          </w:p>
        </w:tc>
        <w:tc>
          <w:tcPr>
            <w:tcW w:w="352" w:type="dxa"/>
            <w:tcBorders/>
            <w:shd w:fill="FFFFFF" w:val="clear"/>
            <w:vAlign w:val="bottom"/>
          </w:tcPr>
          <w:p>
            <w:pPr>
              <w:pStyle w:val="TableContents"/>
              <w:spacing w:before="0" w:after="283"/>
              <w:rPr/>
            </w:pPr>
            <w:r>
              <w:rPr/>
              <w:t> </w:t>
            </w:r>
          </w:p>
        </w:tc>
        <w:tc>
          <w:tcPr>
            <w:tcW w:w="205" w:type="dxa"/>
            <w:tcBorders/>
            <w:shd w:fill="FFFFFF" w:val="clear"/>
            <w:vAlign w:val="bottom"/>
          </w:tcPr>
          <w:p>
            <w:pPr>
              <w:pStyle w:val="TableContents"/>
              <w:spacing w:before="0" w:after="283"/>
              <w:rPr/>
            </w:pPr>
            <w:r>
              <w:rPr/>
              <w:t> </w:t>
            </w:r>
          </w:p>
        </w:tc>
        <w:tc>
          <w:tcPr>
            <w:tcW w:w="947" w:type="dxa"/>
            <w:tcBorders/>
            <w:shd w:fill="FFFFFF" w:val="clear"/>
            <w:vAlign w:val="bottom"/>
          </w:tcPr>
          <w:p>
            <w:pPr>
              <w:pStyle w:val="TableContents"/>
              <w:spacing w:before="0" w:after="283"/>
              <w:jc w:val="right"/>
              <w:rPr>
                <w:rFonts w:ascii="times" w:hAnsi="times"/>
                <w:sz w:val="20"/>
              </w:rPr>
            </w:pPr>
            <w:r>
              <w:rPr>
                <w:rFonts w:ascii="times" w:hAnsi="times"/>
                <w:sz w:val="20"/>
              </w:rPr>
              <w:t>37.55</w:t>
            </w:r>
          </w:p>
        </w:tc>
        <w:tc>
          <w:tcPr>
            <w:tcW w:w="352" w:type="dxa"/>
            <w:tcBorders/>
            <w:shd w:fill="FFFFFF" w:val="clear"/>
            <w:vAlign w:val="bottom"/>
          </w:tcPr>
          <w:p>
            <w:pPr>
              <w:pStyle w:val="TableContents"/>
              <w:spacing w:before="0" w:after="283"/>
              <w:rPr/>
            </w:pPr>
            <w:r>
              <w:rPr/>
              <w:t> </w:t>
            </w:r>
          </w:p>
        </w:tc>
        <w:tc>
          <w:tcPr>
            <w:tcW w:w="205" w:type="dxa"/>
            <w:tcBorders/>
            <w:shd w:fill="FFFFFF" w:val="clear"/>
            <w:vAlign w:val="bottom"/>
          </w:tcPr>
          <w:p>
            <w:pPr>
              <w:pStyle w:val="TableContents"/>
              <w:spacing w:before="0" w:after="283"/>
              <w:rPr/>
            </w:pPr>
            <w:r>
              <w:rPr/>
              <w:t> </w:t>
            </w:r>
          </w:p>
        </w:tc>
        <w:tc>
          <w:tcPr>
            <w:tcW w:w="1650" w:type="dxa"/>
            <w:tcBorders/>
            <w:shd w:fill="FFFFFF" w:val="clear"/>
            <w:vAlign w:val="bottom"/>
          </w:tcPr>
          <w:p>
            <w:pPr>
              <w:pStyle w:val="TableContents"/>
              <w:spacing w:before="0" w:after="283"/>
              <w:jc w:val="right"/>
              <w:rPr>
                <w:rFonts w:ascii="times" w:hAnsi="times"/>
                <w:sz w:val="20"/>
              </w:rPr>
            </w:pPr>
            <w:r>
              <w:rPr>
                <w:rFonts w:ascii="times" w:hAnsi="times"/>
                <w:sz w:val="20"/>
              </w:rPr>
              <w:t>1,515,895</w:t>
            </w:r>
          </w:p>
        </w:tc>
        <w:tc>
          <w:tcPr>
            <w:tcW w:w="352" w:type="dxa"/>
            <w:tcBorders/>
            <w:shd w:fill="FFFFFF" w:val="clear"/>
            <w:vAlign w:val="bottom"/>
          </w:tcPr>
          <w:p>
            <w:pPr>
              <w:pStyle w:val="TableContents"/>
              <w:spacing w:before="0" w:after="283"/>
              <w:rPr/>
            </w:pPr>
            <w:r>
              <w:rPr/>
              <w:t> </w:t>
            </w:r>
          </w:p>
        </w:tc>
      </w:tr>
      <w:tr>
        <w:trPr/>
        <w:tc>
          <w:tcPr>
            <w:tcW w:w="463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April 2013</w:t>
            </w:r>
          </w:p>
        </w:tc>
        <w:tc>
          <w:tcPr>
            <w:tcW w:w="351"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947" w:type="dxa"/>
            <w:tcBorders/>
            <w:shd w:fill="CCEEFF" w:val="clear"/>
            <w:vAlign w:val="bottom"/>
          </w:tcPr>
          <w:p>
            <w:pPr>
              <w:pStyle w:val="TableContents"/>
              <w:spacing w:before="0" w:after="283"/>
              <w:jc w:val="right"/>
              <w:rPr>
                <w:rFonts w:ascii="times" w:hAnsi="times"/>
                <w:sz w:val="20"/>
              </w:rPr>
            </w:pPr>
            <w:r>
              <w:rPr>
                <w:rFonts w:ascii="times" w:hAnsi="times"/>
                <w:sz w:val="20"/>
              </w:rPr>
              <w:t>41.08</w:t>
            </w:r>
          </w:p>
        </w:tc>
        <w:tc>
          <w:tcPr>
            <w:tcW w:w="352"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947" w:type="dxa"/>
            <w:tcBorders/>
            <w:shd w:fill="CCEEFF" w:val="clear"/>
            <w:vAlign w:val="bottom"/>
          </w:tcPr>
          <w:p>
            <w:pPr>
              <w:pStyle w:val="TableContents"/>
              <w:spacing w:before="0" w:after="283"/>
              <w:jc w:val="right"/>
              <w:rPr>
                <w:rFonts w:ascii="times" w:hAnsi="times"/>
                <w:sz w:val="20"/>
              </w:rPr>
            </w:pPr>
            <w:r>
              <w:rPr>
                <w:rFonts w:ascii="times" w:hAnsi="times"/>
                <w:sz w:val="20"/>
              </w:rPr>
              <w:t>30.36</w:t>
            </w:r>
          </w:p>
        </w:tc>
        <w:tc>
          <w:tcPr>
            <w:tcW w:w="352"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1650" w:type="dxa"/>
            <w:tcBorders/>
            <w:shd w:fill="CCEEFF" w:val="clear"/>
            <w:vAlign w:val="bottom"/>
          </w:tcPr>
          <w:p>
            <w:pPr>
              <w:pStyle w:val="TableContents"/>
              <w:spacing w:before="0" w:after="283"/>
              <w:jc w:val="right"/>
              <w:rPr>
                <w:rFonts w:ascii="times" w:hAnsi="times"/>
                <w:sz w:val="20"/>
              </w:rPr>
            </w:pPr>
            <w:r>
              <w:rPr>
                <w:rFonts w:ascii="times" w:hAnsi="times"/>
                <w:sz w:val="20"/>
              </w:rPr>
              <w:t>2,168,343</w:t>
            </w:r>
          </w:p>
        </w:tc>
        <w:tc>
          <w:tcPr>
            <w:tcW w:w="352" w:type="dxa"/>
            <w:tcBorders/>
            <w:shd w:fill="CCEEFF" w:val="clear"/>
            <w:vAlign w:val="bottom"/>
          </w:tcPr>
          <w:p>
            <w:pPr>
              <w:pStyle w:val="TableContents"/>
              <w:spacing w:before="0" w:after="283"/>
              <w:rPr/>
            </w:pPr>
            <w:r>
              <w:rPr/>
              <w:t> </w:t>
            </w:r>
          </w:p>
        </w:tc>
      </w:tr>
      <w:tr>
        <w:trPr/>
        <w:tc>
          <w:tcPr>
            <w:tcW w:w="4639"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May 2013</w:t>
            </w:r>
          </w:p>
        </w:tc>
        <w:tc>
          <w:tcPr>
            <w:tcW w:w="351" w:type="dxa"/>
            <w:tcBorders/>
            <w:shd w:fill="FFFFFF" w:val="clear"/>
            <w:vAlign w:val="bottom"/>
          </w:tcPr>
          <w:p>
            <w:pPr>
              <w:pStyle w:val="TableContents"/>
              <w:spacing w:before="0" w:after="283"/>
              <w:rPr/>
            </w:pPr>
            <w:r>
              <w:rPr/>
              <w:t> </w:t>
            </w:r>
          </w:p>
        </w:tc>
        <w:tc>
          <w:tcPr>
            <w:tcW w:w="205" w:type="dxa"/>
            <w:tcBorders/>
            <w:shd w:fill="FFFFFF" w:val="clear"/>
            <w:vAlign w:val="bottom"/>
          </w:tcPr>
          <w:p>
            <w:pPr>
              <w:pStyle w:val="TableContents"/>
              <w:spacing w:before="0" w:after="283"/>
              <w:rPr/>
            </w:pPr>
            <w:r>
              <w:rPr/>
              <w:t> </w:t>
            </w:r>
          </w:p>
        </w:tc>
        <w:tc>
          <w:tcPr>
            <w:tcW w:w="947" w:type="dxa"/>
            <w:tcBorders/>
            <w:shd w:fill="FFFFFF" w:val="clear"/>
            <w:vAlign w:val="bottom"/>
          </w:tcPr>
          <w:p>
            <w:pPr>
              <w:pStyle w:val="TableContents"/>
              <w:spacing w:before="0" w:after="283"/>
              <w:jc w:val="right"/>
              <w:rPr>
                <w:rFonts w:ascii="times" w:hAnsi="times"/>
                <w:sz w:val="20"/>
              </w:rPr>
            </w:pPr>
            <w:r>
              <w:rPr>
                <w:rFonts w:ascii="times" w:hAnsi="times"/>
                <w:sz w:val="20"/>
              </w:rPr>
              <w:t>32.76</w:t>
            </w:r>
          </w:p>
        </w:tc>
        <w:tc>
          <w:tcPr>
            <w:tcW w:w="352" w:type="dxa"/>
            <w:tcBorders/>
            <w:shd w:fill="FFFFFF" w:val="clear"/>
            <w:vAlign w:val="bottom"/>
          </w:tcPr>
          <w:p>
            <w:pPr>
              <w:pStyle w:val="TableContents"/>
              <w:spacing w:before="0" w:after="283"/>
              <w:rPr/>
            </w:pPr>
            <w:r>
              <w:rPr/>
              <w:t> </w:t>
            </w:r>
          </w:p>
        </w:tc>
        <w:tc>
          <w:tcPr>
            <w:tcW w:w="205" w:type="dxa"/>
            <w:tcBorders/>
            <w:shd w:fill="FFFFFF" w:val="clear"/>
            <w:vAlign w:val="bottom"/>
          </w:tcPr>
          <w:p>
            <w:pPr>
              <w:pStyle w:val="TableContents"/>
              <w:spacing w:before="0" w:after="283"/>
              <w:rPr/>
            </w:pPr>
            <w:r>
              <w:rPr/>
              <w:t> </w:t>
            </w:r>
          </w:p>
        </w:tc>
        <w:tc>
          <w:tcPr>
            <w:tcW w:w="947" w:type="dxa"/>
            <w:tcBorders/>
            <w:shd w:fill="FFFFFF" w:val="clear"/>
            <w:vAlign w:val="bottom"/>
          </w:tcPr>
          <w:p>
            <w:pPr>
              <w:pStyle w:val="TableContents"/>
              <w:spacing w:before="0" w:after="283"/>
              <w:jc w:val="right"/>
              <w:rPr>
                <w:rFonts w:ascii="times" w:hAnsi="times"/>
                <w:sz w:val="20"/>
              </w:rPr>
            </w:pPr>
            <w:r>
              <w:rPr>
                <w:rFonts w:ascii="times" w:hAnsi="times"/>
                <w:sz w:val="20"/>
              </w:rPr>
              <w:t>27.66</w:t>
            </w:r>
          </w:p>
        </w:tc>
        <w:tc>
          <w:tcPr>
            <w:tcW w:w="352" w:type="dxa"/>
            <w:tcBorders/>
            <w:shd w:fill="FFFFFF" w:val="clear"/>
            <w:vAlign w:val="bottom"/>
          </w:tcPr>
          <w:p>
            <w:pPr>
              <w:pStyle w:val="TableContents"/>
              <w:spacing w:before="0" w:after="283"/>
              <w:rPr/>
            </w:pPr>
            <w:r>
              <w:rPr/>
              <w:t> </w:t>
            </w:r>
          </w:p>
        </w:tc>
        <w:tc>
          <w:tcPr>
            <w:tcW w:w="205" w:type="dxa"/>
            <w:tcBorders/>
            <w:shd w:fill="FFFFFF" w:val="clear"/>
            <w:vAlign w:val="bottom"/>
          </w:tcPr>
          <w:p>
            <w:pPr>
              <w:pStyle w:val="TableContents"/>
              <w:spacing w:before="0" w:after="283"/>
              <w:rPr/>
            </w:pPr>
            <w:r>
              <w:rPr/>
              <w:t> </w:t>
            </w:r>
          </w:p>
        </w:tc>
        <w:tc>
          <w:tcPr>
            <w:tcW w:w="1650" w:type="dxa"/>
            <w:tcBorders/>
            <w:shd w:fill="FFFFFF" w:val="clear"/>
            <w:vAlign w:val="bottom"/>
          </w:tcPr>
          <w:p>
            <w:pPr>
              <w:pStyle w:val="TableContents"/>
              <w:spacing w:before="0" w:after="283"/>
              <w:jc w:val="right"/>
              <w:rPr>
                <w:rFonts w:ascii="times" w:hAnsi="times"/>
                <w:sz w:val="20"/>
              </w:rPr>
            </w:pPr>
            <w:r>
              <w:rPr>
                <w:rFonts w:ascii="times" w:hAnsi="times"/>
                <w:sz w:val="20"/>
              </w:rPr>
              <w:t>1,874,144</w:t>
            </w:r>
          </w:p>
        </w:tc>
        <w:tc>
          <w:tcPr>
            <w:tcW w:w="352" w:type="dxa"/>
            <w:tcBorders/>
            <w:shd w:fill="FFFFFF" w:val="clear"/>
            <w:vAlign w:val="bottom"/>
          </w:tcPr>
          <w:p>
            <w:pPr>
              <w:pStyle w:val="TableContents"/>
              <w:spacing w:before="0" w:after="283"/>
              <w:rPr/>
            </w:pPr>
            <w:r>
              <w:rPr/>
              <w:t> </w:t>
            </w:r>
          </w:p>
        </w:tc>
      </w:tr>
      <w:tr>
        <w:trPr/>
        <w:tc>
          <w:tcPr>
            <w:tcW w:w="463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June 2013 (to June 27, 2013)</w:t>
            </w:r>
          </w:p>
        </w:tc>
        <w:tc>
          <w:tcPr>
            <w:tcW w:w="351"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947" w:type="dxa"/>
            <w:tcBorders/>
            <w:shd w:fill="CCEEFF" w:val="clear"/>
            <w:vAlign w:val="bottom"/>
          </w:tcPr>
          <w:p>
            <w:pPr>
              <w:pStyle w:val="TableContents"/>
              <w:spacing w:before="0" w:after="283"/>
              <w:jc w:val="right"/>
              <w:rPr>
                <w:rFonts w:ascii="times" w:hAnsi="times"/>
                <w:sz w:val="20"/>
              </w:rPr>
            </w:pPr>
            <w:r>
              <w:rPr>
                <w:rFonts w:ascii="times" w:hAnsi="times"/>
                <w:sz w:val="20"/>
              </w:rPr>
              <w:t>33.56</w:t>
            </w:r>
          </w:p>
        </w:tc>
        <w:tc>
          <w:tcPr>
            <w:tcW w:w="352"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947" w:type="dxa"/>
            <w:tcBorders/>
            <w:shd w:fill="CCEEFF" w:val="clear"/>
            <w:vAlign w:val="bottom"/>
          </w:tcPr>
          <w:p>
            <w:pPr>
              <w:pStyle w:val="TableContents"/>
              <w:spacing w:before="0" w:after="283"/>
              <w:jc w:val="right"/>
              <w:rPr>
                <w:rFonts w:ascii="times" w:hAnsi="times"/>
                <w:sz w:val="20"/>
              </w:rPr>
            </w:pPr>
            <w:r>
              <w:rPr>
                <w:rFonts w:ascii="times" w:hAnsi="times"/>
                <w:sz w:val="20"/>
              </w:rPr>
              <w:t>25.00</w:t>
            </w:r>
          </w:p>
        </w:tc>
        <w:tc>
          <w:tcPr>
            <w:tcW w:w="352"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1650" w:type="dxa"/>
            <w:tcBorders/>
            <w:shd w:fill="CCEEFF" w:val="clear"/>
            <w:vAlign w:val="bottom"/>
          </w:tcPr>
          <w:p>
            <w:pPr>
              <w:pStyle w:val="TableContents"/>
              <w:spacing w:before="0" w:after="283"/>
              <w:jc w:val="right"/>
              <w:rPr>
                <w:rFonts w:ascii="times" w:hAnsi="times"/>
                <w:sz w:val="20"/>
              </w:rPr>
            </w:pPr>
            <w:r>
              <w:rPr>
                <w:rFonts w:ascii="times" w:hAnsi="times"/>
                <w:sz w:val="20"/>
              </w:rPr>
              <w:t>1,864,697</w:t>
            </w:r>
          </w:p>
        </w:tc>
        <w:tc>
          <w:tcPr>
            <w:tcW w:w="352" w:type="dxa"/>
            <w:tcBorders/>
            <w:shd w:fill="CCEEFF" w:val="clear"/>
            <w:vAlign w:val="bottom"/>
          </w:tcPr>
          <w:p>
            <w:pPr>
              <w:pStyle w:val="TableContents"/>
              <w:spacing w:before="0" w:after="283"/>
              <w:rPr/>
            </w:pPr>
            <w:r>
              <w:rPr/>
              <w:t> </w:t>
            </w:r>
          </w:p>
        </w:tc>
      </w:tr>
    </w:tbl>
    <w:p>
      <w:pPr>
        <w:pStyle w:val="HorizontalLine"/>
        <w:pBdr>
          <w:bottom w:val="single" w:sz="6" w:space="0" w:color="000000"/>
        </w:pBdr>
        <w:ind w:left="0" w:right="8981" w:hanging="0"/>
        <w:rPr/>
      </w:pPr>
      <w:r>
        <w:rPr/>
      </w:r>
    </w:p>
    <w:p>
      <w:pPr>
        <w:pStyle w:val="TextBody"/>
        <w:jc w:val="both"/>
        <w:rPr>
          <w:rFonts w:ascii="times" w:hAnsi="times"/>
          <w:sz w:val="14"/>
        </w:rPr>
      </w:pPr>
      <w:r>
        <w:rPr>
          <w:rFonts w:ascii="times" w:hAnsi="times"/>
          <w:sz w:val="14"/>
        </w:rPr>
        <w:t xml:space="preserve">Source: Bloomberg </w:t>
      </w:r>
    </w:p>
    <w:p>
      <w:pPr>
        <w:pStyle w:val="TextBody"/>
        <w:jc w:val="both"/>
        <w:rPr/>
      </w:pPr>
      <w:r>
        <w:rPr/>
        <w:t>        </w:t>
      </w:r>
      <w:r>
        <w:rPr>
          <w:rFonts w:ascii="times" w:hAnsi="times"/>
          <w:sz w:val="20"/>
        </w:rPr>
        <w:t xml:space="preserve">On June 27, 2013 the closing price of the common shares was C$26.54 on the TSX and $25.39 on the NYSE. The registrar and transfer agent for the common shares is Computershare Trust Company of Canada, Toronto, Ontario. </w:t>
      </w:r>
    </w:p>
    <w:p>
      <w:pPr>
        <w:pStyle w:val="TextBody"/>
        <w:jc w:val="both"/>
        <w:rPr/>
      </w:pPr>
      <w:r>
        <w:rPr/>
        <w:t>        </w:t>
      </w:r>
      <w:r>
        <w:rPr>
          <w:rFonts w:ascii="times" w:hAnsi="times"/>
          <w:sz w:val="20"/>
        </w:rPr>
        <w:t xml:space="preserve">The following table sets forth the high and low sale prices and average daily trading volume for the Company's common share purchase warrants (the "Warrants") on the TSX since June 1, 2012. </w:t>
      </w:r>
    </w:p>
    <w:tbl>
      <w:tblPr>
        <w:tblW w:w="5000" w:type="pct"/>
        <w:jc w:val="center"/>
        <w:tblInd w:w="0" w:type="dxa"/>
        <w:tblCellMar>
          <w:top w:w="0" w:type="dxa"/>
          <w:left w:w="0" w:type="dxa"/>
          <w:bottom w:w="0" w:type="dxa"/>
          <w:right w:w="0" w:type="dxa"/>
        </w:tblCellMar>
      </w:tblPr>
      <w:tblGrid>
        <w:gridCol w:w="4972"/>
        <w:gridCol w:w="376"/>
        <w:gridCol w:w="220"/>
        <w:gridCol w:w="1015"/>
        <w:gridCol w:w="377"/>
        <w:gridCol w:w="220"/>
        <w:gridCol w:w="816"/>
        <w:gridCol w:w="377"/>
        <w:gridCol w:w="220"/>
        <w:gridCol w:w="1235"/>
        <w:gridCol w:w="377"/>
      </w:tblGrid>
      <w:tr>
        <w:trPr/>
        <w:tc>
          <w:tcPr>
            <w:tcW w:w="4972" w:type="dxa"/>
            <w:tcBorders/>
            <w:shd w:fill="auto" w:val="clear"/>
            <w:vAlign w:val="center"/>
          </w:tcPr>
          <w:p>
            <w:pPr>
              <w:pStyle w:val="TableContents"/>
              <w:spacing w:before="0" w:after="283"/>
              <w:rPr>
                <w:sz w:val="4"/>
                <w:szCs w:val="4"/>
              </w:rPr>
            </w:pPr>
            <w:r>
              <w:rPr>
                <w:sz w:val="4"/>
                <w:szCs w:val="4"/>
              </w:rPr>
            </w:r>
          </w:p>
        </w:tc>
        <w:tc>
          <w:tcPr>
            <w:tcW w:w="376" w:type="dxa"/>
            <w:tcBorders/>
            <w:shd w:fill="auto" w:val="clear"/>
            <w:vAlign w:val="center"/>
          </w:tcPr>
          <w:p>
            <w:pPr>
              <w:pStyle w:val="TableContents"/>
              <w:spacing w:before="0" w:after="283"/>
              <w:rPr>
                <w:sz w:val="4"/>
                <w:szCs w:val="4"/>
              </w:rPr>
            </w:pPr>
            <w:r>
              <w:rPr>
                <w:sz w:val="4"/>
                <w:szCs w:val="4"/>
              </w:rPr>
            </w:r>
          </w:p>
        </w:tc>
        <w:tc>
          <w:tcPr>
            <w:tcW w:w="220" w:type="dxa"/>
            <w:tcBorders/>
            <w:shd w:fill="auto" w:val="clear"/>
            <w:vAlign w:val="center"/>
          </w:tcPr>
          <w:p>
            <w:pPr>
              <w:pStyle w:val="TableContents"/>
              <w:spacing w:before="0" w:after="283"/>
              <w:rPr>
                <w:sz w:val="4"/>
                <w:szCs w:val="4"/>
              </w:rPr>
            </w:pPr>
            <w:r>
              <w:rPr>
                <w:sz w:val="4"/>
                <w:szCs w:val="4"/>
              </w:rPr>
            </w:r>
          </w:p>
        </w:tc>
        <w:tc>
          <w:tcPr>
            <w:tcW w:w="1015" w:type="dxa"/>
            <w:tcBorders/>
            <w:shd w:fill="auto" w:val="clear"/>
            <w:vAlign w:val="center"/>
          </w:tcPr>
          <w:p>
            <w:pPr>
              <w:pStyle w:val="TableContents"/>
              <w:spacing w:before="0" w:after="283"/>
              <w:rPr>
                <w:sz w:val="4"/>
                <w:szCs w:val="4"/>
              </w:rPr>
            </w:pPr>
            <w:r>
              <w:rPr>
                <w:sz w:val="4"/>
                <w:szCs w:val="4"/>
              </w:rPr>
            </w:r>
          </w:p>
        </w:tc>
        <w:tc>
          <w:tcPr>
            <w:tcW w:w="377" w:type="dxa"/>
            <w:tcBorders/>
            <w:shd w:fill="auto" w:val="clear"/>
            <w:vAlign w:val="center"/>
          </w:tcPr>
          <w:p>
            <w:pPr>
              <w:pStyle w:val="TableContents"/>
              <w:spacing w:before="0" w:after="283"/>
              <w:rPr>
                <w:sz w:val="4"/>
                <w:szCs w:val="4"/>
              </w:rPr>
            </w:pPr>
            <w:r>
              <w:rPr>
                <w:sz w:val="4"/>
                <w:szCs w:val="4"/>
              </w:rPr>
            </w:r>
          </w:p>
        </w:tc>
        <w:tc>
          <w:tcPr>
            <w:tcW w:w="220" w:type="dxa"/>
            <w:tcBorders/>
            <w:shd w:fill="auto" w:val="clear"/>
            <w:vAlign w:val="center"/>
          </w:tcPr>
          <w:p>
            <w:pPr>
              <w:pStyle w:val="TableContents"/>
              <w:spacing w:before="0" w:after="283"/>
              <w:rPr>
                <w:sz w:val="4"/>
                <w:szCs w:val="4"/>
              </w:rPr>
            </w:pPr>
            <w:r>
              <w:rPr>
                <w:sz w:val="4"/>
                <w:szCs w:val="4"/>
              </w:rPr>
            </w:r>
          </w:p>
        </w:tc>
        <w:tc>
          <w:tcPr>
            <w:tcW w:w="816" w:type="dxa"/>
            <w:tcBorders/>
            <w:shd w:fill="auto" w:val="clear"/>
            <w:vAlign w:val="center"/>
          </w:tcPr>
          <w:p>
            <w:pPr>
              <w:pStyle w:val="TableContents"/>
              <w:spacing w:before="0" w:after="283"/>
              <w:rPr>
                <w:sz w:val="4"/>
                <w:szCs w:val="4"/>
              </w:rPr>
            </w:pPr>
            <w:r>
              <w:rPr>
                <w:sz w:val="4"/>
                <w:szCs w:val="4"/>
              </w:rPr>
            </w:r>
          </w:p>
        </w:tc>
        <w:tc>
          <w:tcPr>
            <w:tcW w:w="377" w:type="dxa"/>
            <w:tcBorders/>
            <w:shd w:fill="auto" w:val="clear"/>
            <w:vAlign w:val="center"/>
          </w:tcPr>
          <w:p>
            <w:pPr>
              <w:pStyle w:val="TableContents"/>
              <w:spacing w:before="0" w:after="283"/>
              <w:rPr>
                <w:sz w:val="4"/>
                <w:szCs w:val="4"/>
              </w:rPr>
            </w:pPr>
            <w:r>
              <w:rPr>
                <w:sz w:val="4"/>
                <w:szCs w:val="4"/>
              </w:rPr>
            </w:r>
          </w:p>
        </w:tc>
        <w:tc>
          <w:tcPr>
            <w:tcW w:w="220" w:type="dxa"/>
            <w:tcBorders/>
            <w:shd w:fill="auto" w:val="clear"/>
            <w:vAlign w:val="center"/>
          </w:tcPr>
          <w:p>
            <w:pPr>
              <w:pStyle w:val="TableContents"/>
              <w:spacing w:before="0" w:after="283"/>
              <w:rPr>
                <w:sz w:val="4"/>
                <w:szCs w:val="4"/>
              </w:rPr>
            </w:pPr>
            <w:r>
              <w:rPr>
                <w:sz w:val="4"/>
                <w:szCs w:val="4"/>
              </w:rPr>
            </w:r>
          </w:p>
        </w:tc>
        <w:tc>
          <w:tcPr>
            <w:tcW w:w="1235" w:type="dxa"/>
            <w:tcBorders/>
            <w:shd w:fill="auto" w:val="clear"/>
            <w:vAlign w:val="center"/>
          </w:tcPr>
          <w:p>
            <w:pPr>
              <w:pStyle w:val="TableContents"/>
              <w:spacing w:before="0" w:after="283"/>
              <w:rPr>
                <w:sz w:val="4"/>
                <w:szCs w:val="4"/>
              </w:rPr>
            </w:pPr>
            <w:r>
              <w:rPr>
                <w:sz w:val="4"/>
                <w:szCs w:val="4"/>
              </w:rPr>
            </w:r>
          </w:p>
        </w:tc>
        <w:tc>
          <w:tcPr>
            <w:tcW w:w="377" w:type="dxa"/>
            <w:tcBorders/>
            <w:shd w:fill="auto" w:val="clear"/>
            <w:vAlign w:val="center"/>
          </w:tcPr>
          <w:p>
            <w:pPr>
              <w:pStyle w:val="TableContents"/>
              <w:spacing w:before="0" w:after="283"/>
              <w:rPr>
                <w:sz w:val="4"/>
                <w:szCs w:val="4"/>
              </w:rPr>
            </w:pPr>
            <w:r>
              <w:rPr>
                <w:sz w:val="4"/>
                <w:szCs w:val="4"/>
              </w:rPr>
            </w:r>
          </w:p>
        </w:tc>
      </w:tr>
      <w:tr>
        <w:trPr/>
        <w:tc>
          <w:tcPr>
            <w:tcW w:w="4972" w:type="dxa"/>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Month </w:t>
            </w:r>
          </w:p>
        </w:tc>
        <w:tc>
          <w:tcPr>
            <w:tcW w:w="376" w:type="dxa"/>
            <w:tcBorders/>
            <w:shd w:fill="auto" w:val="clear"/>
            <w:vAlign w:val="bottom"/>
          </w:tcPr>
          <w:p>
            <w:pPr>
              <w:pStyle w:val="TableHeading"/>
              <w:suppressLineNumbers/>
              <w:spacing w:before="0" w:after="283"/>
              <w:jc w:val="center"/>
              <w:rPr/>
            </w:pPr>
            <w:r>
              <w:rPr/>
              <w:t> </w:t>
            </w:r>
          </w:p>
        </w:tc>
        <w:tc>
          <w:tcPr>
            <w:tcW w:w="123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High</w:t>
              <w:br/>
              <w:t xml:space="preserve">($) </w:t>
            </w:r>
          </w:p>
        </w:tc>
        <w:tc>
          <w:tcPr>
            <w:tcW w:w="377" w:type="dxa"/>
            <w:tcBorders/>
            <w:shd w:fill="auto" w:val="clear"/>
            <w:vAlign w:val="bottom"/>
          </w:tcPr>
          <w:p>
            <w:pPr>
              <w:pStyle w:val="TableHeading"/>
              <w:suppressLineNumbers/>
              <w:spacing w:before="0" w:after="283"/>
              <w:jc w:val="center"/>
              <w:rPr/>
            </w:pPr>
            <w:r>
              <w:rPr/>
              <w:t> </w:t>
            </w:r>
          </w:p>
        </w:tc>
        <w:tc>
          <w:tcPr>
            <w:tcW w:w="1036"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Low</w:t>
              <w:br/>
              <w:t xml:space="preserve">($) </w:t>
            </w:r>
          </w:p>
        </w:tc>
        <w:tc>
          <w:tcPr>
            <w:tcW w:w="377" w:type="dxa"/>
            <w:tcBorders/>
            <w:shd w:fill="auto" w:val="clear"/>
            <w:vAlign w:val="bottom"/>
          </w:tcPr>
          <w:p>
            <w:pPr>
              <w:pStyle w:val="TableHeading"/>
              <w:suppressLineNumbers/>
              <w:spacing w:before="0" w:after="283"/>
              <w:jc w:val="center"/>
              <w:rPr/>
            </w:pPr>
            <w:r>
              <w:rPr/>
              <w:t> </w:t>
            </w:r>
          </w:p>
        </w:tc>
        <w:tc>
          <w:tcPr>
            <w:tcW w:w="145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Average</w:t>
              <w:br/>
              <w:t>Daily</w:t>
              <w:br/>
              <w:t xml:space="preserve">Volume </w:t>
            </w:r>
          </w:p>
        </w:tc>
        <w:tc>
          <w:tcPr>
            <w:tcW w:w="377" w:type="dxa"/>
            <w:tcBorders/>
            <w:shd w:fill="auto" w:val="clear"/>
            <w:vAlign w:val="bottom"/>
          </w:tcPr>
          <w:p>
            <w:pPr>
              <w:pStyle w:val="TableHeading"/>
              <w:suppressLineNumbers/>
              <w:spacing w:before="0" w:after="283"/>
              <w:jc w:val="center"/>
              <w:rPr/>
            </w:pPr>
            <w:r>
              <w:rPr/>
              <w:t> </w:t>
            </w:r>
          </w:p>
        </w:tc>
      </w:tr>
      <w:tr>
        <w:trPr/>
        <w:tc>
          <w:tcPr>
            <w:tcW w:w="4972"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June 2012</w:t>
            </w:r>
          </w:p>
        </w:tc>
        <w:tc>
          <w:tcPr>
            <w:tcW w:w="376"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1015" w:type="dxa"/>
            <w:tcBorders/>
            <w:shd w:fill="CCEEFF" w:val="clear"/>
            <w:vAlign w:val="bottom"/>
          </w:tcPr>
          <w:p>
            <w:pPr>
              <w:pStyle w:val="TableContents"/>
              <w:spacing w:before="0" w:after="283"/>
              <w:jc w:val="right"/>
              <w:rPr>
                <w:rFonts w:ascii="times" w:hAnsi="times"/>
                <w:sz w:val="20"/>
              </w:rPr>
            </w:pPr>
            <w:r>
              <w:rPr>
                <w:rFonts w:ascii="times" w:hAnsi="times"/>
                <w:sz w:val="20"/>
              </w:rPr>
              <w:t>6.53</w:t>
            </w:r>
          </w:p>
        </w:tc>
        <w:tc>
          <w:tcPr>
            <w:tcW w:w="377"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816" w:type="dxa"/>
            <w:tcBorders/>
            <w:shd w:fill="CCEEFF" w:val="clear"/>
            <w:vAlign w:val="bottom"/>
          </w:tcPr>
          <w:p>
            <w:pPr>
              <w:pStyle w:val="TableContents"/>
              <w:spacing w:before="0" w:after="283"/>
              <w:jc w:val="right"/>
              <w:rPr>
                <w:rFonts w:ascii="times" w:hAnsi="times"/>
                <w:sz w:val="20"/>
              </w:rPr>
            </w:pPr>
            <w:r>
              <w:rPr>
                <w:rFonts w:ascii="times" w:hAnsi="times"/>
                <w:sz w:val="20"/>
              </w:rPr>
              <w:t>4.50</w:t>
            </w:r>
          </w:p>
        </w:tc>
        <w:tc>
          <w:tcPr>
            <w:tcW w:w="377"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1235" w:type="dxa"/>
            <w:tcBorders/>
            <w:shd w:fill="CCEEFF" w:val="clear"/>
            <w:vAlign w:val="bottom"/>
          </w:tcPr>
          <w:p>
            <w:pPr>
              <w:pStyle w:val="TableContents"/>
              <w:spacing w:before="0" w:after="283"/>
              <w:jc w:val="right"/>
              <w:rPr>
                <w:rFonts w:ascii="times" w:hAnsi="times"/>
                <w:sz w:val="20"/>
              </w:rPr>
            </w:pPr>
            <w:r>
              <w:rPr>
                <w:rFonts w:ascii="times" w:hAnsi="times"/>
                <w:sz w:val="20"/>
              </w:rPr>
              <w:t>12,034</w:t>
            </w:r>
          </w:p>
        </w:tc>
        <w:tc>
          <w:tcPr>
            <w:tcW w:w="377" w:type="dxa"/>
            <w:tcBorders/>
            <w:shd w:fill="CCEEFF" w:val="clear"/>
            <w:vAlign w:val="bottom"/>
          </w:tcPr>
          <w:p>
            <w:pPr>
              <w:pStyle w:val="TableContents"/>
              <w:spacing w:before="0" w:after="283"/>
              <w:rPr/>
            </w:pPr>
            <w:r>
              <w:rPr/>
              <w:t> </w:t>
            </w:r>
          </w:p>
        </w:tc>
      </w:tr>
      <w:tr>
        <w:trPr/>
        <w:tc>
          <w:tcPr>
            <w:tcW w:w="4972"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July 2012</w:t>
            </w:r>
          </w:p>
        </w:tc>
        <w:tc>
          <w:tcPr>
            <w:tcW w:w="376" w:type="dxa"/>
            <w:tcBorders/>
            <w:shd w:fill="FFFFFF" w:val="clear"/>
            <w:vAlign w:val="bottom"/>
          </w:tcPr>
          <w:p>
            <w:pPr>
              <w:pStyle w:val="TableContents"/>
              <w:spacing w:before="0" w:after="283"/>
              <w:rPr/>
            </w:pPr>
            <w:r>
              <w:rPr/>
              <w:t> </w:t>
            </w:r>
          </w:p>
        </w:tc>
        <w:tc>
          <w:tcPr>
            <w:tcW w:w="220" w:type="dxa"/>
            <w:tcBorders/>
            <w:shd w:fill="FFFFFF" w:val="clear"/>
            <w:vAlign w:val="bottom"/>
          </w:tcPr>
          <w:p>
            <w:pPr>
              <w:pStyle w:val="TableContents"/>
              <w:spacing w:before="0" w:after="283"/>
              <w:rPr/>
            </w:pPr>
            <w:r>
              <w:rPr/>
              <w:t> </w:t>
            </w:r>
          </w:p>
        </w:tc>
        <w:tc>
          <w:tcPr>
            <w:tcW w:w="1015" w:type="dxa"/>
            <w:tcBorders/>
            <w:shd w:fill="FFFFFF" w:val="clear"/>
            <w:vAlign w:val="bottom"/>
          </w:tcPr>
          <w:p>
            <w:pPr>
              <w:pStyle w:val="TableContents"/>
              <w:spacing w:before="0" w:after="283"/>
              <w:jc w:val="right"/>
              <w:rPr>
                <w:rFonts w:ascii="times" w:hAnsi="times"/>
                <w:sz w:val="20"/>
              </w:rPr>
            </w:pPr>
            <w:r>
              <w:rPr>
                <w:rFonts w:ascii="times" w:hAnsi="times"/>
                <w:sz w:val="20"/>
              </w:rPr>
              <w:t>6.66</w:t>
            </w:r>
          </w:p>
        </w:tc>
        <w:tc>
          <w:tcPr>
            <w:tcW w:w="377" w:type="dxa"/>
            <w:tcBorders/>
            <w:shd w:fill="FFFFFF" w:val="clear"/>
            <w:vAlign w:val="bottom"/>
          </w:tcPr>
          <w:p>
            <w:pPr>
              <w:pStyle w:val="TableContents"/>
              <w:spacing w:before="0" w:after="283"/>
              <w:rPr/>
            </w:pPr>
            <w:r>
              <w:rPr/>
              <w:t> </w:t>
            </w:r>
          </w:p>
        </w:tc>
        <w:tc>
          <w:tcPr>
            <w:tcW w:w="220" w:type="dxa"/>
            <w:tcBorders/>
            <w:shd w:fill="FFFFFF" w:val="clear"/>
            <w:vAlign w:val="bottom"/>
          </w:tcPr>
          <w:p>
            <w:pPr>
              <w:pStyle w:val="TableContents"/>
              <w:spacing w:before="0" w:after="283"/>
              <w:rPr/>
            </w:pPr>
            <w:r>
              <w:rPr/>
              <w:t> </w:t>
            </w:r>
          </w:p>
        </w:tc>
        <w:tc>
          <w:tcPr>
            <w:tcW w:w="816" w:type="dxa"/>
            <w:tcBorders/>
            <w:shd w:fill="FFFFFF" w:val="clear"/>
            <w:vAlign w:val="bottom"/>
          </w:tcPr>
          <w:p>
            <w:pPr>
              <w:pStyle w:val="TableContents"/>
              <w:spacing w:before="0" w:after="283"/>
              <w:jc w:val="right"/>
              <w:rPr>
                <w:rFonts w:ascii="times" w:hAnsi="times"/>
                <w:sz w:val="20"/>
              </w:rPr>
            </w:pPr>
            <w:r>
              <w:rPr>
                <w:rFonts w:ascii="times" w:hAnsi="times"/>
                <w:sz w:val="20"/>
              </w:rPr>
              <w:t>3.50</w:t>
            </w:r>
          </w:p>
        </w:tc>
        <w:tc>
          <w:tcPr>
            <w:tcW w:w="377" w:type="dxa"/>
            <w:tcBorders/>
            <w:shd w:fill="FFFFFF" w:val="clear"/>
            <w:vAlign w:val="bottom"/>
          </w:tcPr>
          <w:p>
            <w:pPr>
              <w:pStyle w:val="TableContents"/>
              <w:spacing w:before="0" w:after="283"/>
              <w:rPr/>
            </w:pPr>
            <w:r>
              <w:rPr/>
              <w:t> </w:t>
            </w:r>
          </w:p>
        </w:tc>
        <w:tc>
          <w:tcPr>
            <w:tcW w:w="220" w:type="dxa"/>
            <w:tcBorders/>
            <w:shd w:fill="FFFFFF" w:val="clear"/>
            <w:vAlign w:val="bottom"/>
          </w:tcPr>
          <w:p>
            <w:pPr>
              <w:pStyle w:val="TableContents"/>
              <w:spacing w:before="0" w:after="283"/>
              <w:rPr/>
            </w:pPr>
            <w:r>
              <w:rPr/>
              <w:t> </w:t>
            </w:r>
          </w:p>
        </w:tc>
        <w:tc>
          <w:tcPr>
            <w:tcW w:w="1235" w:type="dxa"/>
            <w:tcBorders/>
            <w:shd w:fill="FFFFFF" w:val="clear"/>
            <w:vAlign w:val="bottom"/>
          </w:tcPr>
          <w:p>
            <w:pPr>
              <w:pStyle w:val="TableContents"/>
              <w:spacing w:before="0" w:after="283"/>
              <w:jc w:val="right"/>
              <w:rPr>
                <w:rFonts w:ascii="times" w:hAnsi="times"/>
                <w:sz w:val="20"/>
              </w:rPr>
            </w:pPr>
            <w:r>
              <w:rPr>
                <w:rFonts w:ascii="times" w:hAnsi="times"/>
                <w:sz w:val="20"/>
              </w:rPr>
              <w:t>13,468</w:t>
            </w:r>
          </w:p>
        </w:tc>
        <w:tc>
          <w:tcPr>
            <w:tcW w:w="377" w:type="dxa"/>
            <w:tcBorders/>
            <w:shd w:fill="FFFFFF" w:val="clear"/>
            <w:vAlign w:val="bottom"/>
          </w:tcPr>
          <w:p>
            <w:pPr>
              <w:pStyle w:val="TableContents"/>
              <w:spacing w:before="0" w:after="283"/>
              <w:rPr/>
            </w:pPr>
            <w:r>
              <w:rPr/>
              <w:t> </w:t>
            </w:r>
          </w:p>
        </w:tc>
      </w:tr>
      <w:tr>
        <w:trPr/>
        <w:tc>
          <w:tcPr>
            <w:tcW w:w="4972"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August 2012</w:t>
            </w:r>
          </w:p>
        </w:tc>
        <w:tc>
          <w:tcPr>
            <w:tcW w:w="376"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1015" w:type="dxa"/>
            <w:tcBorders/>
            <w:shd w:fill="CCEEFF" w:val="clear"/>
            <w:vAlign w:val="bottom"/>
          </w:tcPr>
          <w:p>
            <w:pPr>
              <w:pStyle w:val="TableContents"/>
              <w:spacing w:before="0" w:after="283"/>
              <w:jc w:val="right"/>
              <w:rPr>
                <w:rFonts w:ascii="times" w:hAnsi="times"/>
                <w:sz w:val="20"/>
              </w:rPr>
            </w:pPr>
            <w:r>
              <w:rPr>
                <w:rFonts w:ascii="times" w:hAnsi="times"/>
                <w:sz w:val="20"/>
              </w:rPr>
              <w:t>8.77</w:t>
            </w:r>
          </w:p>
        </w:tc>
        <w:tc>
          <w:tcPr>
            <w:tcW w:w="377"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816" w:type="dxa"/>
            <w:tcBorders/>
            <w:shd w:fill="CCEEFF" w:val="clear"/>
            <w:vAlign w:val="bottom"/>
          </w:tcPr>
          <w:p>
            <w:pPr>
              <w:pStyle w:val="TableContents"/>
              <w:spacing w:before="0" w:after="283"/>
              <w:jc w:val="right"/>
              <w:rPr>
                <w:rFonts w:ascii="times" w:hAnsi="times"/>
                <w:sz w:val="20"/>
              </w:rPr>
            </w:pPr>
            <w:r>
              <w:rPr>
                <w:rFonts w:ascii="times" w:hAnsi="times"/>
                <w:sz w:val="20"/>
              </w:rPr>
              <w:t>6.00</w:t>
            </w:r>
          </w:p>
        </w:tc>
        <w:tc>
          <w:tcPr>
            <w:tcW w:w="377"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1235" w:type="dxa"/>
            <w:tcBorders/>
            <w:shd w:fill="CCEEFF" w:val="clear"/>
            <w:vAlign w:val="bottom"/>
          </w:tcPr>
          <w:p>
            <w:pPr>
              <w:pStyle w:val="TableContents"/>
              <w:spacing w:before="0" w:after="283"/>
              <w:jc w:val="right"/>
              <w:rPr>
                <w:rFonts w:ascii="times" w:hAnsi="times"/>
                <w:sz w:val="20"/>
              </w:rPr>
            </w:pPr>
            <w:r>
              <w:rPr>
                <w:rFonts w:ascii="times" w:hAnsi="times"/>
                <w:sz w:val="20"/>
              </w:rPr>
              <w:t>6,970</w:t>
            </w:r>
          </w:p>
        </w:tc>
        <w:tc>
          <w:tcPr>
            <w:tcW w:w="377" w:type="dxa"/>
            <w:tcBorders/>
            <w:shd w:fill="CCEEFF" w:val="clear"/>
            <w:vAlign w:val="bottom"/>
          </w:tcPr>
          <w:p>
            <w:pPr>
              <w:pStyle w:val="TableContents"/>
              <w:spacing w:before="0" w:after="283"/>
              <w:rPr/>
            </w:pPr>
            <w:r>
              <w:rPr/>
              <w:t> </w:t>
            </w:r>
          </w:p>
        </w:tc>
      </w:tr>
      <w:tr>
        <w:trPr/>
        <w:tc>
          <w:tcPr>
            <w:tcW w:w="4972"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September 2012</w:t>
            </w:r>
          </w:p>
        </w:tc>
        <w:tc>
          <w:tcPr>
            <w:tcW w:w="376" w:type="dxa"/>
            <w:tcBorders/>
            <w:shd w:fill="FFFFFF" w:val="clear"/>
            <w:vAlign w:val="bottom"/>
          </w:tcPr>
          <w:p>
            <w:pPr>
              <w:pStyle w:val="TableContents"/>
              <w:spacing w:before="0" w:after="283"/>
              <w:rPr/>
            </w:pPr>
            <w:r>
              <w:rPr/>
              <w:t> </w:t>
            </w:r>
          </w:p>
        </w:tc>
        <w:tc>
          <w:tcPr>
            <w:tcW w:w="220" w:type="dxa"/>
            <w:tcBorders/>
            <w:shd w:fill="FFFFFF" w:val="clear"/>
            <w:vAlign w:val="bottom"/>
          </w:tcPr>
          <w:p>
            <w:pPr>
              <w:pStyle w:val="TableContents"/>
              <w:spacing w:before="0" w:after="283"/>
              <w:rPr/>
            </w:pPr>
            <w:r>
              <w:rPr/>
              <w:t> </w:t>
            </w:r>
          </w:p>
        </w:tc>
        <w:tc>
          <w:tcPr>
            <w:tcW w:w="1015" w:type="dxa"/>
            <w:tcBorders/>
            <w:shd w:fill="FFFFFF" w:val="clear"/>
            <w:vAlign w:val="bottom"/>
          </w:tcPr>
          <w:p>
            <w:pPr>
              <w:pStyle w:val="TableContents"/>
              <w:spacing w:before="0" w:after="283"/>
              <w:jc w:val="right"/>
              <w:rPr>
                <w:rFonts w:ascii="times" w:hAnsi="times"/>
                <w:sz w:val="20"/>
              </w:rPr>
            </w:pPr>
            <w:r>
              <w:rPr>
                <w:rFonts w:ascii="times" w:hAnsi="times"/>
                <w:sz w:val="20"/>
              </w:rPr>
              <w:t>11.20</w:t>
            </w:r>
          </w:p>
        </w:tc>
        <w:tc>
          <w:tcPr>
            <w:tcW w:w="377" w:type="dxa"/>
            <w:tcBorders/>
            <w:shd w:fill="FFFFFF" w:val="clear"/>
            <w:vAlign w:val="bottom"/>
          </w:tcPr>
          <w:p>
            <w:pPr>
              <w:pStyle w:val="TableContents"/>
              <w:spacing w:before="0" w:after="283"/>
              <w:rPr/>
            </w:pPr>
            <w:r>
              <w:rPr/>
              <w:t> </w:t>
            </w:r>
          </w:p>
        </w:tc>
        <w:tc>
          <w:tcPr>
            <w:tcW w:w="220" w:type="dxa"/>
            <w:tcBorders/>
            <w:shd w:fill="FFFFFF" w:val="clear"/>
            <w:vAlign w:val="bottom"/>
          </w:tcPr>
          <w:p>
            <w:pPr>
              <w:pStyle w:val="TableContents"/>
              <w:spacing w:before="0" w:after="283"/>
              <w:rPr/>
            </w:pPr>
            <w:r>
              <w:rPr/>
              <w:t> </w:t>
            </w:r>
          </w:p>
        </w:tc>
        <w:tc>
          <w:tcPr>
            <w:tcW w:w="816" w:type="dxa"/>
            <w:tcBorders/>
            <w:shd w:fill="FFFFFF" w:val="clear"/>
            <w:vAlign w:val="bottom"/>
          </w:tcPr>
          <w:p>
            <w:pPr>
              <w:pStyle w:val="TableContents"/>
              <w:spacing w:before="0" w:after="283"/>
              <w:jc w:val="right"/>
              <w:rPr>
                <w:rFonts w:ascii="times" w:hAnsi="times"/>
                <w:sz w:val="20"/>
              </w:rPr>
            </w:pPr>
            <w:r>
              <w:rPr>
                <w:rFonts w:ascii="times" w:hAnsi="times"/>
                <w:sz w:val="20"/>
              </w:rPr>
              <w:t>8.08</w:t>
            </w:r>
          </w:p>
        </w:tc>
        <w:tc>
          <w:tcPr>
            <w:tcW w:w="377" w:type="dxa"/>
            <w:tcBorders/>
            <w:shd w:fill="FFFFFF" w:val="clear"/>
            <w:vAlign w:val="bottom"/>
          </w:tcPr>
          <w:p>
            <w:pPr>
              <w:pStyle w:val="TableContents"/>
              <w:spacing w:before="0" w:after="283"/>
              <w:rPr/>
            </w:pPr>
            <w:r>
              <w:rPr/>
              <w:t> </w:t>
            </w:r>
          </w:p>
        </w:tc>
        <w:tc>
          <w:tcPr>
            <w:tcW w:w="220" w:type="dxa"/>
            <w:tcBorders/>
            <w:shd w:fill="FFFFFF" w:val="clear"/>
            <w:vAlign w:val="bottom"/>
          </w:tcPr>
          <w:p>
            <w:pPr>
              <w:pStyle w:val="TableContents"/>
              <w:spacing w:before="0" w:after="283"/>
              <w:rPr/>
            </w:pPr>
            <w:r>
              <w:rPr/>
              <w:t> </w:t>
            </w:r>
          </w:p>
        </w:tc>
        <w:tc>
          <w:tcPr>
            <w:tcW w:w="1235" w:type="dxa"/>
            <w:tcBorders/>
            <w:shd w:fill="FFFFFF" w:val="clear"/>
            <w:vAlign w:val="bottom"/>
          </w:tcPr>
          <w:p>
            <w:pPr>
              <w:pStyle w:val="TableContents"/>
              <w:spacing w:before="0" w:after="283"/>
              <w:jc w:val="right"/>
              <w:rPr>
                <w:rFonts w:ascii="times" w:hAnsi="times"/>
                <w:sz w:val="20"/>
              </w:rPr>
            </w:pPr>
            <w:r>
              <w:rPr>
                <w:rFonts w:ascii="times" w:hAnsi="times"/>
                <w:sz w:val="20"/>
              </w:rPr>
              <w:t>12,998</w:t>
            </w:r>
          </w:p>
        </w:tc>
        <w:tc>
          <w:tcPr>
            <w:tcW w:w="377" w:type="dxa"/>
            <w:tcBorders/>
            <w:shd w:fill="FFFFFF" w:val="clear"/>
            <w:vAlign w:val="bottom"/>
          </w:tcPr>
          <w:p>
            <w:pPr>
              <w:pStyle w:val="TableContents"/>
              <w:spacing w:before="0" w:after="283"/>
              <w:rPr/>
            </w:pPr>
            <w:r>
              <w:rPr/>
              <w:t> </w:t>
            </w:r>
          </w:p>
        </w:tc>
      </w:tr>
      <w:tr>
        <w:trPr/>
        <w:tc>
          <w:tcPr>
            <w:tcW w:w="4972"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October 2012</w:t>
            </w:r>
          </w:p>
        </w:tc>
        <w:tc>
          <w:tcPr>
            <w:tcW w:w="376"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1015" w:type="dxa"/>
            <w:tcBorders/>
            <w:shd w:fill="CCEEFF" w:val="clear"/>
            <w:vAlign w:val="bottom"/>
          </w:tcPr>
          <w:p>
            <w:pPr>
              <w:pStyle w:val="TableContents"/>
              <w:spacing w:before="0" w:after="283"/>
              <w:jc w:val="right"/>
              <w:rPr>
                <w:rFonts w:ascii="times" w:hAnsi="times"/>
                <w:sz w:val="20"/>
              </w:rPr>
            </w:pPr>
            <w:r>
              <w:rPr>
                <w:rFonts w:ascii="times" w:hAnsi="times"/>
                <w:sz w:val="20"/>
              </w:rPr>
              <w:t>13.00</w:t>
            </w:r>
          </w:p>
        </w:tc>
        <w:tc>
          <w:tcPr>
            <w:tcW w:w="377"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816" w:type="dxa"/>
            <w:tcBorders/>
            <w:shd w:fill="CCEEFF" w:val="clear"/>
            <w:vAlign w:val="bottom"/>
          </w:tcPr>
          <w:p>
            <w:pPr>
              <w:pStyle w:val="TableContents"/>
              <w:spacing w:before="0" w:after="283"/>
              <w:jc w:val="right"/>
              <w:rPr>
                <w:rFonts w:ascii="times" w:hAnsi="times"/>
                <w:sz w:val="20"/>
              </w:rPr>
            </w:pPr>
            <w:r>
              <w:rPr>
                <w:rFonts w:ascii="times" w:hAnsi="times"/>
                <w:sz w:val="20"/>
              </w:rPr>
              <w:t>9.50</w:t>
            </w:r>
          </w:p>
        </w:tc>
        <w:tc>
          <w:tcPr>
            <w:tcW w:w="377"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1235" w:type="dxa"/>
            <w:tcBorders/>
            <w:shd w:fill="CCEEFF" w:val="clear"/>
            <w:vAlign w:val="bottom"/>
          </w:tcPr>
          <w:p>
            <w:pPr>
              <w:pStyle w:val="TableContents"/>
              <w:spacing w:before="0" w:after="283"/>
              <w:jc w:val="right"/>
              <w:rPr>
                <w:rFonts w:ascii="times" w:hAnsi="times"/>
                <w:sz w:val="20"/>
              </w:rPr>
            </w:pPr>
            <w:r>
              <w:rPr>
                <w:rFonts w:ascii="times" w:hAnsi="times"/>
                <w:sz w:val="20"/>
              </w:rPr>
              <w:t>5,482</w:t>
            </w:r>
          </w:p>
        </w:tc>
        <w:tc>
          <w:tcPr>
            <w:tcW w:w="377" w:type="dxa"/>
            <w:tcBorders/>
            <w:shd w:fill="CCEEFF" w:val="clear"/>
            <w:vAlign w:val="bottom"/>
          </w:tcPr>
          <w:p>
            <w:pPr>
              <w:pStyle w:val="TableContents"/>
              <w:spacing w:before="0" w:after="283"/>
              <w:rPr/>
            </w:pPr>
            <w:r>
              <w:rPr/>
              <w:t> </w:t>
            </w:r>
          </w:p>
        </w:tc>
      </w:tr>
      <w:tr>
        <w:trPr/>
        <w:tc>
          <w:tcPr>
            <w:tcW w:w="4972"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November 2012</w:t>
            </w:r>
          </w:p>
        </w:tc>
        <w:tc>
          <w:tcPr>
            <w:tcW w:w="376" w:type="dxa"/>
            <w:tcBorders/>
            <w:shd w:fill="FFFFFF" w:val="clear"/>
            <w:vAlign w:val="bottom"/>
          </w:tcPr>
          <w:p>
            <w:pPr>
              <w:pStyle w:val="TableContents"/>
              <w:spacing w:before="0" w:after="283"/>
              <w:rPr/>
            </w:pPr>
            <w:r>
              <w:rPr/>
              <w:t> </w:t>
            </w:r>
          </w:p>
        </w:tc>
        <w:tc>
          <w:tcPr>
            <w:tcW w:w="220" w:type="dxa"/>
            <w:tcBorders/>
            <w:shd w:fill="FFFFFF" w:val="clear"/>
            <w:vAlign w:val="bottom"/>
          </w:tcPr>
          <w:p>
            <w:pPr>
              <w:pStyle w:val="TableContents"/>
              <w:spacing w:before="0" w:after="283"/>
              <w:rPr/>
            </w:pPr>
            <w:r>
              <w:rPr/>
              <w:t> </w:t>
            </w:r>
          </w:p>
        </w:tc>
        <w:tc>
          <w:tcPr>
            <w:tcW w:w="1015" w:type="dxa"/>
            <w:tcBorders/>
            <w:shd w:fill="FFFFFF" w:val="clear"/>
            <w:vAlign w:val="bottom"/>
          </w:tcPr>
          <w:p>
            <w:pPr>
              <w:pStyle w:val="TableContents"/>
              <w:spacing w:before="0" w:after="283"/>
              <w:jc w:val="right"/>
              <w:rPr>
                <w:rFonts w:ascii="times" w:hAnsi="times"/>
                <w:sz w:val="20"/>
              </w:rPr>
            </w:pPr>
            <w:r>
              <w:rPr>
                <w:rFonts w:ascii="times" w:hAnsi="times"/>
                <w:sz w:val="20"/>
              </w:rPr>
              <w:t>13.35</w:t>
            </w:r>
          </w:p>
        </w:tc>
        <w:tc>
          <w:tcPr>
            <w:tcW w:w="377" w:type="dxa"/>
            <w:tcBorders/>
            <w:shd w:fill="FFFFFF" w:val="clear"/>
            <w:vAlign w:val="bottom"/>
          </w:tcPr>
          <w:p>
            <w:pPr>
              <w:pStyle w:val="TableContents"/>
              <w:spacing w:before="0" w:after="283"/>
              <w:rPr/>
            </w:pPr>
            <w:r>
              <w:rPr/>
              <w:t> </w:t>
            </w:r>
          </w:p>
        </w:tc>
        <w:tc>
          <w:tcPr>
            <w:tcW w:w="220" w:type="dxa"/>
            <w:tcBorders/>
            <w:shd w:fill="FFFFFF" w:val="clear"/>
            <w:vAlign w:val="bottom"/>
          </w:tcPr>
          <w:p>
            <w:pPr>
              <w:pStyle w:val="TableContents"/>
              <w:spacing w:before="0" w:after="283"/>
              <w:rPr/>
            </w:pPr>
            <w:r>
              <w:rPr/>
              <w:t> </w:t>
            </w:r>
          </w:p>
        </w:tc>
        <w:tc>
          <w:tcPr>
            <w:tcW w:w="816" w:type="dxa"/>
            <w:tcBorders/>
            <w:shd w:fill="FFFFFF" w:val="clear"/>
            <w:vAlign w:val="bottom"/>
          </w:tcPr>
          <w:p>
            <w:pPr>
              <w:pStyle w:val="TableContents"/>
              <w:spacing w:before="0" w:after="283"/>
              <w:jc w:val="right"/>
              <w:rPr>
                <w:rFonts w:ascii="times" w:hAnsi="times"/>
                <w:sz w:val="20"/>
              </w:rPr>
            </w:pPr>
            <w:r>
              <w:rPr>
                <w:rFonts w:ascii="times" w:hAnsi="times"/>
                <w:sz w:val="20"/>
              </w:rPr>
              <w:t>9.35</w:t>
            </w:r>
          </w:p>
        </w:tc>
        <w:tc>
          <w:tcPr>
            <w:tcW w:w="377" w:type="dxa"/>
            <w:tcBorders/>
            <w:shd w:fill="FFFFFF" w:val="clear"/>
            <w:vAlign w:val="bottom"/>
          </w:tcPr>
          <w:p>
            <w:pPr>
              <w:pStyle w:val="TableContents"/>
              <w:spacing w:before="0" w:after="283"/>
              <w:rPr/>
            </w:pPr>
            <w:r>
              <w:rPr/>
              <w:t> </w:t>
            </w:r>
          </w:p>
        </w:tc>
        <w:tc>
          <w:tcPr>
            <w:tcW w:w="220" w:type="dxa"/>
            <w:tcBorders/>
            <w:shd w:fill="FFFFFF" w:val="clear"/>
            <w:vAlign w:val="bottom"/>
          </w:tcPr>
          <w:p>
            <w:pPr>
              <w:pStyle w:val="TableContents"/>
              <w:spacing w:before="0" w:after="283"/>
              <w:rPr/>
            </w:pPr>
            <w:r>
              <w:rPr/>
              <w:t> </w:t>
            </w:r>
          </w:p>
        </w:tc>
        <w:tc>
          <w:tcPr>
            <w:tcW w:w="1235" w:type="dxa"/>
            <w:tcBorders/>
            <w:shd w:fill="FFFFFF" w:val="clear"/>
            <w:vAlign w:val="bottom"/>
          </w:tcPr>
          <w:p>
            <w:pPr>
              <w:pStyle w:val="TableContents"/>
              <w:spacing w:before="0" w:after="283"/>
              <w:jc w:val="right"/>
              <w:rPr>
                <w:rFonts w:ascii="times" w:hAnsi="times"/>
                <w:sz w:val="20"/>
              </w:rPr>
            </w:pPr>
            <w:r>
              <w:rPr>
                <w:rFonts w:ascii="times" w:hAnsi="times"/>
                <w:sz w:val="20"/>
              </w:rPr>
              <w:t>8,837</w:t>
            </w:r>
          </w:p>
        </w:tc>
        <w:tc>
          <w:tcPr>
            <w:tcW w:w="377" w:type="dxa"/>
            <w:tcBorders/>
            <w:shd w:fill="FFFFFF" w:val="clear"/>
            <w:vAlign w:val="bottom"/>
          </w:tcPr>
          <w:p>
            <w:pPr>
              <w:pStyle w:val="TableContents"/>
              <w:spacing w:before="0" w:after="283"/>
              <w:rPr/>
            </w:pPr>
            <w:r>
              <w:rPr/>
              <w:t> </w:t>
            </w:r>
          </w:p>
        </w:tc>
      </w:tr>
      <w:tr>
        <w:trPr/>
        <w:tc>
          <w:tcPr>
            <w:tcW w:w="4972"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December 2012</w:t>
            </w:r>
          </w:p>
        </w:tc>
        <w:tc>
          <w:tcPr>
            <w:tcW w:w="376"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1015" w:type="dxa"/>
            <w:tcBorders/>
            <w:shd w:fill="CCEEFF" w:val="clear"/>
            <w:vAlign w:val="bottom"/>
          </w:tcPr>
          <w:p>
            <w:pPr>
              <w:pStyle w:val="TableContents"/>
              <w:spacing w:before="0" w:after="283"/>
              <w:jc w:val="right"/>
              <w:rPr>
                <w:rFonts w:ascii="times" w:hAnsi="times"/>
                <w:sz w:val="20"/>
              </w:rPr>
            </w:pPr>
            <w:r>
              <w:rPr>
                <w:rFonts w:ascii="times" w:hAnsi="times"/>
                <w:sz w:val="20"/>
              </w:rPr>
              <w:t>12.87</w:t>
            </w:r>
          </w:p>
        </w:tc>
        <w:tc>
          <w:tcPr>
            <w:tcW w:w="377"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816" w:type="dxa"/>
            <w:tcBorders/>
            <w:shd w:fill="CCEEFF" w:val="clear"/>
            <w:vAlign w:val="bottom"/>
          </w:tcPr>
          <w:p>
            <w:pPr>
              <w:pStyle w:val="TableContents"/>
              <w:spacing w:before="0" w:after="283"/>
              <w:jc w:val="right"/>
              <w:rPr>
                <w:rFonts w:ascii="times" w:hAnsi="times"/>
                <w:sz w:val="20"/>
              </w:rPr>
            </w:pPr>
            <w:r>
              <w:rPr>
                <w:rFonts w:ascii="times" w:hAnsi="times"/>
                <w:sz w:val="20"/>
              </w:rPr>
              <w:t>8.70</w:t>
            </w:r>
          </w:p>
        </w:tc>
        <w:tc>
          <w:tcPr>
            <w:tcW w:w="377"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1235" w:type="dxa"/>
            <w:tcBorders/>
            <w:shd w:fill="CCEEFF" w:val="clear"/>
            <w:vAlign w:val="bottom"/>
          </w:tcPr>
          <w:p>
            <w:pPr>
              <w:pStyle w:val="TableContents"/>
              <w:spacing w:before="0" w:after="283"/>
              <w:jc w:val="right"/>
              <w:rPr>
                <w:rFonts w:ascii="times" w:hAnsi="times"/>
                <w:sz w:val="20"/>
              </w:rPr>
            </w:pPr>
            <w:r>
              <w:rPr>
                <w:rFonts w:ascii="times" w:hAnsi="times"/>
                <w:sz w:val="20"/>
              </w:rPr>
              <w:t>10,114</w:t>
            </w:r>
          </w:p>
        </w:tc>
        <w:tc>
          <w:tcPr>
            <w:tcW w:w="377" w:type="dxa"/>
            <w:tcBorders/>
            <w:shd w:fill="CCEEFF" w:val="clear"/>
            <w:vAlign w:val="bottom"/>
          </w:tcPr>
          <w:p>
            <w:pPr>
              <w:pStyle w:val="TableContents"/>
              <w:spacing w:before="0" w:after="283"/>
              <w:rPr/>
            </w:pPr>
            <w:r>
              <w:rPr/>
              <w:t> </w:t>
            </w:r>
          </w:p>
        </w:tc>
      </w:tr>
      <w:tr>
        <w:trPr/>
        <w:tc>
          <w:tcPr>
            <w:tcW w:w="4972"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January 2013</w:t>
            </w:r>
          </w:p>
        </w:tc>
        <w:tc>
          <w:tcPr>
            <w:tcW w:w="376" w:type="dxa"/>
            <w:tcBorders/>
            <w:shd w:fill="FFFFFF" w:val="clear"/>
            <w:vAlign w:val="bottom"/>
          </w:tcPr>
          <w:p>
            <w:pPr>
              <w:pStyle w:val="TableContents"/>
              <w:spacing w:before="0" w:after="283"/>
              <w:rPr/>
            </w:pPr>
            <w:r>
              <w:rPr/>
              <w:t> </w:t>
            </w:r>
          </w:p>
        </w:tc>
        <w:tc>
          <w:tcPr>
            <w:tcW w:w="220" w:type="dxa"/>
            <w:tcBorders/>
            <w:shd w:fill="FFFFFF" w:val="clear"/>
            <w:vAlign w:val="bottom"/>
          </w:tcPr>
          <w:p>
            <w:pPr>
              <w:pStyle w:val="TableContents"/>
              <w:spacing w:before="0" w:after="283"/>
              <w:rPr/>
            </w:pPr>
            <w:r>
              <w:rPr/>
              <w:t> </w:t>
            </w:r>
          </w:p>
        </w:tc>
        <w:tc>
          <w:tcPr>
            <w:tcW w:w="1015" w:type="dxa"/>
            <w:tcBorders/>
            <w:shd w:fill="FFFFFF" w:val="clear"/>
            <w:vAlign w:val="bottom"/>
          </w:tcPr>
          <w:p>
            <w:pPr>
              <w:pStyle w:val="TableContents"/>
              <w:spacing w:before="0" w:after="283"/>
              <w:jc w:val="right"/>
              <w:rPr>
                <w:rFonts w:ascii="times" w:hAnsi="times"/>
                <w:sz w:val="20"/>
              </w:rPr>
            </w:pPr>
            <w:r>
              <w:rPr>
                <w:rFonts w:ascii="times" w:hAnsi="times"/>
                <w:sz w:val="20"/>
              </w:rPr>
              <w:t>10.98</w:t>
            </w:r>
          </w:p>
        </w:tc>
        <w:tc>
          <w:tcPr>
            <w:tcW w:w="377" w:type="dxa"/>
            <w:tcBorders/>
            <w:shd w:fill="FFFFFF" w:val="clear"/>
            <w:vAlign w:val="bottom"/>
          </w:tcPr>
          <w:p>
            <w:pPr>
              <w:pStyle w:val="TableContents"/>
              <w:spacing w:before="0" w:after="283"/>
              <w:rPr/>
            </w:pPr>
            <w:r>
              <w:rPr/>
              <w:t> </w:t>
            </w:r>
          </w:p>
        </w:tc>
        <w:tc>
          <w:tcPr>
            <w:tcW w:w="220" w:type="dxa"/>
            <w:tcBorders/>
            <w:shd w:fill="FFFFFF" w:val="clear"/>
            <w:vAlign w:val="bottom"/>
          </w:tcPr>
          <w:p>
            <w:pPr>
              <w:pStyle w:val="TableContents"/>
              <w:spacing w:before="0" w:after="283"/>
              <w:rPr/>
            </w:pPr>
            <w:r>
              <w:rPr/>
              <w:t> </w:t>
            </w:r>
          </w:p>
        </w:tc>
        <w:tc>
          <w:tcPr>
            <w:tcW w:w="816" w:type="dxa"/>
            <w:tcBorders/>
            <w:shd w:fill="FFFFFF" w:val="clear"/>
            <w:vAlign w:val="bottom"/>
          </w:tcPr>
          <w:p>
            <w:pPr>
              <w:pStyle w:val="TableContents"/>
              <w:spacing w:before="0" w:after="283"/>
              <w:jc w:val="right"/>
              <w:rPr>
                <w:rFonts w:ascii="times" w:hAnsi="times"/>
                <w:sz w:val="20"/>
              </w:rPr>
            </w:pPr>
            <w:r>
              <w:rPr>
                <w:rFonts w:ascii="times" w:hAnsi="times"/>
                <w:sz w:val="20"/>
              </w:rPr>
              <w:t>5.40</w:t>
            </w:r>
          </w:p>
        </w:tc>
        <w:tc>
          <w:tcPr>
            <w:tcW w:w="377" w:type="dxa"/>
            <w:tcBorders/>
            <w:shd w:fill="FFFFFF" w:val="clear"/>
            <w:vAlign w:val="bottom"/>
          </w:tcPr>
          <w:p>
            <w:pPr>
              <w:pStyle w:val="TableContents"/>
              <w:spacing w:before="0" w:after="283"/>
              <w:rPr/>
            </w:pPr>
            <w:r>
              <w:rPr/>
              <w:t> </w:t>
            </w:r>
          </w:p>
        </w:tc>
        <w:tc>
          <w:tcPr>
            <w:tcW w:w="220" w:type="dxa"/>
            <w:tcBorders/>
            <w:shd w:fill="FFFFFF" w:val="clear"/>
            <w:vAlign w:val="bottom"/>
          </w:tcPr>
          <w:p>
            <w:pPr>
              <w:pStyle w:val="TableContents"/>
              <w:spacing w:before="0" w:after="283"/>
              <w:rPr/>
            </w:pPr>
            <w:r>
              <w:rPr/>
              <w:t> </w:t>
            </w:r>
          </w:p>
        </w:tc>
        <w:tc>
          <w:tcPr>
            <w:tcW w:w="1235" w:type="dxa"/>
            <w:tcBorders/>
            <w:shd w:fill="FFFFFF" w:val="clear"/>
            <w:vAlign w:val="bottom"/>
          </w:tcPr>
          <w:p>
            <w:pPr>
              <w:pStyle w:val="TableContents"/>
              <w:spacing w:before="0" w:after="283"/>
              <w:jc w:val="right"/>
              <w:rPr>
                <w:rFonts w:ascii="times" w:hAnsi="times"/>
                <w:sz w:val="20"/>
              </w:rPr>
            </w:pPr>
            <w:r>
              <w:rPr>
                <w:rFonts w:ascii="times" w:hAnsi="times"/>
                <w:sz w:val="20"/>
              </w:rPr>
              <w:t>6,489</w:t>
            </w:r>
          </w:p>
        </w:tc>
        <w:tc>
          <w:tcPr>
            <w:tcW w:w="377" w:type="dxa"/>
            <w:tcBorders/>
            <w:shd w:fill="FFFFFF" w:val="clear"/>
            <w:vAlign w:val="bottom"/>
          </w:tcPr>
          <w:p>
            <w:pPr>
              <w:pStyle w:val="TableContents"/>
              <w:spacing w:before="0" w:after="283"/>
              <w:rPr/>
            </w:pPr>
            <w:r>
              <w:rPr/>
              <w:t> </w:t>
            </w:r>
          </w:p>
        </w:tc>
      </w:tr>
      <w:tr>
        <w:trPr/>
        <w:tc>
          <w:tcPr>
            <w:tcW w:w="4972"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February 2013</w:t>
            </w:r>
          </w:p>
        </w:tc>
        <w:tc>
          <w:tcPr>
            <w:tcW w:w="376"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1015" w:type="dxa"/>
            <w:tcBorders/>
            <w:shd w:fill="CCEEFF" w:val="clear"/>
            <w:vAlign w:val="bottom"/>
          </w:tcPr>
          <w:p>
            <w:pPr>
              <w:pStyle w:val="TableContents"/>
              <w:spacing w:before="0" w:after="283"/>
              <w:jc w:val="right"/>
              <w:rPr>
                <w:rFonts w:ascii="times" w:hAnsi="times"/>
                <w:sz w:val="20"/>
              </w:rPr>
            </w:pPr>
            <w:r>
              <w:rPr>
                <w:rFonts w:ascii="times" w:hAnsi="times"/>
                <w:sz w:val="20"/>
              </w:rPr>
              <w:t>5.60</w:t>
            </w:r>
          </w:p>
        </w:tc>
        <w:tc>
          <w:tcPr>
            <w:tcW w:w="377"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816" w:type="dxa"/>
            <w:tcBorders/>
            <w:shd w:fill="CCEEFF" w:val="clear"/>
            <w:vAlign w:val="bottom"/>
          </w:tcPr>
          <w:p>
            <w:pPr>
              <w:pStyle w:val="TableContents"/>
              <w:spacing w:before="0" w:after="283"/>
              <w:jc w:val="right"/>
              <w:rPr>
                <w:rFonts w:ascii="times" w:hAnsi="times"/>
                <w:sz w:val="20"/>
              </w:rPr>
            </w:pPr>
            <w:r>
              <w:rPr>
                <w:rFonts w:ascii="times" w:hAnsi="times"/>
                <w:sz w:val="20"/>
              </w:rPr>
              <w:t>2.35</w:t>
            </w:r>
          </w:p>
        </w:tc>
        <w:tc>
          <w:tcPr>
            <w:tcW w:w="377"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1235" w:type="dxa"/>
            <w:tcBorders/>
            <w:shd w:fill="CCEEFF" w:val="clear"/>
            <w:vAlign w:val="bottom"/>
          </w:tcPr>
          <w:p>
            <w:pPr>
              <w:pStyle w:val="TableContents"/>
              <w:spacing w:before="0" w:after="283"/>
              <w:jc w:val="right"/>
              <w:rPr>
                <w:rFonts w:ascii="times" w:hAnsi="times"/>
                <w:sz w:val="20"/>
              </w:rPr>
            </w:pPr>
            <w:r>
              <w:rPr>
                <w:rFonts w:ascii="times" w:hAnsi="times"/>
                <w:sz w:val="20"/>
              </w:rPr>
              <w:t>11,248</w:t>
            </w:r>
          </w:p>
        </w:tc>
        <w:tc>
          <w:tcPr>
            <w:tcW w:w="377" w:type="dxa"/>
            <w:tcBorders/>
            <w:shd w:fill="CCEEFF" w:val="clear"/>
            <w:vAlign w:val="bottom"/>
          </w:tcPr>
          <w:p>
            <w:pPr>
              <w:pStyle w:val="TableContents"/>
              <w:spacing w:before="0" w:after="283"/>
              <w:rPr/>
            </w:pPr>
            <w:r>
              <w:rPr/>
              <w:t> </w:t>
            </w:r>
          </w:p>
        </w:tc>
      </w:tr>
      <w:tr>
        <w:trPr/>
        <w:tc>
          <w:tcPr>
            <w:tcW w:w="4972"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March 2013</w:t>
            </w:r>
          </w:p>
        </w:tc>
        <w:tc>
          <w:tcPr>
            <w:tcW w:w="376" w:type="dxa"/>
            <w:tcBorders/>
            <w:shd w:fill="FFFFFF" w:val="clear"/>
            <w:vAlign w:val="bottom"/>
          </w:tcPr>
          <w:p>
            <w:pPr>
              <w:pStyle w:val="TableContents"/>
              <w:spacing w:before="0" w:after="283"/>
              <w:rPr/>
            </w:pPr>
            <w:r>
              <w:rPr/>
              <w:t> </w:t>
            </w:r>
          </w:p>
        </w:tc>
        <w:tc>
          <w:tcPr>
            <w:tcW w:w="220" w:type="dxa"/>
            <w:tcBorders/>
            <w:shd w:fill="FFFFFF" w:val="clear"/>
            <w:vAlign w:val="bottom"/>
          </w:tcPr>
          <w:p>
            <w:pPr>
              <w:pStyle w:val="TableContents"/>
              <w:spacing w:before="0" w:after="283"/>
              <w:rPr/>
            </w:pPr>
            <w:r>
              <w:rPr/>
              <w:t> </w:t>
            </w:r>
          </w:p>
        </w:tc>
        <w:tc>
          <w:tcPr>
            <w:tcW w:w="1015" w:type="dxa"/>
            <w:tcBorders/>
            <w:shd w:fill="FFFFFF" w:val="clear"/>
            <w:vAlign w:val="bottom"/>
          </w:tcPr>
          <w:p>
            <w:pPr>
              <w:pStyle w:val="TableContents"/>
              <w:spacing w:before="0" w:after="283"/>
              <w:jc w:val="right"/>
              <w:rPr>
                <w:rFonts w:ascii="times" w:hAnsi="times"/>
                <w:sz w:val="20"/>
              </w:rPr>
            </w:pPr>
            <w:r>
              <w:rPr>
                <w:rFonts w:ascii="times" w:hAnsi="times"/>
                <w:sz w:val="20"/>
              </w:rPr>
              <w:t>3.31</w:t>
            </w:r>
          </w:p>
        </w:tc>
        <w:tc>
          <w:tcPr>
            <w:tcW w:w="377" w:type="dxa"/>
            <w:tcBorders/>
            <w:shd w:fill="FFFFFF" w:val="clear"/>
            <w:vAlign w:val="bottom"/>
          </w:tcPr>
          <w:p>
            <w:pPr>
              <w:pStyle w:val="TableContents"/>
              <w:spacing w:before="0" w:after="283"/>
              <w:rPr/>
            </w:pPr>
            <w:r>
              <w:rPr/>
              <w:t> </w:t>
            </w:r>
          </w:p>
        </w:tc>
        <w:tc>
          <w:tcPr>
            <w:tcW w:w="220" w:type="dxa"/>
            <w:tcBorders/>
            <w:shd w:fill="FFFFFF" w:val="clear"/>
            <w:vAlign w:val="bottom"/>
          </w:tcPr>
          <w:p>
            <w:pPr>
              <w:pStyle w:val="TableContents"/>
              <w:spacing w:before="0" w:after="283"/>
              <w:rPr/>
            </w:pPr>
            <w:r>
              <w:rPr/>
              <w:t> </w:t>
            </w:r>
          </w:p>
        </w:tc>
        <w:tc>
          <w:tcPr>
            <w:tcW w:w="816" w:type="dxa"/>
            <w:tcBorders/>
            <w:shd w:fill="FFFFFF" w:val="clear"/>
            <w:vAlign w:val="bottom"/>
          </w:tcPr>
          <w:p>
            <w:pPr>
              <w:pStyle w:val="TableContents"/>
              <w:spacing w:before="0" w:after="283"/>
              <w:jc w:val="right"/>
              <w:rPr>
                <w:rFonts w:ascii="times" w:hAnsi="times"/>
                <w:sz w:val="20"/>
              </w:rPr>
            </w:pPr>
            <w:r>
              <w:rPr>
                <w:rFonts w:ascii="times" w:hAnsi="times"/>
                <w:sz w:val="20"/>
              </w:rPr>
              <w:t>2.15</w:t>
            </w:r>
          </w:p>
        </w:tc>
        <w:tc>
          <w:tcPr>
            <w:tcW w:w="377" w:type="dxa"/>
            <w:tcBorders/>
            <w:shd w:fill="FFFFFF" w:val="clear"/>
            <w:vAlign w:val="bottom"/>
          </w:tcPr>
          <w:p>
            <w:pPr>
              <w:pStyle w:val="TableContents"/>
              <w:spacing w:before="0" w:after="283"/>
              <w:rPr/>
            </w:pPr>
            <w:r>
              <w:rPr/>
              <w:t> </w:t>
            </w:r>
          </w:p>
        </w:tc>
        <w:tc>
          <w:tcPr>
            <w:tcW w:w="220" w:type="dxa"/>
            <w:tcBorders/>
            <w:shd w:fill="FFFFFF" w:val="clear"/>
            <w:vAlign w:val="bottom"/>
          </w:tcPr>
          <w:p>
            <w:pPr>
              <w:pStyle w:val="TableContents"/>
              <w:spacing w:before="0" w:after="283"/>
              <w:rPr/>
            </w:pPr>
            <w:r>
              <w:rPr/>
              <w:t> </w:t>
            </w:r>
          </w:p>
        </w:tc>
        <w:tc>
          <w:tcPr>
            <w:tcW w:w="1235" w:type="dxa"/>
            <w:tcBorders/>
            <w:shd w:fill="FFFFFF" w:val="clear"/>
            <w:vAlign w:val="bottom"/>
          </w:tcPr>
          <w:p>
            <w:pPr>
              <w:pStyle w:val="TableContents"/>
              <w:spacing w:before="0" w:after="283"/>
              <w:jc w:val="right"/>
              <w:rPr>
                <w:rFonts w:ascii="times" w:hAnsi="times"/>
                <w:sz w:val="20"/>
              </w:rPr>
            </w:pPr>
            <w:r>
              <w:rPr>
                <w:rFonts w:ascii="times" w:hAnsi="times"/>
                <w:sz w:val="20"/>
              </w:rPr>
              <w:t>4,696</w:t>
            </w:r>
          </w:p>
        </w:tc>
        <w:tc>
          <w:tcPr>
            <w:tcW w:w="377" w:type="dxa"/>
            <w:tcBorders/>
            <w:shd w:fill="FFFFFF" w:val="clear"/>
            <w:vAlign w:val="bottom"/>
          </w:tcPr>
          <w:p>
            <w:pPr>
              <w:pStyle w:val="TableContents"/>
              <w:spacing w:before="0" w:after="283"/>
              <w:rPr/>
            </w:pPr>
            <w:r>
              <w:rPr/>
              <w:t> </w:t>
            </w:r>
          </w:p>
        </w:tc>
      </w:tr>
      <w:tr>
        <w:trPr/>
        <w:tc>
          <w:tcPr>
            <w:tcW w:w="4972"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April 2013</w:t>
            </w:r>
          </w:p>
        </w:tc>
        <w:tc>
          <w:tcPr>
            <w:tcW w:w="376"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1015" w:type="dxa"/>
            <w:tcBorders/>
            <w:shd w:fill="CCEEFF" w:val="clear"/>
            <w:vAlign w:val="bottom"/>
          </w:tcPr>
          <w:p>
            <w:pPr>
              <w:pStyle w:val="TableContents"/>
              <w:spacing w:before="0" w:after="283"/>
              <w:jc w:val="right"/>
              <w:rPr>
                <w:rFonts w:ascii="times" w:hAnsi="times"/>
                <w:sz w:val="20"/>
              </w:rPr>
            </w:pPr>
            <w:r>
              <w:rPr>
                <w:rFonts w:ascii="times" w:hAnsi="times"/>
                <w:sz w:val="20"/>
              </w:rPr>
              <w:t>2.75</w:t>
            </w:r>
          </w:p>
        </w:tc>
        <w:tc>
          <w:tcPr>
            <w:tcW w:w="377"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816" w:type="dxa"/>
            <w:tcBorders/>
            <w:shd w:fill="CCEEFF" w:val="clear"/>
            <w:vAlign w:val="bottom"/>
          </w:tcPr>
          <w:p>
            <w:pPr>
              <w:pStyle w:val="TableContents"/>
              <w:spacing w:before="0" w:after="283"/>
              <w:jc w:val="right"/>
              <w:rPr>
                <w:rFonts w:ascii="times" w:hAnsi="times"/>
                <w:sz w:val="20"/>
              </w:rPr>
            </w:pPr>
            <w:r>
              <w:rPr>
                <w:rFonts w:ascii="times" w:hAnsi="times"/>
                <w:sz w:val="20"/>
              </w:rPr>
              <w:t>0.64</w:t>
            </w:r>
          </w:p>
        </w:tc>
        <w:tc>
          <w:tcPr>
            <w:tcW w:w="377"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1235" w:type="dxa"/>
            <w:tcBorders/>
            <w:shd w:fill="CCEEFF" w:val="clear"/>
            <w:vAlign w:val="bottom"/>
          </w:tcPr>
          <w:p>
            <w:pPr>
              <w:pStyle w:val="TableContents"/>
              <w:spacing w:before="0" w:after="283"/>
              <w:jc w:val="right"/>
              <w:rPr>
                <w:rFonts w:ascii="times" w:hAnsi="times"/>
                <w:sz w:val="20"/>
              </w:rPr>
            </w:pPr>
            <w:r>
              <w:rPr>
                <w:rFonts w:ascii="times" w:hAnsi="times"/>
                <w:sz w:val="20"/>
              </w:rPr>
              <w:t>13,478</w:t>
            </w:r>
          </w:p>
        </w:tc>
        <w:tc>
          <w:tcPr>
            <w:tcW w:w="377" w:type="dxa"/>
            <w:tcBorders/>
            <w:shd w:fill="CCEEFF" w:val="clear"/>
            <w:vAlign w:val="bottom"/>
          </w:tcPr>
          <w:p>
            <w:pPr>
              <w:pStyle w:val="TableContents"/>
              <w:spacing w:before="0" w:after="283"/>
              <w:rPr/>
            </w:pPr>
            <w:r>
              <w:rPr/>
              <w:t> </w:t>
            </w:r>
          </w:p>
        </w:tc>
      </w:tr>
      <w:tr>
        <w:trPr/>
        <w:tc>
          <w:tcPr>
            <w:tcW w:w="4972"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May 2013</w:t>
            </w:r>
          </w:p>
        </w:tc>
        <w:tc>
          <w:tcPr>
            <w:tcW w:w="376" w:type="dxa"/>
            <w:tcBorders/>
            <w:shd w:fill="FFFFFF" w:val="clear"/>
            <w:vAlign w:val="bottom"/>
          </w:tcPr>
          <w:p>
            <w:pPr>
              <w:pStyle w:val="TableContents"/>
              <w:spacing w:before="0" w:after="283"/>
              <w:rPr/>
            </w:pPr>
            <w:r>
              <w:rPr/>
              <w:t> </w:t>
            </w:r>
          </w:p>
        </w:tc>
        <w:tc>
          <w:tcPr>
            <w:tcW w:w="220" w:type="dxa"/>
            <w:tcBorders/>
            <w:shd w:fill="FFFFFF" w:val="clear"/>
            <w:vAlign w:val="bottom"/>
          </w:tcPr>
          <w:p>
            <w:pPr>
              <w:pStyle w:val="TableContents"/>
              <w:spacing w:before="0" w:after="283"/>
              <w:rPr/>
            </w:pPr>
            <w:r>
              <w:rPr/>
              <w:t> </w:t>
            </w:r>
          </w:p>
        </w:tc>
        <w:tc>
          <w:tcPr>
            <w:tcW w:w="1015" w:type="dxa"/>
            <w:tcBorders/>
            <w:shd w:fill="FFFFFF" w:val="clear"/>
            <w:vAlign w:val="bottom"/>
          </w:tcPr>
          <w:p>
            <w:pPr>
              <w:pStyle w:val="TableContents"/>
              <w:spacing w:before="0" w:after="283"/>
              <w:jc w:val="right"/>
              <w:rPr>
                <w:rFonts w:ascii="times" w:hAnsi="times"/>
                <w:sz w:val="20"/>
              </w:rPr>
            </w:pPr>
            <w:r>
              <w:rPr>
                <w:rFonts w:ascii="times" w:hAnsi="times"/>
                <w:sz w:val="20"/>
              </w:rPr>
              <w:t>0.85</w:t>
            </w:r>
          </w:p>
        </w:tc>
        <w:tc>
          <w:tcPr>
            <w:tcW w:w="377" w:type="dxa"/>
            <w:tcBorders/>
            <w:shd w:fill="FFFFFF" w:val="clear"/>
            <w:vAlign w:val="bottom"/>
          </w:tcPr>
          <w:p>
            <w:pPr>
              <w:pStyle w:val="TableContents"/>
              <w:spacing w:before="0" w:after="283"/>
              <w:rPr/>
            </w:pPr>
            <w:r>
              <w:rPr/>
              <w:t> </w:t>
            </w:r>
          </w:p>
        </w:tc>
        <w:tc>
          <w:tcPr>
            <w:tcW w:w="220" w:type="dxa"/>
            <w:tcBorders/>
            <w:shd w:fill="FFFFFF" w:val="clear"/>
            <w:vAlign w:val="bottom"/>
          </w:tcPr>
          <w:p>
            <w:pPr>
              <w:pStyle w:val="TableContents"/>
              <w:spacing w:before="0" w:after="283"/>
              <w:rPr/>
            </w:pPr>
            <w:r>
              <w:rPr/>
              <w:t> </w:t>
            </w:r>
          </w:p>
        </w:tc>
        <w:tc>
          <w:tcPr>
            <w:tcW w:w="816" w:type="dxa"/>
            <w:tcBorders/>
            <w:shd w:fill="FFFFFF" w:val="clear"/>
            <w:vAlign w:val="bottom"/>
          </w:tcPr>
          <w:p>
            <w:pPr>
              <w:pStyle w:val="TableContents"/>
              <w:spacing w:before="0" w:after="283"/>
              <w:jc w:val="right"/>
              <w:rPr>
                <w:rFonts w:ascii="times" w:hAnsi="times"/>
                <w:sz w:val="20"/>
              </w:rPr>
            </w:pPr>
            <w:r>
              <w:rPr>
                <w:rFonts w:ascii="times" w:hAnsi="times"/>
                <w:sz w:val="20"/>
              </w:rPr>
              <w:t>0.43</w:t>
            </w:r>
          </w:p>
        </w:tc>
        <w:tc>
          <w:tcPr>
            <w:tcW w:w="377" w:type="dxa"/>
            <w:tcBorders/>
            <w:shd w:fill="FFFFFF" w:val="clear"/>
            <w:vAlign w:val="bottom"/>
          </w:tcPr>
          <w:p>
            <w:pPr>
              <w:pStyle w:val="TableContents"/>
              <w:spacing w:before="0" w:after="283"/>
              <w:rPr/>
            </w:pPr>
            <w:r>
              <w:rPr/>
              <w:t> </w:t>
            </w:r>
          </w:p>
        </w:tc>
        <w:tc>
          <w:tcPr>
            <w:tcW w:w="220" w:type="dxa"/>
            <w:tcBorders/>
            <w:shd w:fill="FFFFFF" w:val="clear"/>
            <w:vAlign w:val="bottom"/>
          </w:tcPr>
          <w:p>
            <w:pPr>
              <w:pStyle w:val="TableContents"/>
              <w:spacing w:before="0" w:after="283"/>
              <w:rPr/>
            </w:pPr>
            <w:r>
              <w:rPr/>
              <w:t> </w:t>
            </w:r>
          </w:p>
        </w:tc>
        <w:tc>
          <w:tcPr>
            <w:tcW w:w="1235" w:type="dxa"/>
            <w:tcBorders/>
            <w:shd w:fill="FFFFFF" w:val="clear"/>
            <w:vAlign w:val="bottom"/>
          </w:tcPr>
          <w:p>
            <w:pPr>
              <w:pStyle w:val="TableContents"/>
              <w:spacing w:before="0" w:after="283"/>
              <w:jc w:val="right"/>
              <w:rPr>
                <w:rFonts w:ascii="times" w:hAnsi="times"/>
                <w:sz w:val="20"/>
              </w:rPr>
            </w:pPr>
            <w:r>
              <w:rPr>
                <w:rFonts w:ascii="times" w:hAnsi="times"/>
                <w:sz w:val="20"/>
              </w:rPr>
              <w:t>7,198</w:t>
            </w:r>
          </w:p>
        </w:tc>
        <w:tc>
          <w:tcPr>
            <w:tcW w:w="377" w:type="dxa"/>
            <w:tcBorders/>
            <w:shd w:fill="FFFFFF" w:val="clear"/>
            <w:vAlign w:val="bottom"/>
          </w:tcPr>
          <w:p>
            <w:pPr>
              <w:pStyle w:val="TableContents"/>
              <w:spacing w:before="0" w:after="283"/>
              <w:rPr/>
            </w:pPr>
            <w:r>
              <w:rPr/>
              <w:t> </w:t>
            </w:r>
          </w:p>
        </w:tc>
      </w:tr>
      <w:tr>
        <w:trPr/>
        <w:tc>
          <w:tcPr>
            <w:tcW w:w="4972"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June 2013 (to June 27, 2013)</w:t>
            </w:r>
          </w:p>
        </w:tc>
        <w:tc>
          <w:tcPr>
            <w:tcW w:w="376"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1015" w:type="dxa"/>
            <w:tcBorders/>
            <w:shd w:fill="CCEEFF" w:val="clear"/>
            <w:vAlign w:val="bottom"/>
          </w:tcPr>
          <w:p>
            <w:pPr>
              <w:pStyle w:val="TableContents"/>
              <w:spacing w:before="0" w:after="283"/>
              <w:jc w:val="right"/>
              <w:rPr>
                <w:rFonts w:ascii="times" w:hAnsi="times"/>
                <w:sz w:val="20"/>
              </w:rPr>
            </w:pPr>
            <w:r>
              <w:rPr>
                <w:rFonts w:ascii="times" w:hAnsi="times"/>
                <w:sz w:val="20"/>
              </w:rPr>
              <w:t>0.75</w:t>
            </w:r>
          </w:p>
        </w:tc>
        <w:tc>
          <w:tcPr>
            <w:tcW w:w="377"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816" w:type="dxa"/>
            <w:tcBorders/>
            <w:shd w:fill="CCEEFF" w:val="clear"/>
            <w:vAlign w:val="bottom"/>
          </w:tcPr>
          <w:p>
            <w:pPr>
              <w:pStyle w:val="TableContents"/>
              <w:spacing w:before="0" w:after="283"/>
              <w:jc w:val="right"/>
              <w:rPr>
                <w:rFonts w:ascii="times" w:hAnsi="times"/>
                <w:sz w:val="20"/>
              </w:rPr>
            </w:pPr>
            <w:r>
              <w:rPr>
                <w:rFonts w:ascii="times" w:hAnsi="times"/>
                <w:sz w:val="20"/>
              </w:rPr>
              <w:t>0.36</w:t>
            </w:r>
          </w:p>
        </w:tc>
        <w:tc>
          <w:tcPr>
            <w:tcW w:w="377"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1235" w:type="dxa"/>
            <w:tcBorders/>
            <w:shd w:fill="CCEEFF" w:val="clear"/>
            <w:vAlign w:val="bottom"/>
          </w:tcPr>
          <w:p>
            <w:pPr>
              <w:pStyle w:val="TableContents"/>
              <w:spacing w:before="0" w:after="283"/>
              <w:jc w:val="right"/>
              <w:rPr>
                <w:rFonts w:ascii="times" w:hAnsi="times"/>
                <w:sz w:val="20"/>
              </w:rPr>
            </w:pPr>
            <w:r>
              <w:rPr>
                <w:rFonts w:ascii="times" w:hAnsi="times"/>
                <w:sz w:val="20"/>
              </w:rPr>
              <w:t>3,863</w:t>
            </w:r>
          </w:p>
        </w:tc>
        <w:tc>
          <w:tcPr>
            <w:tcW w:w="377" w:type="dxa"/>
            <w:tcBorders/>
            <w:shd w:fill="CCEEFF" w:val="clear"/>
            <w:vAlign w:val="bottom"/>
          </w:tcPr>
          <w:p>
            <w:pPr>
              <w:pStyle w:val="TableContents"/>
              <w:spacing w:before="0" w:after="283"/>
              <w:rPr/>
            </w:pPr>
            <w:r>
              <w:rPr/>
              <w:t> </w:t>
            </w:r>
          </w:p>
        </w:tc>
      </w:tr>
    </w:tbl>
    <w:p>
      <w:pPr>
        <w:pStyle w:val="HorizontalLine"/>
        <w:pBdr>
          <w:bottom w:val="single" w:sz="6" w:space="0" w:color="000000"/>
        </w:pBdr>
        <w:ind w:left="0" w:right="8981" w:hanging="0"/>
        <w:rPr/>
      </w:pPr>
      <w:r>
        <w:rPr/>
      </w:r>
    </w:p>
    <w:p>
      <w:pPr>
        <w:pStyle w:val="TextBody"/>
        <w:jc w:val="both"/>
        <w:rPr>
          <w:rFonts w:ascii="times" w:hAnsi="times"/>
          <w:sz w:val="14"/>
        </w:rPr>
      </w:pPr>
      <w:r>
        <w:rPr>
          <w:rFonts w:ascii="times" w:hAnsi="times"/>
          <w:sz w:val="14"/>
        </w:rPr>
        <w:t xml:space="preserve">Source: TSX Datalinx </w:t>
      </w:r>
    </w:p>
    <w:p>
      <w:pPr>
        <w:pStyle w:val="TextBody"/>
        <w:jc w:val="both"/>
        <w:rPr/>
      </w:pPr>
      <w:r>
        <w:rPr/>
        <w:t>        </w:t>
      </w:r>
      <w:r>
        <w:rPr>
          <w:rFonts w:ascii="times" w:hAnsi="times"/>
          <w:sz w:val="20"/>
        </w:rPr>
        <w:t xml:space="preserve">On June 27, 2013, the closing price of the Warrants was $0.45 on the TSX. The registrar and transfer agent for the Warrants is Computershare Trust Company of Canada, Toronto, Ontario. </w:t>
      </w:r>
    </w:p>
    <w:p>
      <w:pPr>
        <w:pStyle w:val="TextBody"/>
        <w:jc w:val="center"/>
        <w:rPr>
          <w:rFonts w:ascii="times" w:hAnsi="times"/>
          <w:sz w:val="20"/>
        </w:rPr>
      </w:pPr>
      <w:r>
        <w:rPr>
          <w:rFonts w:ascii="times" w:hAnsi="times"/>
          <w:sz w:val="20"/>
        </w:rPr>
        <w:t>16</w:t>
      </w:r>
    </w:p>
    <w:p>
      <w:pPr>
        <w:pStyle w:val="HorizontalLine"/>
        <w:pBdr>
          <w:bottom w:val="single" w:sz="20" w:space="0" w:color="808080"/>
        </w:pBdr>
        <w:rPr/>
      </w:pPr>
      <w:r>
        <w:rPr/>
      </w:r>
      <w:r>
        <w:br w:type="page"/>
      </w:r>
    </w:p>
    <w:p>
      <w:pPr>
        <w:pStyle w:val="TextBody"/>
        <w:jc w:val="center"/>
        <w:rPr>
          <w:rFonts w:ascii="times" w:hAnsi="times"/>
        </w:rPr>
      </w:pPr>
      <w:bookmarkStart w:id="50" w:name="toc_dk48002_1"/>
      <w:bookmarkStart w:id="51" w:name="dk48002_earnings_coverage"/>
      <w:bookmarkStart w:id="52" w:name="page_dk48002_1_17"/>
      <w:bookmarkEnd w:id="50"/>
      <w:bookmarkEnd w:id="51"/>
      <w:bookmarkEnd w:id="52"/>
      <w:r>
        <w:rPr>
          <w:rFonts w:ascii="times" w:hAnsi="times"/>
          <w:sz w:val="20"/>
        </w:rPr>
        <w:br/>
      </w:r>
      <w:r>
        <w:rPr>
          <w:rFonts w:ascii="times" w:hAnsi="times"/>
          <w:b/>
          <w:sz w:val="20"/>
        </w:rPr>
        <w:t xml:space="preserve">EARNINGS COVERAGE </w:t>
      </w:r>
    </w:p>
    <w:p>
      <w:pPr>
        <w:pStyle w:val="TextBody"/>
        <w:jc w:val="both"/>
        <w:rPr/>
      </w:pPr>
      <w:r>
        <w:rPr/>
        <w:t>        </w:t>
      </w:r>
      <w:r>
        <w:rPr>
          <w:rFonts w:ascii="times" w:hAnsi="times"/>
          <w:sz w:val="20"/>
        </w:rPr>
        <w:t xml:space="preserve">In accordance with the requirements of the Canadian Securities Administrators, the following consolidated earnings coverage ratios have been calculated for the 12-month periods ended March 31, 2013 and December 31, 2012 and give effect to the issuance of all long-term debt of the Company and repayment or redemption thereof since those dates. The earnings coverage ratios set forth below do not purport to be indicative of earnings coverage ratios for any future periods. The earnings coverage ratios and interest requirements do not give effect to the issuance of any debt securities that may be issued pursuant to this prospectus and any Prospectus Supplement, since the aggregate principal amounts and the terms of such debt securities are not currently known. The information presented herein for the 12-month period ended March 31, 2013 is based on unaudited financial information. </w:t>
      </w:r>
    </w:p>
    <w:tbl>
      <w:tblPr>
        <w:tblW w:w="5000" w:type="pct"/>
        <w:jc w:val="center"/>
        <w:tblInd w:w="0" w:type="dxa"/>
        <w:tblCellMar>
          <w:top w:w="0" w:type="dxa"/>
          <w:left w:w="0" w:type="dxa"/>
          <w:bottom w:w="0" w:type="dxa"/>
          <w:right w:w="0" w:type="dxa"/>
        </w:tblCellMar>
      </w:tblPr>
      <w:tblGrid>
        <w:gridCol w:w="5328"/>
        <w:gridCol w:w="261"/>
        <w:gridCol w:w="182"/>
        <w:gridCol w:w="1810"/>
        <w:gridCol w:w="261"/>
        <w:gridCol w:w="182"/>
        <w:gridCol w:w="1919"/>
        <w:gridCol w:w="262"/>
      </w:tblGrid>
      <w:tr>
        <w:trPr/>
        <w:tc>
          <w:tcPr>
            <w:tcW w:w="5328" w:type="dxa"/>
            <w:tcBorders/>
            <w:shd w:fill="auto" w:val="clear"/>
            <w:vAlign w:val="center"/>
          </w:tcPr>
          <w:p>
            <w:pPr>
              <w:pStyle w:val="TableContents"/>
              <w:spacing w:before="0" w:after="283"/>
              <w:rPr>
                <w:sz w:val="4"/>
                <w:szCs w:val="4"/>
              </w:rPr>
            </w:pPr>
            <w:r>
              <w:rPr>
                <w:sz w:val="4"/>
                <w:szCs w:val="4"/>
              </w:rPr>
            </w:r>
          </w:p>
        </w:tc>
        <w:tc>
          <w:tcPr>
            <w:tcW w:w="261" w:type="dxa"/>
            <w:tcBorders/>
            <w:shd w:fill="auto" w:val="clear"/>
            <w:vAlign w:val="center"/>
          </w:tcPr>
          <w:p>
            <w:pPr>
              <w:pStyle w:val="TableContents"/>
              <w:spacing w:before="0" w:after="283"/>
              <w:rPr>
                <w:sz w:val="4"/>
                <w:szCs w:val="4"/>
              </w:rPr>
            </w:pPr>
            <w:r>
              <w:rPr>
                <w:sz w:val="4"/>
                <w:szCs w:val="4"/>
              </w:rPr>
            </w:r>
          </w:p>
        </w:tc>
        <w:tc>
          <w:tcPr>
            <w:tcW w:w="182" w:type="dxa"/>
            <w:tcBorders/>
            <w:shd w:fill="auto" w:val="clear"/>
            <w:vAlign w:val="center"/>
          </w:tcPr>
          <w:p>
            <w:pPr>
              <w:pStyle w:val="TableContents"/>
              <w:spacing w:before="0" w:after="283"/>
              <w:rPr>
                <w:sz w:val="4"/>
                <w:szCs w:val="4"/>
              </w:rPr>
            </w:pPr>
            <w:r>
              <w:rPr>
                <w:sz w:val="4"/>
                <w:szCs w:val="4"/>
              </w:rPr>
            </w:r>
          </w:p>
        </w:tc>
        <w:tc>
          <w:tcPr>
            <w:tcW w:w="1810" w:type="dxa"/>
            <w:tcBorders/>
            <w:shd w:fill="auto" w:val="clear"/>
            <w:vAlign w:val="center"/>
          </w:tcPr>
          <w:p>
            <w:pPr>
              <w:pStyle w:val="TableContents"/>
              <w:spacing w:before="0" w:after="283"/>
              <w:rPr>
                <w:sz w:val="4"/>
                <w:szCs w:val="4"/>
              </w:rPr>
            </w:pPr>
            <w:r>
              <w:rPr>
                <w:sz w:val="4"/>
                <w:szCs w:val="4"/>
              </w:rPr>
            </w:r>
          </w:p>
        </w:tc>
        <w:tc>
          <w:tcPr>
            <w:tcW w:w="261" w:type="dxa"/>
            <w:tcBorders/>
            <w:shd w:fill="auto" w:val="clear"/>
            <w:vAlign w:val="center"/>
          </w:tcPr>
          <w:p>
            <w:pPr>
              <w:pStyle w:val="TableContents"/>
              <w:spacing w:before="0" w:after="283"/>
              <w:rPr>
                <w:sz w:val="4"/>
                <w:szCs w:val="4"/>
              </w:rPr>
            </w:pPr>
            <w:r>
              <w:rPr>
                <w:sz w:val="4"/>
                <w:szCs w:val="4"/>
              </w:rPr>
            </w:r>
          </w:p>
        </w:tc>
        <w:tc>
          <w:tcPr>
            <w:tcW w:w="182" w:type="dxa"/>
            <w:tcBorders/>
            <w:shd w:fill="auto" w:val="clear"/>
            <w:vAlign w:val="center"/>
          </w:tcPr>
          <w:p>
            <w:pPr>
              <w:pStyle w:val="TableContents"/>
              <w:spacing w:before="0" w:after="283"/>
              <w:rPr>
                <w:sz w:val="4"/>
                <w:szCs w:val="4"/>
              </w:rPr>
            </w:pPr>
            <w:r>
              <w:rPr>
                <w:sz w:val="4"/>
                <w:szCs w:val="4"/>
              </w:rPr>
            </w:r>
          </w:p>
        </w:tc>
        <w:tc>
          <w:tcPr>
            <w:tcW w:w="1919" w:type="dxa"/>
            <w:tcBorders/>
            <w:shd w:fill="auto" w:val="clear"/>
            <w:vAlign w:val="center"/>
          </w:tcPr>
          <w:p>
            <w:pPr>
              <w:pStyle w:val="TableContents"/>
              <w:spacing w:before="0" w:after="283"/>
              <w:rPr>
                <w:sz w:val="4"/>
                <w:szCs w:val="4"/>
              </w:rPr>
            </w:pPr>
            <w:r>
              <w:rPr>
                <w:sz w:val="4"/>
                <w:szCs w:val="4"/>
              </w:rPr>
            </w:r>
          </w:p>
        </w:tc>
        <w:tc>
          <w:tcPr>
            <w:tcW w:w="262" w:type="dxa"/>
            <w:tcBorders/>
            <w:shd w:fill="auto" w:val="clear"/>
            <w:vAlign w:val="center"/>
          </w:tcPr>
          <w:p>
            <w:pPr>
              <w:pStyle w:val="TableContents"/>
              <w:spacing w:before="0" w:after="283"/>
              <w:rPr>
                <w:sz w:val="4"/>
                <w:szCs w:val="4"/>
              </w:rPr>
            </w:pPr>
            <w:r>
              <w:rPr>
                <w:sz w:val="4"/>
                <w:szCs w:val="4"/>
              </w:rPr>
            </w:r>
          </w:p>
        </w:tc>
      </w:tr>
      <w:tr>
        <w:trPr/>
        <w:tc>
          <w:tcPr>
            <w:tcW w:w="5328" w:type="dxa"/>
            <w:tcBorders/>
            <w:shd w:fill="auto" w:val="clear"/>
            <w:vAlign w:val="bottom"/>
          </w:tcPr>
          <w:p>
            <w:pPr>
              <w:pStyle w:val="TableHeading"/>
              <w:spacing w:before="0" w:after="283"/>
              <w:jc w:val="left"/>
              <w:rPr/>
            </w:pPr>
            <w:r>
              <w:rPr/>
              <w:t> </w:t>
            </w:r>
          </w:p>
        </w:tc>
        <w:tc>
          <w:tcPr>
            <w:tcW w:w="261" w:type="dxa"/>
            <w:tcBorders/>
            <w:shd w:fill="auto" w:val="clear"/>
            <w:vAlign w:val="bottom"/>
          </w:tcPr>
          <w:p>
            <w:pPr>
              <w:pStyle w:val="TableHeading"/>
              <w:suppressLineNumbers/>
              <w:spacing w:before="0" w:after="283"/>
              <w:jc w:val="center"/>
              <w:rPr/>
            </w:pPr>
            <w:r>
              <w:rPr/>
              <w:t> </w:t>
            </w:r>
          </w:p>
        </w:tc>
        <w:tc>
          <w:tcPr>
            <w:tcW w:w="1992"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12 Months Ended</w:t>
              <w:br/>
              <w:t xml:space="preserve">March 31, 2013 </w:t>
            </w:r>
          </w:p>
        </w:tc>
        <w:tc>
          <w:tcPr>
            <w:tcW w:w="261" w:type="dxa"/>
            <w:tcBorders/>
            <w:shd w:fill="auto" w:val="clear"/>
            <w:vAlign w:val="bottom"/>
          </w:tcPr>
          <w:p>
            <w:pPr>
              <w:pStyle w:val="TableHeading"/>
              <w:suppressLineNumbers/>
              <w:spacing w:before="0" w:after="283"/>
              <w:jc w:val="center"/>
              <w:rPr/>
            </w:pPr>
            <w:r>
              <w:rPr/>
              <w:t> </w:t>
            </w:r>
          </w:p>
        </w:tc>
        <w:tc>
          <w:tcPr>
            <w:tcW w:w="2101"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12 Months Ended</w:t>
              <w:br/>
              <w:t xml:space="preserve">December 31, 2012 </w:t>
            </w:r>
          </w:p>
        </w:tc>
        <w:tc>
          <w:tcPr>
            <w:tcW w:w="262" w:type="dxa"/>
            <w:tcBorders/>
            <w:shd w:fill="auto" w:val="clear"/>
            <w:vAlign w:val="bottom"/>
          </w:tcPr>
          <w:p>
            <w:pPr>
              <w:pStyle w:val="TableHeading"/>
              <w:suppressLineNumbers/>
              <w:spacing w:before="0" w:after="283"/>
              <w:jc w:val="center"/>
              <w:rPr/>
            </w:pPr>
            <w:r>
              <w:rPr/>
              <w:t> </w:t>
            </w:r>
          </w:p>
        </w:tc>
      </w:tr>
      <w:tr>
        <w:trPr/>
        <w:tc>
          <w:tcPr>
            <w:tcW w:w="5328"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Interest requirements</w:t>
            </w:r>
            <w:r>
              <w:rPr>
                <w:rFonts w:ascii="times" w:hAnsi="times"/>
                <w:position w:val="7"/>
                <w:sz w:val="16"/>
                <w:sz w:val="20"/>
              </w:rPr>
              <w:t>(1)</w:t>
            </w:r>
          </w:p>
        </w:tc>
        <w:tc>
          <w:tcPr>
            <w:tcW w:w="261"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810" w:type="dxa"/>
            <w:tcBorders/>
            <w:shd w:fill="CCEEFF" w:val="clear"/>
            <w:vAlign w:val="bottom"/>
          </w:tcPr>
          <w:p>
            <w:pPr>
              <w:pStyle w:val="TableContents"/>
              <w:spacing w:before="0" w:after="283"/>
              <w:jc w:val="right"/>
              <w:rPr>
                <w:rFonts w:ascii="times" w:hAnsi="times"/>
                <w:sz w:val="20"/>
              </w:rPr>
            </w:pPr>
            <w:r>
              <w:rPr>
                <w:rFonts w:ascii="times" w:hAnsi="times"/>
                <w:sz w:val="20"/>
              </w:rPr>
              <w:t>48,098</w:t>
            </w:r>
          </w:p>
        </w:tc>
        <w:tc>
          <w:tcPr>
            <w:tcW w:w="261"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919" w:type="dxa"/>
            <w:tcBorders/>
            <w:shd w:fill="CCEEFF" w:val="clear"/>
            <w:vAlign w:val="bottom"/>
          </w:tcPr>
          <w:p>
            <w:pPr>
              <w:pStyle w:val="TableContents"/>
              <w:spacing w:before="0" w:after="283"/>
              <w:jc w:val="right"/>
              <w:rPr>
                <w:rFonts w:ascii="times" w:hAnsi="times"/>
                <w:sz w:val="20"/>
              </w:rPr>
            </w:pPr>
            <w:r>
              <w:rPr>
                <w:rFonts w:ascii="times" w:hAnsi="times"/>
                <w:sz w:val="20"/>
              </w:rPr>
              <w:t>47,347</w:t>
            </w:r>
          </w:p>
        </w:tc>
        <w:tc>
          <w:tcPr>
            <w:tcW w:w="262" w:type="dxa"/>
            <w:tcBorders/>
            <w:shd w:fill="CCEEFF" w:val="clear"/>
            <w:vAlign w:val="bottom"/>
          </w:tcPr>
          <w:p>
            <w:pPr>
              <w:pStyle w:val="TableContents"/>
              <w:spacing w:before="0" w:after="283"/>
              <w:rPr/>
            </w:pPr>
            <w:r>
              <w:rPr/>
              <w:t> </w:t>
            </w:r>
          </w:p>
        </w:tc>
      </w:tr>
      <w:tr>
        <w:trPr/>
        <w:tc>
          <w:tcPr>
            <w:tcW w:w="5328"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Earnings before interest expense and taxes</w:t>
            </w:r>
            <w:r>
              <w:rPr>
                <w:rFonts w:ascii="times" w:hAnsi="times"/>
                <w:position w:val="7"/>
                <w:sz w:val="16"/>
                <w:sz w:val="20"/>
              </w:rPr>
              <w:t>(1)</w:t>
            </w:r>
          </w:p>
        </w:tc>
        <w:tc>
          <w:tcPr>
            <w:tcW w:w="261" w:type="dxa"/>
            <w:tcBorders/>
            <w:shd w:fill="FFFFFF" w:val="clear"/>
            <w:vAlign w:val="bottom"/>
          </w:tcPr>
          <w:p>
            <w:pPr>
              <w:pStyle w:val="TableContents"/>
              <w:spacing w:before="0" w:after="283"/>
              <w:rPr/>
            </w:pPr>
            <w:r>
              <w:rPr/>
              <w:t> </w:t>
            </w:r>
          </w:p>
        </w:tc>
        <w:tc>
          <w:tcPr>
            <w:tcW w:w="182"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810" w:type="dxa"/>
            <w:tcBorders/>
            <w:shd w:fill="FFFFFF" w:val="clear"/>
            <w:vAlign w:val="bottom"/>
          </w:tcPr>
          <w:p>
            <w:pPr>
              <w:pStyle w:val="TableContents"/>
              <w:spacing w:before="0" w:after="283"/>
              <w:jc w:val="right"/>
              <w:rPr>
                <w:rFonts w:ascii="times" w:hAnsi="times"/>
                <w:sz w:val="20"/>
              </w:rPr>
            </w:pPr>
            <w:r>
              <w:rPr>
                <w:rFonts w:ascii="times" w:hAnsi="times"/>
                <w:sz w:val="20"/>
              </w:rPr>
              <w:t>433,595</w:t>
            </w:r>
          </w:p>
        </w:tc>
        <w:tc>
          <w:tcPr>
            <w:tcW w:w="261" w:type="dxa"/>
            <w:tcBorders/>
            <w:shd w:fill="FFFFFF" w:val="clear"/>
            <w:vAlign w:val="bottom"/>
          </w:tcPr>
          <w:p>
            <w:pPr>
              <w:pStyle w:val="TableContents"/>
              <w:spacing w:before="0" w:after="283"/>
              <w:rPr/>
            </w:pPr>
            <w:r>
              <w:rPr/>
              <w:t> </w:t>
            </w:r>
          </w:p>
        </w:tc>
        <w:tc>
          <w:tcPr>
            <w:tcW w:w="182"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919" w:type="dxa"/>
            <w:tcBorders/>
            <w:shd w:fill="FFFFFF" w:val="clear"/>
            <w:vAlign w:val="bottom"/>
          </w:tcPr>
          <w:p>
            <w:pPr>
              <w:pStyle w:val="TableContents"/>
              <w:spacing w:before="0" w:after="283"/>
              <w:jc w:val="right"/>
              <w:rPr>
                <w:rFonts w:ascii="times" w:hAnsi="times"/>
                <w:sz w:val="20"/>
              </w:rPr>
            </w:pPr>
            <w:r>
              <w:rPr>
                <w:rFonts w:ascii="times" w:hAnsi="times"/>
                <w:sz w:val="20"/>
              </w:rPr>
              <w:t>493,028</w:t>
            </w:r>
          </w:p>
        </w:tc>
        <w:tc>
          <w:tcPr>
            <w:tcW w:w="262" w:type="dxa"/>
            <w:tcBorders/>
            <w:shd w:fill="FFFFFF" w:val="clear"/>
            <w:vAlign w:val="bottom"/>
          </w:tcPr>
          <w:p>
            <w:pPr>
              <w:pStyle w:val="TableContents"/>
              <w:spacing w:before="0" w:after="283"/>
              <w:rPr/>
            </w:pPr>
            <w:r>
              <w:rPr/>
              <w:t> </w:t>
            </w:r>
          </w:p>
        </w:tc>
      </w:tr>
      <w:tr>
        <w:trPr/>
        <w:tc>
          <w:tcPr>
            <w:tcW w:w="5328"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Earnings coverage</w:t>
            </w:r>
          </w:p>
        </w:tc>
        <w:tc>
          <w:tcPr>
            <w:tcW w:w="261"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1810" w:type="dxa"/>
            <w:tcBorders/>
            <w:shd w:fill="CCEEFF" w:val="clear"/>
            <w:vAlign w:val="bottom"/>
          </w:tcPr>
          <w:p>
            <w:pPr>
              <w:pStyle w:val="TableContents"/>
              <w:spacing w:before="0" w:after="283"/>
              <w:jc w:val="right"/>
              <w:rPr>
                <w:rFonts w:ascii="times" w:hAnsi="times"/>
                <w:sz w:val="20"/>
              </w:rPr>
            </w:pPr>
            <w:r>
              <w:rPr>
                <w:rFonts w:ascii="times" w:hAnsi="times"/>
                <w:sz w:val="20"/>
              </w:rPr>
              <w:t>9.0</w:t>
            </w:r>
          </w:p>
        </w:tc>
        <w:tc>
          <w:tcPr>
            <w:tcW w:w="261"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c>
          <w:tcPr>
            <w:tcW w:w="1919" w:type="dxa"/>
            <w:tcBorders/>
            <w:shd w:fill="CCEEFF" w:val="clear"/>
            <w:vAlign w:val="bottom"/>
          </w:tcPr>
          <w:p>
            <w:pPr>
              <w:pStyle w:val="TableContents"/>
              <w:spacing w:before="0" w:after="283"/>
              <w:jc w:val="right"/>
              <w:rPr>
                <w:rFonts w:ascii="times" w:hAnsi="times"/>
                <w:sz w:val="20"/>
              </w:rPr>
            </w:pPr>
            <w:r>
              <w:rPr>
                <w:rFonts w:ascii="times" w:hAnsi="times"/>
                <w:sz w:val="20"/>
              </w:rPr>
              <w:t>10.4</w:t>
            </w:r>
          </w:p>
        </w:tc>
        <w:tc>
          <w:tcPr>
            <w:tcW w:w="262" w:type="dxa"/>
            <w:tcBorders/>
            <w:shd w:fill="CCEEFF" w:val="clear"/>
            <w:vAlign w:val="bottom"/>
          </w:tcPr>
          <w:p>
            <w:pPr>
              <w:pStyle w:val="TableContents"/>
              <w:spacing w:before="0" w:after="283"/>
              <w:rPr/>
            </w:pPr>
            <w:r>
              <w:rPr/>
              <w:t> </w:t>
            </w:r>
          </w:p>
        </w:tc>
      </w:tr>
    </w:tbl>
    <w:p>
      <w:pPr>
        <w:pStyle w:val="HorizontalLine"/>
        <w:pBdr>
          <w:bottom w:val="single" w:sz="6" w:space="0" w:color="000000"/>
        </w:pBdr>
        <w:ind w:left="0" w:right="8981" w:hanging="0"/>
        <w:rPr/>
      </w:pPr>
      <w:r>
        <w:rPr/>
      </w:r>
    </w:p>
    <w:p>
      <w:pPr>
        <w:pStyle w:val="TextBody"/>
        <w:jc w:val="both"/>
        <w:rPr>
          <w:rFonts w:ascii="times" w:hAnsi="times"/>
          <w:sz w:val="14"/>
        </w:rPr>
      </w:pPr>
      <w:r>
        <w:rPr>
          <w:rFonts w:ascii="times" w:hAnsi="times"/>
          <w:sz w:val="14"/>
        </w:rPr>
        <w:t xml:space="preserve">Note: </w:t>
      </w:r>
    </w:p>
    <w:p>
      <w:pPr>
        <w:pStyle w:val="ListHeading"/>
        <w:spacing w:before="0" w:after="0"/>
        <w:jc w:val="left"/>
        <w:rPr>
          <w:rFonts w:ascii="times" w:hAnsi="times"/>
          <w:sz w:val="14"/>
        </w:rPr>
      </w:pPr>
      <w:r>
        <w:rPr>
          <w:rFonts w:ascii="times" w:hAnsi="times"/>
          <w:sz w:val="14"/>
        </w:rPr>
        <w:t>(1)</w:t>
      </w:r>
    </w:p>
    <w:p>
      <w:pPr>
        <w:pStyle w:val="ListContents"/>
        <w:spacing w:before="0" w:after="283"/>
        <w:jc w:val="both"/>
        <w:rPr>
          <w:rFonts w:ascii="times" w:hAnsi="times"/>
          <w:sz w:val="14"/>
        </w:rPr>
      </w:pPr>
      <w:r>
        <w:rPr>
          <w:rFonts w:ascii="times" w:hAnsi="times"/>
          <w:sz w:val="14"/>
        </w:rPr>
        <w:t xml:space="preserve">In thousands of U.S. dollars. </w:t>
      </w:r>
    </w:p>
    <w:p>
      <w:pPr>
        <w:pStyle w:val="TextBody"/>
        <w:jc w:val="both"/>
        <w:rPr/>
      </w:pPr>
      <w:r>
        <w:rPr/>
        <w:t>        </w:t>
      </w:r>
      <w:r>
        <w:rPr>
          <w:rFonts w:ascii="times" w:hAnsi="times"/>
          <w:sz w:val="20"/>
        </w:rPr>
        <w:t xml:space="preserve">If the Company offers any debt securities having a term to maturity in excess of one year under this prospectus and a Prospectus Supplement, the Prospectus Supplement will include earnings coverage ratios giving effect to the issuance of such securities. </w:t>
      </w:r>
    </w:p>
    <w:p>
      <w:pPr>
        <w:pStyle w:val="TextBody"/>
        <w:jc w:val="center"/>
        <w:rPr>
          <w:rFonts w:ascii="times" w:hAnsi="times"/>
        </w:rPr>
      </w:pPr>
      <w:bookmarkStart w:id="53" w:name="toc_dk48002_2"/>
      <w:bookmarkStart w:id="54" w:name="dk48002_description_of_share_capital"/>
      <w:bookmarkEnd w:id="53"/>
      <w:bookmarkEnd w:id="54"/>
      <w:r>
        <w:rPr>
          <w:rFonts w:ascii="times" w:hAnsi="times"/>
          <w:sz w:val="20"/>
        </w:rPr>
        <w:br/>
      </w:r>
      <w:r>
        <w:rPr>
          <w:rFonts w:ascii="times" w:hAnsi="times"/>
          <w:b/>
          <w:sz w:val="20"/>
        </w:rPr>
        <w:t xml:space="preserve">DESCRIPTION OF SHARE CAPITAL </w:t>
      </w:r>
    </w:p>
    <w:p>
      <w:pPr>
        <w:pStyle w:val="TextBody"/>
        <w:jc w:val="both"/>
        <w:rPr>
          <w:rFonts w:ascii="times" w:hAnsi="times"/>
          <w:b/>
          <w:sz w:val="20"/>
        </w:rPr>
      </w:pPr>
      <w:r>
        <w:rPr>
          <w:rFonts w:ascii="times" w:hAnsi="times"/>
          <w:b/>
          <w:sz w:val="20"/>
        </w:rPr>
        <w:t xml:space="preserve">Common Shares </w:t>
      </w:r>
    </w:p>
    <w:p>
      <w:pPr>
        <w:pStyle w:val="TextBody"/>
        <w:jc w:val="both"/>
        <w:rPr/>
      </w:pPr>
      <w:r>
        <w:rPr/>
        <w:t>        </w:t>
      </w:r>
      <w:r>
        <w:rPr>
          <w:rFonts w:ascii="times" w:hAnsi="times"/>
          <w:sz w:val="20"/>
        </w:rPr>
        <w:t xml:space="preserve">The authorized capital of the Company consists of an unlimited number of common shares, of which 173,087,426 were issued and outstanding as of June 27, 2013. All outstanding common shares of the Company are fully paid and non-assessable. The holders of the common shares are entitled to one vote per share at meetings of shareholders and to receive on a pro rata basis dividends if, as and when declared by the directors of the Company. In the event of voluntary or involuntary liquidation, dissolution or winding-up of the Company, after payment of all outstanding debts, the remaining assets of the Company available for distribution would be distributed rateably to the holders of the common shares. Holders of the common shares of the Company have no pre-emptive, redemption, exchange or conversion rights. The Company may not create any class or series of shares or make any modification to the provisions attaching to the Company's common shares without the affirmative vote of two-thirds of the votes cast by the holders of the common shares. </w:t>
      </w:r>
    </w:p>
    <w:p>
      <w:pPr>
        <w:pStyle w:val="TextBody"/>
        <w:jc w:val="both"/>
        <w:rPr>
          <w:rFonts w:ascii="times" w:hAnsi="times"/>
          <w:b/>
          <w:sz w:val="20"/>
        </w:rPr>
      </w:pPr>
      <w:r>
        <w:rPr>
          <w:rFonts w:ascii="times" w:hAnsi="times"/>
          <w:b/>
          <w:sz w:val="20"/>
        </w:rPr>
        <w:t xml:space="preserve">Warrants </w:t>
      </w:r>
    </w:p>
    <w:p>
      <w:pPr>
        <w:pStyle w:val="TextBody"/>
        <w:jc w:val="both"/>
        <w:rPr/>
      </w:pPr>
      <w:r>
        <w:rPr/>
        <w:t>        </w:t>
      </w:r>
      <w:r>
        <w:rPr>
          <w:rFonts w:ascii="times" w:hAnsi="times"/>
          <w:sz w:val="20"/>
        </w:rPr>
        <w:t xml:space="preserve">The Company issued the Warrants as part of a private placement on December 3, 2008. Effective April 4, 2009, the Warrants were amended and are governed by a warrant indenture (the "Indenture") between the Company and Computershare Trust Company of Canada, as trustee (the "Trustee"). </w:t>
      </w:r>
    </w:p>
    <w:p>
      <w:pPr>
        <w:pStyle w:val="TextBody"/>
        <w:jc w:val="both"/>
        <w:rPr/>
      </w:pPr>
      <w:r>
        <w:rPr/>
        <w:t>        </w:t>
      </w:r>
      <w:r>
        <w:rPr>
          <w:rFonts w:ascii="times" w:hAnsi="times"/>
          <w:sz w:val="20"/>
        </w:rPr>
        <w:t xml:space="preserve">Each whole Warrant entitles the holder to purchase one common share of the Company at a price of $47.25, subject to adjustment as summarized below. The Warrants are exercisable at any time prior to 4:30 p.m. (Eastern Standard Time) on December 2, 2013, after which the Warrants will expire and become void and of no effect. Warrants may be surrendered for exercise or transfer at the principal office of the Trustee in Toronto. </w:t>
      </w:r>
    </w:p>
    <w:p>
      <w:pPr>
        <w:pStyle w:val="TextBody"/>
        <w:jc w:val="both"/>
        <w:rPr/>
      </w:pPr>
      <w:r>
        <w:rPr/>
        <w:t>        </w:t>
      </w:r>
      <w:r>
        <w:rPr>
          <w:rFonts w:ascii="times" w:hAnsi="times"/>
          <w:sz w:val="20"/>
        </w:rPr>
        <w:t xml:space="preserve">The Indenture provides for adjustment in the number of common shares issuable on the exercise of the Warrants and/or the exercise price per Warrant on the occurrence of certain events, including: </w:t>
      </w:r>
    </w:p>
    <w:p>
      <w:pPr>
        <w:pStyle w:val="ListHeading"/>
        <w:numPr>
          <w:ilvl w:val="0"/>
          <w:numId w:val="0"/>
        </w:numPr>
        <w:spacing w:before="0" w:after="0"/>
        <w:ind w:left="707" w:right="0" w:hanging="0"/>
        <w:rPr>
          <w:rFonts w:ascii="times" w:hAnsi="times"/>
          <w:sz w:val="20"/>
        </w:rPr>
      </w:pPr>
      <w:r>
        <w:rPr>
          <w:rFonts w:ascii="times" w:hAnsi="times"/>
          <w:sz w:val="20"/>
        </w:rPr>
        <w:t>(a)</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declaration of a dividend or making of a distribution on the common shares payable in common shares or securities exchangeable for or convertible into common shares without payment of additional consideration to the holders of the common shares in proportion to their respective ownership of common shares; </w:t>
      </w:r>
    </w:p>
    <w:p>
      <w:pPr>
        <w:pStyle w:val="TextBody"/>
        <w:jc w:val="center"/>
        <w:rPr>
          <w:rFonts w:ascii="times" w:hAnsi="times"/>
          <w:sz w:val="20"/>
        </w:rPr>
      </w:pPr>
      <w:r>
        <w:rPr>
          <w:rFonts w:ascii="times" w:hAnsi="times"/>
          <w:sz w:val="20"/>
        </w:rPr>
        <w:t>17</w:t>
      </w:r>
    </w:p>
    <w:p>
      <w:pPr>
        <w:pStyle w:val="HorizontalLine"/>
        <w:pBdr>
          <w:bottom w:val="single" w:sz="20" w:space="0" w:color="808080"/>
        </w:pBdr>
        <w:rPr/>
      </w:pPr>
      <w:r>
        <w:rPr/>
      </w:r>
      <w:r>
        <w:br w:type="page"/>
      </w:r>
    </w:p>
    <w:p>
      <w:pPr>
        <w:pStyle w:val="ListHeading"/>
        <w:numPr>
          <w:ilvl w:val="0"/>
          <w:numId w:val="0"/>
        </w:numPr>
        <w:spacing w:before="0" w:after="0"/>
        <w:ind w:left="707" w:right="0" w:hanging="0"/>
        <w:rPr>
          <w:rFonts w:ascii="times" w:hAnsi="times"/>
          <w:sz w:val="20"/>
        </w:rPr>
      </w:pPr>
      <w:bookmarkStart w:id="55" w:name="page_dk48002_1_18"/>
      <w:bookmarkEnd w:id="55"/>
      <w:r>
        <w:rPr>
          <w:rFonts w:ascii="times" w:hAnsi="times"/>
          <w:sz w:val="20"/>
        </w:rPr>
        <w:t>(b)</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subdivision, consolidation or change of the outstanding common shares into a different number of common shares; </w:t>
      </w:r>
    </w:p>
    <w:p>
      <w:pPr>
        <w:pStyle w:val="ListHeading"/>
        <w:numPr>
          <w:ilvl w:val="0"/>
          <w:numId w:val="0"/>
        </w:numPr>
        <w:spacing w:before="0" w:after="0"/>
        <w:ind w:left="707" w:right="0" w:hanging="0"/>
        <w:rPr>
          <w:rFonts w:ascii="times" w:hAnsi="times"/>
          <w:sz w:val="20"/>
        </w:rPr>
      </w:pPr>
      <w:r>
        <w:rPr>
          <w:rFonts w:ascii="times" w:hAnsi="times"/>
          <w:sz w:val="20"/>
        </w:rPr>
        <w:t>(c)</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fixing of a record date for the issuance of rights, options or warrants to all or substantially all of the holders of the common shares under which such holders are entitled, during a period expiring not more than 45 days after such record date, to subscribe for or purchase common shares, or securities exchangeable for or convertible into common shares without payment of additional consideration at a price per share of less than 95% of the Current Market Price (as defined in the Indenture) on such record date; and </w:t>
      </w:r>
    </w:p>
    <w:p>
      <w:pPr>
        <w:pStyle w:val="ListHeading"/>
        <w:numPr>
          <w:ilvl w:val="0"/>
          <w:numId w:val="0"/>
        </w:numPr>
        <w:spacing w:before="0" w:after="0"/>
        <w:ind w:left="707" w:right="0" w:hanging="0"/>
        <w:rPr>
          <w:rFonts w:ascii="times" w:hAnsi="times"/>
          <w:sz w:val="20"/>
        </w:rPr>
      </w:pPr>
      <w:r>
        <w:rPr>
          <w:rFonts w:ascii="times" w:hAnsi="times"/>
          <w:sz w:val="20"/>
        </w:rPr>
        <w:t>(d)</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fixing of a record date for the issuance or distribution to all or substantially all of the holders of the common shares of securities of the Company (including rights, options or warrants to purchase any securities of the Company), evidence of the Company's indebtedness or any property or assets (including cash or shares of any other corporation but excluding any dividends paid in accordance with a dividend policy established by the board of directors of the Company) and such issuance or distribution does not constitute an event listed in (a) to (c) above. </w:t>
      </w:r>
    </w:p>
    <w:p>
      <w:pPr>
        <w:pStyle w:val="TextBody"/>
        <w:jc w:val="both"/>
        <w:rPr/>
      </w:pPr>
      <w:r>
        <w:rPr/>
        <w:t>        </w:t>
      </w:r>
      <w:r>
        <w:rPr>
          <w:rFonts w:ascii="times" w:hAnsi="times"/>
          <w:sz w:val="20"/>
        </w:rPr>
        <w:t xml:space="preserve">The Indenture also provides for adjustment in the class and/or number of securities issuable on the exercise of the Warrants and/or exercise price per security in the event of the following additional events: (i) a reorganization, reclassification or other change of the common shares into other securities; (ii) a consolidation, amalgamation, arrangement or merger of the Company with or into another entity (other than consolidations, amalgamations, arrangements or mergers which do not result in any reclassification of the common shares or a change of the common shares into other shares); (iii) an exchange of common shares for other shares or other securities or property, including cash, pursuant to the exercise of a statutory compulsory acquisition right; or (iv) a sale, conveyance or transfer (other than to a subsidiary of the Company) of the Company's undertakings or assets as an entirety or substantially as an entirety to another corporation or other entity or the completion of a take-over bid (as such term is defined under the </w:t>
      </w:r>
      <w:r>
        <w:rPr>
          <w:rFonts w:ascii="times" w:hAnsi="times"/>
          <w:i/>
          <w:sz w:val="20"/>
        </w:rPr>
        <w:t>Securities Act</w:t>
      </w:r>
      <w:r>
        <w:rPr>
          <w:rFonts w:ascii="times" w:hAnsi="times"/>
        </w:rPr>
        <w:t xml:space="preserve"> </w:t>
      </w:r>
      <w:r>
        <w:rPr>
          <w:rFonts w:ascii="times" w:hAnsi="times"/>
          <w:sz w:val="20"/>
        </w:rPr>
        <w:t xml:space="preserve">(Ontario)) resulting in the offeror, together with any persons acting jointly or in concert with the offeror, holding at least two-thirds of the then outstanding common shares in which the holders of common shares are entitled to receive shares, other securities or property, including cash. </w:t>
      </w:r>
    </w:p>
    <w:p>
      <w:pPr>
        <w:pStyle w:val="TextBody"/>
        <w:jc w:val="both"/>
        <w:rPr/>
      </w:pPr>
      <w:r>
        <w:rPr/>
        <w:t>        </w:t>
      </w:r>
      <w:r>
        <w:rPr>
          <w:rFonts w:ascii="times" w:hAnsi="times"/>
          <w:sz w:val="20"/>
        </w:rPr>
        <w:t xml:space="preserve">No adjustment in the exercise price or the number of common shares purchasable on the exercise of the Warrants will be required to be made unless the cumulative effect of such adjustment or adjustments would change the exercise price by at least one percent or the number of common shares purchasable on exercise by at least one one-hundredth of a share; provided however, that any such adjustment that is not made will be carried forward and taken into account in any subsequent adjustment. </w:t>
      </w:r>
    </w:p>
    <w:p>
      <w:pPr>
        <w:pStyle w:val="TextBody"/>
        <w:jc w:val="both"/>
        <w:rPr/>
      </w:pPr>
      <w:r>
        <w:rPr/>
        <w:t>        </w:t>
      </w:r>
      <w:r>
        <w:rPr>
          <w:rFonts w:ascii="times" w:hAnsi="times"/>
          <w:sz w:val="20"/>
        </w:rPr>
        <w:t xml:space="preserve">The Company covenanted in the Indenture that, during the period in which the Warrants are exercisable, it will give notice to holders of Warrants of any event that requires or may require an adjustment in any of the exercise rights pursuant to any of the Warrants at least ten days prior to the record date or effective date, as the case may be, of such event. </w:t>
      </w:r>
    </w:p>
    <w:p>
      <w:pPr>
        <w:pStyle w:val="TextBody"/>
        <w:jc w:val="both"/>
        <w:rPr/>
      </w:pPr>
      <w:r>
        <w:rPr/>
        <w:t>        </w:t>
      </w:r>
      <w:r>
        <w:rPr>
          <w:rFonts w:ascii="times" w:hAnsi="times"/>
          <w:sz w:val="20"/>
        </w:rPr>
        <w:t xml:space="preserve">No fractional common shares will be issuable on the exercise of any Warrants. The Company will not pay cash or other consideration to the holder of a Warrant in lieu of fractional common shares. Except as expressly provided in the Indenture or in the Warrants, holders of Warrants will not have any voting rights or any other rights that a holder of common shares would have (including, without limitation, the right to receive notice of or to attend meetings of shareholders or any right to receive dividends or other distributions). Holders of Warrants will have no pre-emptive rights to acquire securities of the Company. </w:t>
      </w:r>
    </w:p>
    <w:p>
      <w:pPr>
        <w:pStyle w:val="TextBody"/>
        <w:jc w:val="both"/>
        <w:rPr/>
      </w:pPr>
      <w:r>
        <w:rPr/>
        <w:t>        </w:t>
      </w:r>
      <w:r>
        <w:rPr>
          <w:rFonts w:ascii="times" w:hAnsi="times"/>
          <w:sz w:val="20"/>
        </w:rPr>
        <w:t xml:space="preserve">From time to time, the Company and the Trustee, without the consent of the holders of Warrants, may amend or supplement the Indenture for certain purposes, including curing defects or inconsistencies or making any change that, in the opinion of the Trustee, does not prejudice the rights of the Trustee or the holders of the Warrants. Any amendment or supplement to the Indenture that prejudices the interests of the holders of the Warrants may only be made by "extraordinary resolution", which is defined in the Indenture as a resolution either (i) passed at a meeting of the holders of Warrants at which there are holders of Warrants present in person or represented by proxy representing at least 25% of the then outstanding Warrants (at least 50% for any amendment that would increase the exercise price per security, decrease the number of securities issuable upon </w:t>
      </w:r>
    </w:p>
    <w:p>
      <w:pPr>
        <w:pStyle w:val="TextBody"/>
        <w:jc w:val="center"/>
        <w:rPr>
          <w:rFonts w:ascii="times" w:hAnsi="times"/>
          <w:sz w:val="20"/>
        </w:rPr>
      </w:pPr>
      <w:r>
        <w:rPr>
          <w:rFonts w:ascii="times" w:hAnsi="times"/>
          <w:sz w:val="20"/>
        </w:rPr>
        <w:t>18</w:t>
      </w:r>
    </w:p>
    <w:p>
      <w:pPr>
        <w:pStyle w:val="HorizontalLine"/>
        <w:pBdr>
          <w:bottom w:val="single" w:sz="20" w:space="0" w:color="808080"/>
        </w:pBdr>
        <w:rPr/>
      </w:pPr>
      <w:r>
        <w:rPr/>
      </w:r>
      <w:r>
        <w:br w:type="page"/>
      </w:r>
    </w:p>
    <w:p>
      <w:pPr>
        <w:pStyle w:val="TextBody"/>
        <w:jc w:val="both"/>
        <w:rPr>
          <w:rFonts w:ascii="times" w:hAnsi="times"/>
          <w:sz w:val="20"/>
        </w:rPr>
      </w:pPr>
      <w:bookmarkStart w:id="56" w:name="page_dk48002_1_19"/>
      <w:bookmarkEnd w:id="56"/>
      <w:r>
        <w:rPr>
          <w:rFonts w:ascii="times" w:hAnsi="times"/>
          <w:sz w:val="20"/>
        </w:rPr>
        <w:t>the exercise of Warrants or shorten the term of the Warrants), or such lesser percentage constituting a quorum for this purpose under the Indenture, and passed by the affirmative vote of holders of Warrants representing not less than 66</w:t>
      </w:r>
      <w:r>
        <w:rPr>
          <w:rFonts w:ascii="times" w:hAnsi="times"/>
          <w:position w:val="7"/>
          <w:sz w:val="16"/>
          <w:sz w:val="20"/>
        </w:rPr>
        <w:t>2</w:t>
      </w:r>
      <w:r>
        <w:rPr>
          <w:rFonts w:ascii="times" w:hAnsi="times"/>
          <w:sz w:val="20"/>
        </w:rPr>
        <w:t>/</w:t>
      </w:r>
      <w:r>
        <w:rPr>
          <w:rFonts w:ascii="times" w:hAnsi="times"/>
          <w:sz w:val="14"/>
        </w:rPr>
        <w:t>3</w:t>
      </w:r>
      <w:r>
        <w:rPr>
          <w:rFonts w:ascii="times" w:hAnsi="times"/>
          <w:sz w:val="20"/>
        </w:rPr>
        <w:t>% of the then outstanding Warrants represented at the meeting and voted on the poll on such resolution; or (ii) adopted by an instrument in writing signed by the holders of Warrants representing not less than 66</w:t>
      </w:r>
      <w:r>
        <w:rPr>
          <w:rFonts w:ascii="times" w:hAnsi="times"/>
          <w:position w:val="7"/>
          <w:sz w:val="16"/>
          <w:sz w:val="20"/>
        </w:rPr>
        <w:t>2</w:t>
      </w:r>
      <w:r>
        <w:rPr>
          <w:rFonts w:ascii="times" w:hAnsi="times"/>
          <w:sz w:val="20"/>
        </w:rPr>
        <w:t>/</w:t>
      </w:r>
      <w:r>
        <w:rPr>
          <w:rFonts w:ascii="times" w:hAnsi="times"/>
          <w:sz w:val="14"/>
        </w:rPr>
        <w:t>3</w:t>
      </w:r>
      <w:r>
        <w:rPr>
          <w:rFonts w:ascii="times" w:hAnsi="times"/>
          <w:sz w:val="20"/>
        </w:rPr>
        <w:t xml:space="preserve">% of the then outstanding Warrants. </w:t>
      </w:r>
    </w:p>
    <w:p>
      <w:pPr>
        <w:pStyle w:val="TextBody"/>
        <w:jc w:val="both"/>
        <w:rPr/>
      </w:pPr>
      <w:r>
        <w:rPr/>
        <w:t>        </w:t>
      </w:r>
      <w:r>
        <w:rPr>
          <w:rFonts w:ascii="times" w:hAnsi="times"/>
          <w:sz w:val="20"/>
        </w:rPr>
        <w:t xml:space="preserve">The Warrants may not be exercised by or on behalf of a U.S. person (a "U.S. Person"), as defined in Rule 902(k) of Regulation S under the United States Securities Act of 1933, as amended (the "U.S. Securities Act"), a person in the United States or for the account or benefit of a U.S. Person or a person in the United States (each a "Restricted Person") unless registered under the U.S. Securities Act and the securities laws of all applicable states of the United States or an exemption from such registration requirements is available. The Company does not intend to register the Warrants, or the common shares issuable upon exercise of the Warrants, in the United States. The Company and Trustee will not accept subscriptions for common shares pursuant to the exercise of Warrants from any holder of Warrants who does not certify that it is not a Restricted Person. </w:t>
      </w:r>
    </w:p>
    <w:p>
      <w:pPr>
        <w:pStyle w:val="TextBody"/>
        <w:jc w:val="both"/>
        <w:rPr/>
      </w:pPr>
      <w:r>
        <w:rPr/>
        <w:t>        </w:t>
      </w:r>
      <w:r>
        <w:rPr>
          <w:rFonts w:ascii="times" w:hAnsi="times"/>
          <w:sz w:val="20"/>
        </w:rPr>
        <w:t xml:space="preserve">Notwithstanding the foregoing, a Warrant may be exercised by or on behalf of Restricted Person if: </w:t>
      </w:r>
    </w:p>
    <w:p>
      <w:pPr>
        <w:pStyle w:val="ListHeading"/>
        <w:numPr>
          <w:ilvl w:val="0"/>
          <w:numId w:val="0"/>
        </w:numPr>
        <w:spacing w:before="0" w:after="0"/>
        <w:ind w:left="707" w:right="0" w:hanging="0"/>
        <w:rPr>
          <w:rFonts w:ascii="times" w:hAnsi="times"/>
          <w:sz w:val="20"/>
        </w:rPr>
      </w:pPr>
      <w:r>
        <w:rPr>
          <w:rFonts w:ascii="times" w:hAnsi="times"/>
          <w:sz w:val="20"/>
        </w:rPr>
        <w:t>(a)</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Warrant is a U.S. Warrant (as defined in the Indenture) and is exercised by an Initial U.S. Holder (as defined in the Indenture); </w:t>
      </w:r>
    </w:p>
    <w:p>
      <w:pPr>
        <w:pStyle w:val="ListHeading"/>
        <w:numPr>
          <w:ilvl w:val="0"/>
          <w:numId w:val="0"/>
        </w:numPr>
        <w:spacing w:before="0" w:after="0"/>
        <w:ind w:left="707" w:right="0" w:hanging="0"/>
        <w:rPr>
          <w:rFonts w:ascii="times" w:hAnsi="times"/>
          <w:sz w:val="20"/>
        </w:rPr>
      </w:pPr>
      <w:r>
        <w:rPr>
          <w:rFonts w:ascii="times" w:hAnsi="times"/>
          <w:sz w:val="20"/>
        </w:rPr>
        <w:t>(b)</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Warrant is a U.S. Warrant and the holder delivers a letter in the form of Schedule B to the Indenture to the Trustee; or </w:t>
      </w:r>
    </w:p>
    <w:p>
      <w:pPr>
        <w:pStyle w:val="ListHeading"/>
        <w:numPr>
          <w:ilvl w:val="0"/>
          <w:numId w:val="0"/>
        </w:numPr>
        <w:spacing w:before="0" w:after="0"/>
        <w:ind w:left="707" w:right="0" w:hanging="0"/>
        <w:rPr>
          <w:rFonts w:ascii="times" w:hAnsi="times"/>
          <w:sz w:val="20"/>
        </w:rPr>
      </w:pPr>
      <w:r>
        <w:rPr>
          <w:rFonts w:ascii="times" w:hAnsi="times"/>
          <w:sz w:val="20"/>
        </w:rPr>
        <w:t>(c)</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holder delivers to the Trustee a written opinion of United States counsel reasonably acceptable to the Company to the effect that either the Warrants and the common shares have been registered under the U.S. Securities Act or, that upon exercise of the Warrants, the common shares may be issued to the holder without registration under the U.S. Securities Act and any applicable securities laws of any state of the United States. </w:t>
      </w:r>
    </w:p>
    <w:p>
      <w:pPr>
        <w:pStyle w:val="TextBody"/>
        <w:jc w:val="both"/>
        <w:rPr/>
      </w:pPr>
      <w:r>
        <w:rPr/>
        <w:t>        </w:t>
      </w:r>
      <w:r>
        <w:rPr>
          <w:rFonts w:ascii="times" w:hAnsi="times"/>
          <w:sz w:val="20"/>
        </w:rPr>
        <w:t xml:space="preserve">Warrants may not be transferred except under circumstances that will not result in a violation of the U.S. Securities Act, any applicable state securities laws or any applicable Canadian securities laws. Warrants may only be sold or transferred: </w:t>
      </w:r>
    </w:p>
    <w:p>
      <w:pPr>
        <w:pStyle w:val="ListHeading"/>
        <w:numPr>
          <w:ilvl w:val="0"/>
          <w:numId w:val="0"/>
        </w:numPr>
        <w:spacing w:before="0" w:after="0"/>
        <w:ind w:left="707" w:right="0" w:hanging="0"/>
        <w:rPr>
          <w:rFonts w:ascii="times" w:hAnsi="times"/>
          <w:sz w:val="20"/>
        </w:rPr>
      </w:pPr>
      <w:r>
        <w:rPr>
          <w:rFonts w:ascii="times" w:hAnsi="times"/>
          <w:sz w:val="20"/>
        </w:rPr>
        <w:t>(a)</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to the Company; </w:t>
      </w:r>
    </w:p>
    <w:p>
      <w:pPr>
        <w:pStyle w:val="ListHeading"/>
        <w:numPr>
          <w:ilvl w:val="0"/>
          <w:numId w:val="0"/>
        </w:numPr>
        <w:spacing w:before="0" w:after="0"/>
        <w:ind w:left="707" w:right="0" w:hanging="0"/>
        <w:rPr>
          <w:rFonts w:ascii="times" w:hAnsi="times"/>
          <w:sz w:val="20"/>
        </w:rPr>
      </w:pPr>
      <w:r>
        <w:rPr>
          <w:rFonts w:ascii="times" w:hAnsi="times"/>
          <w:sz w:val="20"/>
        </w:rPr>
        <w:t>(b)</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outside the United States in accordance with Regulation S under the U.S. Securities Act; </w:t>
      </w:r>
    </w:p>
    <w:p>
      <w:pPr>
        <w:pStyle w:val="ListHeading"/>
        <w:numPr>
          <w:ilvl w:val="0"/>
          <w:numId w:val="0"/>
        </w:numPr>
        <w:spacing w:before="0" w:after="0"/>
        <w:ind w:left="707" w:right="0" w:hanging="0"/>
        <w:rPr>
          <w:rFonts w:ascii="times" w:hAnsi="times"/>
          <w:sz w:val="20"/>
        </w:rPr>
      </w:pPr>
      <w:r>
        <w:rPr>
          <w:rFonts w:ascii="times" w:hAnsi="times"/>
          <w:sz w:val="20"/>
        </w:rPr>
        <w:t>(c)</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in the United States in compliance with the exemption from registration provided by Rule 144 under the U.S. Securities Act, if available, or in another transaction that does not require registration under the U.S. Securities Act; or </w:t>
      </w:r>
    </w:p>
    <w:p>
      <w:pPr>
        <w:pStyle w:val="ListHeading"/>
        <w:numPr>
          <w:ilvl w:val="0"/>
          <w:numId w:val="0"/>
        </w:numPr>
        <w:spacing w:before="0" w:after="0"/>
        <w:ind w:left="707" w:right="0" w:hanging="0"/>
        <w:rPr>
          <w:rFonts w:ascii="times" w:hAnsi="times"/>
          <w:sz w:val="20"/>
        </w:rPr>
      </w:pPr>
      <w:r>
        <w:rPr>
          <w:rFonts w:ascii="times" w:hAnsi="times"/>
          <w:sz w:val="20"/>
        </w:rPr>
        <w:t>(d)</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pursuant to an effective registration statement under the U.S. Securities Act. </w:t>
      </w:r>
    </w:p>
    <w:p>
      <w:pPr>
        <w:pStyle w:val="TextBody"/>
        <w:jc w:val="center"/>
        <w:rPr>
          <w:rFonts w:ascii="times" w:hAnsi="times"/>
        </w:rPr>
      </w:pPr>
      <w:bookmarkStart w:id="57" w:name="toc_dk48002_3"/>
      <w:bookmarkStart w:id="58" w:name="dk48002_dividend_policy"/>
      <w:bookmarkEnd w:id="57"/>
      <w:bookmarkEnd w:id="58"/>
      <w:r>
        <w:rPr>
          <w:rFonts w:ascii="times" w:hAnsi="times"/>
          <w:sz w:val="20"/>
        </w:rPr>
        <w:br/>
      </w:r>
      <w:r>
        <w:rPr>
          <w:rFonts w:ascii="times" w:hAnsi="times"/>
          <w:b/>
          <w:sz w:val="20"/>
        </w:rPr>
        <w:t xml:space="preserve">DIVIDEND POLICY </w:t>
      </w:r>
    </w:p>
    <w:p>
      <w:pPr>
        <w:pStyle w:val="TextBody"/>
        <w:jc w:val="both"/>
        <w:rPr/>
      </w:pPr>
      <w:r>
        <w:rPr/>
        <w:t>        </w:t>
      </w:r>
      <w:r>
        <w:rPr>
          <w:rFonts w:ascii="times" w:hAnsi="times"/>
          <w:sz w:val="20"/>
        </w:rPr>
        <w:t xml:space="preserve">The Company's current policy is to pay quarterly dividends on its common shares. On March 15, 2013 and June 17, 2013, the Company paid a quarterly cash dividend of $0.22 per common share. Although the Company expects to continue paying a cash dividend, future dividends will be at the discretion of the board of directors of the Company and will be subject to factors such as the Company's earnings, financial condition and capital requirements. The Company's unsecured revolving bank credit facility contains a covenant that restricts the Company's ability to declare or pay dividends if certain events of default under such bank credit facility have occurred and are continuing. </w:t>
      </w:r>
    </w:p>
    <w:p>
      <w:pPr>
        <w:pStyle w:val="TextBody"/>
        <w:jc w:val="center"/>
        <w:rPr>
          <w:rFonts w:ascii="times" w:hAnsi="times"/>
          <w:sz w:val="20"/>
        </w:rPr>
      </w:pPr>
      <w:r>
        <w:rPr>
          <w:rFonts w:ascii="times" w:hAnsi="times"/>
          <w:sz w:val="20"/>
        </w:rPr>
        <w:t>19</w:t>
      </w:r>
    </w:p>
    <w:p>
      <w:pPr>
        <w:pStyle w:val="HorizontalLine"/>
        <w:pBdr>
          <w:bottom w:val="single" w:sz="20" w:space="0" w:color="808080"/>
        </w:pBdr>
        <w:rPr/>
      </w:pPr>
      <w:r>
        <w:rPr/>
      </w:r>
      <w:r>
        <w:br w:type="page"/>
      </w:r>
    </w:p>
    <w:p>
      <w:pPr>
        <w:pStyle w:val="TextBody"/>
        <w:jc w:val="center"/>
        <w:rPr>
          <w:rFonts w:ascii="times" w:hAnsi="times"/>
        </w:rPr>
      </w:pPr>
      <w:bookmarkStart w:id="59" w:name="toc_dk48002_4"/>
      <w:bookmarkStart w:id="60" w:name="dk48002_description_of_debt_securities"/>
      <w:bookmarkStart w:id="61" w:name="page_dk48002_1_20"/>
      <w:bookmarkEnd w:id="59"/>
      <w:bookmarkEnd w:id="60"/>
      <w:bookmarkEnd w:id="61"/>
      <w:r>
        <w:rPr>
          <w:rFonts w:ascii="times" w:hAnsi="times"/>
          <w:sz w:val="20"/>
        </w:rPr>
        <w:br/>
      </w:r>
      <w:r>
        <w:rPr>
          <w:rFonts w:ascii="times" w:hAnsi="times"/>
          <w:b/>
          <w:sz w:val="20"/>
        </w:rPr>
        <w:t xml:space="preserve">DESCRIPTION OF DEBT SECURITIES </w:t>
      </w:r>
    </w:p>
    <w:p>
      <w:pPr>
        <w:pStyle w:val="TextBody"/>
        <w:jc w:val="both"/>
        <w:rPr>
          <w:rFonts w:ascii="times" w:hAnsi="times"/>
          <w:b/>
          <w:sz w:val="20"/>
        </w:rPr>
      </w:pPr>
      <w:r>
        <w:rPr>
          <w:rFonts w:ascii="times" w:hAnsi="times"/>
          <w:b/>
          <w:sz w:val="20"/>
        </w:rPr>
        <w:t xml:space="preserve">General </w:t>
      </w:r>
    </w:p>
    <w:p>
      <w:pPr>
        <w:pStyle w:val="TextBody"/>
        <w:jc w:val="both"/>
        <w:rPr/>
      </w:pPr>
      <w:r>
        <w:rPr/>
        <w:t>        </w:t>
      </w:r>
      <w:r>
        <w:rPr>
          <w:rFonts w:ascii="times" w:hAnsi="times"/>
          <w:sz w:val="20"/>
        </w:rPr>
        <w:t xml:space="preserve">The Company may issue debt securities in one or more series under an indenture that it will enter into with one or more trustees that will be described in the Prospectus Supplement for such debt securities. The following summary describes certain general terms of the debt securities and certain provisions of the indenture, although it does not purport to be complete and is subject to, and is qualified in its entirety by reference to, the Prospectus Supplement relating to such debt securities, all of the provisions of the indenture. The terms of debt securities the Company offers may differ from the general information provided below. Prospective investors should rely only on information in the Prospectus Supplement if it is different from the following information. </w:t>
      </w:r>
    </w:p>
    <w:p>
      <w:pPr>
        <w:pStyle w:val="TextBody"/>
        <w:jc w:val="both"/>
        <w:rPr/>
      </w:pPr>
      <w:r>
        <w:rPr/>
        <w:t>        </w:t>
      </w:r>
      <w:r>
        <w:rPr>
          <w:rFonts w:ascii="times" w:hAnsi="times"/>
          <w:sz w:val="20"/>
        </w:rPr>
        <w:t xml:space="preserve">The Company may issue debt securities and incur additional indebtedness other than through the offering of debt securities pursuant to this prospectus. </w:t>
      </w:r>
    </w:p>
    <w:p>
      <w:pPr>
        <w:pStyle w:val="TextBody"/>
        <w:jc w:val="both"/>
        <w:rPr/>
      </w:pPr>
      <w:r>
        <w:rPr/>
        <w:t>        </w:t>
      </w:r>
      <w:r>
        <w:rPr>
          <w:rFonts w:ascii="times" w:hAnsi="times"/>
          <w:sz w:val="20"/>
        </w:rPr>
        <w:t xml:space="preserve">References to the "Company" in this description of debt securities mean Agnico Eagle Mines Limited but not any of its subsidiaries. </w:t>
      </w:r>
    </w:p>
    <w:p>
      <w:pPr>
        <w:pStyle w:val="TextBody"/>
        <w:jc w:val="both"/>
        <w:rPr/>
      </w:pPr>
      <w:r>
        <w:rPr/>
        <w:t>        </w:t>
      </w:r>
      <w:r>
        <w:rPr>
          <w:rFonts w:ascii="times" w:hAnsi="times"/>
          <w:sz w:val="20"/>
        </w:rPr>
        <w:t xml:space="preserve">The indenture will not limit the amount of debt securities the Company can issue under the indenture and will not limit the amount of other indebtedness the Company may incur. The Company may issue debt securities from time to time in separate series. </w:t>
      </w:r>
    </w:p>
    <w:p>
      <w:pPr>
        <w:pStyle w:val="TextBody"/>
        <w:jc w:val="both"/>
        <w:rPr/>
      </w:pPr>
      <w:r>
        <w:rPr/>
        <w:t>        </w:t>
      </w:r>
      <w:r>
        <w:rPr>
          <w:rFonts w:ascii="times" w:hAnsi="times"/>
          <w:sz w:val="20"/>
        </w:rPr>
        <w:t>The Prospectus Supplement for any series of debt securities the Company offers will describe the specific terms of such debt securities, which may include any of the following:</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designation of the debt securities;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any limit on the aggregate principal amount that may be issued in respect of the debt securities;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percentage of the principal amount at which the debt securities will be issued;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maturity date of the debt securities;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ranking of the debt securities and whether payment on the debt securities will be senior or subordinated to its other liabilities and obligations;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dates on which the Company may issue the debt securities and the date or dates on which the Company will pay the principal and any premium on the debt securities and the portion (if less than the principal amount) of debt securities to be payable on a declaration of acceleration of maturity;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whether the debt securities will bear interest, the interest rate or the method of determining the interest rate, the date from which interest will accrue, the dates interest will be payable and the record dates for interest payments or the method for determining such dates;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place or places the Company will pay interest and the place or places where debt securities can be presented for registration of transfer or exchange;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whether and under what circumstances the Company will be required to pay any additional amounts for withholding or deduction for Canadian taxes with respect to the debt securities;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whether the Company has the option of redeeming or repurchasing the debt securities and the price applicable to any such redemption;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whether the Company will be obligated to redeem or repurchase the debt securities pursuant to any mandatory sinking fund or other provisions, or at the option of a holder;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denominations in which the Company will issue the debt securities;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currency or currencies in which the debt securities are being sold and in which the principal of, and interest, premium or other amounts, if any, on, such debt securities will be payable and whether payments will be payable with reference to any index or formula;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whether the Company will issue the debt securities as global securities and, if so, the identity of the depositary for the global securities; </w:t>
      </w:r>
    </w:p>
    <w:p>
      <w:pPr>
        <w:pStyle w:val="TextBody"/>
        <w:jc w:val="center"/>
        <w:rPr>
          <w:rFonts w:ascii="times" w:hAnsi="times"/>
          <w:sz w:val="20"/>
        </w:rPr>
      </w:pPr>
      <w:r>
        <w:rPr>
          <w:rFonts w:ascii="times" w:hAnsi="times"/>
          <w:sz w:val="20"/>
        </w:rPr>
        <w:t>20</w:t>
      </w:r>
    </w:p>
    <w:p>
      <w:pPr>
        <w:pStyle w:val="HorizontalLine"/>
        <w:pBdr>
          <w:bottom w:val="single" w:sz="20" w:space="0" w:color="808080"/>
        </w:pBdr>
        <w:rPr/>
      </w:pPr>
      <w:r>
        <w:rPr/>
      </w:r>
      <w:r>
        <w:br w:type="page"/>
      </w:r>
    </w:p>
    <w:p>
      <w:pPr>
        <w:pStyle w:val="ListHeading"/>
        <w:numPr>
          <w:ilvl w:val="0"/>
          <w:numId w:val="0"/>
        </w:numPr>
        <w:spacing w:before="0" w:after="0"/>
        <w:ind w:left="707" w:right="0" w:hanging="0"/>
        <w:rPr>
          <w:rFonts w:ascii="times" w:hAnsi="times"/>
          <w:sz w:val="20"/>
        </w:rPr>
      </w:pPr>
      <w:bookmarkStart w:id="62" w:name="page_dk48002_1_21"/>
      <w:bookmarkEnd w:id="62"/>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whether the Company will issue the debt securities as bearer securities or only in registered form;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changes or additions to events of default;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changes or additions to the provisions for defeasance described under "Defeasance" below;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special rights held by the holders of the debt securities if specified events occur;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restrictions on the transfer or exchange of the debt securities;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terms for any conversion or exchange of the debt securities for any other securities;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provisions permitting or restricting the issuance of additional securities, the incurring of additional indebtedness and other material negative covenants;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provisions as to modification, amendment or variation of any rights or terms attaching to the debt securities; and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any other terms of the debt securities. </w:t>
      </w:r>
    </w:p>
    <w:p>
      <w:pPr>
        <w:pStyle w:val="TextBody"/>
        <w:jc w:val="both"/>
        <w:rPr/>
      </w:pPr>
      <w:r>
        <w:rPr/>
        <w:t>        </w:t>
      </w:r>
      <w:r>
        <w:rPr>
          <w:rFonts w:ascii="times" w:hAnsi="times"/>
          <w:sz w:val="20"/>
        </w:rPr>
        <w:t xml:space="preserve">Unless stated otherwise in the applicable Prospectus Supplement, no holder will have the right to require the Company to repurchase the debt securities and there will be no increase in the interest rate if the Company becomes involved in a highly leveraged transaction or there is a change of control of the Company. </w:t>
      </w:r>
    </w:p>
    <w:p>
      <w:pPr>
        <w:pStyle w:val="TextBody"/>
        <w:jc w:val="both"/>
        <w:rPr/>
      </w:pPr>
      <w:r>
        <w:rPr/>
        <w:t>        </w:t>
      </w:r>
      <w:r>
        <w:rPr>
          <w:rFonts w:ascii="times" w:hAnsi="times"/>
          <w:sz w:val="20"/>
        </w:rPr>
        <w:t xml:space="preserve">The Company may issue debt securities bearing no interest or interest at a rate below the prevailing market rate at the time of issuance, and offer and sell these securities at a discount below their stated principal amount. The Company may also sell any of the debt securities for a foreign currency or currency unit, and payments on the debt securities may be payable in a foreign currency or currency unit. In any of these cases, the Company will describe in the applicable Prospectus Supplement, any Canadian and United States federal income tax consequences and other special considerations. </w:t>
      </w:r>
    </w:p>
    <w:p>
      <w:pPr>
        <w:pStyle w:val="TextBody"/>
        <w:jc w:val="both"/>
        <w:rPr/>
      </w:pPr>
      <w:r>
        <w:rPr/>
        <w:t>        </w:t>
      </w:r>
      <w:r>
        <w:rPr>
          <w:rFonts w:ascii="times" w:hAnsi="times"/>
          <w:sz w:val="20"/>
        </w:rPr>
        <w:t xml:space="preserve">The Company may issue debt securities with terms different from those of debt securities previously issued and, without the consent of the holders thereof, the Company may reopen a previous issue of a series of debt securities and issue additional debt securities of such series (unless the reopening was restricted when such series was created). </w:t>
      </w:r>
    </w:p>
    <w:p>
      <w:pPr>
        <w:pStyle w:val="TextBody"/>
        <w:jc w:val="both"/>
        <w:rPr/>
      </w:pPr>
      <w:r>
        <w:rPr/>
        <w:t>        </w:t>
      </w:r>
      <w:r>
        <w:rPr>
          <w:rFonts w:ascii="times" w:hAnsi="times"/>
          <w:sz w:val="20"/>
        </w:rPr>
        <w:t xml:space="preserve">Unless stated otherwise in the applicable Prospectus Supplement, the Company will issue debt securities only in fully registered form without coupons, in denominations of $1,000 and multiples of $1,000. In addition, all or a portion of the debt securities of any series may be issued in permanent registered global form which will be exchangeable for definitive debt securities only under certain conditions. The applicable Prospectus Supplement may indicate the denominations to be issued, the procedures for payment of interest and principal and other matters. No service charge will be made for any registration of transfer or exchange of the debt securities, but the Company may, in certain instances, require payment of a sum sufficient to cover any tax or other governmental charge payable in connection with these transactions. </w:t>
      </w:r>
    </w:p>
    <w:p>
      <w:pPr>
        <w:pStyle w:val="TextBody"/>
        <w:jc w:val="both"/>
        <w:rPr>
          <w:rFonts w:ascii="times" w:hAnsi="times"/>
          <w:b/>
          <w:sz w:val="20"/>
        </w:rPr>
      </w:pPr>
      <w:r>
        <w:rPr>
          <w:rFonts w:ascii="times" w:hAnsi="times"/>
          <w:b/>
          <w:sz w:val="20"/>
        </w:rPr>
        <w:t xml:space="preserve">Ranking </w:t>
      </w:r>
    </w:p>
    <w:p>
      <w:pPr>
        <w:pStyle w:val="TextBody"/>
        <w:jc w:val="both"/>
        <w:rPr/>
      </w:pPr>
      <w:r>
        <w:rPr/>
        <w:t>        </w:t>
      </w:r>
      <w:r>
        <w:rPr>
          <w:rFonts w:ascii="times" w:hAnsi="times"/>
          <w:sz w:val="20"/>
        </w:rPr>
        <w:t xml:space="preserve">The debt securities will be direct unsecured obligations of the Company. The debt securities will be senior or subordinated indebtedness of the Company as described in the applicable Prospectus Supplement. If the debt securities are senior indebtedness, they will rank equally and rateably with all other unsecured indebtedness of the Company from time to time issued and outstanding which is not subordinated. If the debt securities are subordinated indebtedness, they will be subordinated to senior indebtedness of the Company as described in the applicable Prospectus Supplement, and they will rank equally and rateably with other subordinated indebtedness of the Company from time to time issued and outstanding as described in the applicable Prospectus Supplement. The Company reserves the right to specify in a Prospectus Supplement whether a particular series of subordinated debt securities is subordinated to any other series of subordinated debt securities. </w:t>
      </w:r>
    </w:p>
    <w:p>
      <w:pPr>
        <w:pStyle w:val="TextBody"/>
        <w:jc w:val="both"/>
        <w:rPr>
          <w:rFonts w:ascii="times" w:hAnsi="times"/>
          <w:b/>
          <w:sz w:val="20"/>
        </w:rPr>
      </w:pPr>
      <w:r>
        <w:rPr>
          <w:rFonts w:ascii="times" w:hAnsi="times"/>
          <w:b/>
          <w:sz w:val="20"/>
        </w:rPr>
        <w:t xml:space="preserve">Payment and Transfer </w:t>
      </w:r>
    </w:p>
    <w:p>
      <w:pPr>
        <w:pStyle w:val="TextBody"/>
        <w:jc w:val="both"/>
        <w:rPr/>
      </w:pPr>
      <w:r>
        <w:rPr/>
        <w:t>        </w:t>
      </w:r>
      <w:r>
        <w:rPr>
          <w:rFonts w:ascii="times" w:hAnsi="times"/>
          <w:sz w:val="20"/>
        </w:rPr>
        <w:t xml:space="preserve">Unless stated otherwise in the Prospectus Supplement, the Company will make payments of principal of (and premium, if any, on) debt securities of a particular series in the designated currency against surrender of </w:t>
      </w:r>
    </w:p>
    <w:p>
      <w:pPr>
        <w:pStyle w:val="TextBody"/>
        <w:jc w:val="center"/>
        <w:rPr>
          <w:rFonts w:ascii="times" w:hAnsi="times"/>
          <w:sz w:val="20"/>
        </w:rPr>
      </w:pPr>
      <w:r>
        <w:rPr>
          <w:rFonts w:ascii="times" w:hAnsi="times"/>
          <w:sz w:val="20"/>
        </w:rPr>
        <w:t>21</w:t>
      </w:r>
    </w:p>
    <w:p>
      <w:pPr>
        <w:pStyle w:val="HorizontalLine"/>
        <w:pBdr>
          <w:bottom w:val="single" w:sz="20" w:space="0" w:color="808080"/>
        </w:pBdr>
        <w:rPr/>
      </w:pPr>
      <w:r>
        <w:rPr/>
      </w:r>
      <w:r>
        <w:br w:type="page"/>
      </w:r>
    </w:p>
    <w:p>
      <w:pPr>
        <w:pStyle w:val="TextBody"/>
        <w:jc w:val="both"/>
        <w:rPr>
          <w:rFonts w:ascii="times" w:hAnsi="times"/>
          <w:sz w:val="20"/>
        </w:rPr>
      </w:pPr>
      <w:bookmarkStart w:id="63" w:name="page_dk48002_1_22"/>
      <w:bookmarkEnd w:id="63"/>
      <w:r>
        <w:rPr>
          <w:rFonts w:ascii="times" w:hAnsi="times"/>
          <w:sz w:val="20"/>
        </w:rPr>
        <w:t>the debt securities at the office of the paying agent the Company designates from time to time. Unless stated otherwise in the applicable Prospectus Supplement, the Company will make payment of any installment of interest on debt securities to the persons in whose names the debt securities are registered on the close of business on the day or days specified by the Company. Unless otherwise indicated in the applicable Prospectus Supplement, payments of interest will be made, at the Company's option:</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at the corporate trust office of the paying agent that the Company designates from time to time;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by electronic funds transfer to an account that the holder designates from time to time; or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by cheque in the designated currency mailed to each holder at the relevant holder's registered address. </w:t>
      </w:r>
    </w:p>
    <w:p>
      <w:pPr>
        <w:pStyle w:val="TextBody"/>
        <w:jc w:val="both"/>
        <w:rPr/>
      </w:pPr>
      <w:r>
        <w:rPr/>
        <w:t>        </w:t>
      </w:r>
      <w:r>
        <w:rPr>
          <w:rFonts w:ascii="times" w:hAnsi="times"/>
          <w:sz w:val="20"/>
        </w:rPr>
        <w:t xml:space="preserve">Unless stated otherwise in the Prospectus Supplement, holders may transfer or exchange fully registered debt securities at the corporate trust office of the trustee or at any other office or agency the Company maintains, or causes to be maintained, for these purposes, without the payment of any service charge except for any tax or governmental charge. </w:t>
      </w:r>
    </w:p>
    <w:p>
      <w:pPr>
        <w:pStyle w:val="TextBody"/>
        <w:jc w:val="both"/>
        <w:rPr>
          <w:rFonts w:ascii="times" w:hAnsi="times"/>
          <w:b/>
          <w:sz w:val="20"/>
        </w:rPr>
      </w:pPr>
      <w:r>
        <w:rPr>
          <w:rFonts w:ascii="times" w:hAnsi="times"/>
          <w:b/>
          <w:sz w:val="20"/>
        </w:rPr>
        <w:t xml:space="preserve">Global Securities </w:t>
      </w:r>
    </w:p>
    <w:p>
      <w:pPr>
        <w:pStyle w:val="TextBody"/>
        <w:jc w:val="both"/>
        <w:rPr/>
      </w:pPr>
      <w:r>
        <w:rPr/>
        <w:t>        </w:t>
      </w:r>
      <w:r>
        <w:rPr>
          <w:rFonts w:ascii="times" w:hAnsi="times"/>
          <w:sz w:val="20"/>
        </w:rPr>
        <w:t xml:space="preserve">The Company may issue debt securities of a series in the form of one or more global securities which will be deposited with a depositary, or its nominee, identified in the applicable Prospectus Supplement. The global securities may be in temporary or permanent form. The applicable Prospectus Supplement will describe the terms of any depositary arrangement and the rights and limitations of owners of beneficial interests in any global security. The applicable Prospectus Supplement will also describe the exchange, registration and transfer rights relating to any global security. </w:t>
      </w:r>
    </w:p>
    <w:p>
      <w:pPr>
        <w:pStyle w:val="TextBody"/>
        <w:jc w:val="both"/>
        <w:rPr>
          <w:rFonts w:ascii="times" w:hAnsi="times"/>
          <w:b/>
          <w:sz w:val="20"/>
        </w:rPr>
      </w:pPr>
      <w:r>
        <w:rPr>
          <w:rFonts w:ascii="times" w:hAnsi="times"/>
          <w:b/>
          <w:sz w:val="20"/>
        </w:rPr>
        <w:t xml:space="preserve">Merger, Amalgamation or Consolidation </w:t>
      </w:r>
    </w:p>
    <w:p>
      <w:pPr>
        <w:pStyle w:val="TextBody"/>
        <w:jc w:val="both"/>
        <w:rPr/>
      </w:pPr>
      <w:r>
        <w:rPr/>
        <w:t>        </w:t>
      </w:r>
      <w:r>
        <w:rPr>
          <w:rFonts w:ascii="times" w:hAnsi="times"/>
          <w:sz w:val="20"/>
        </w:rPr>
        <w:t xml:space="preserve">The indenture will generally permit the Company to amalgamate or consolidate with or merge into any other person, and to transfer or dispose of substantially all of its assets, so long as (a) the resulting person (i) is the Company or (ii) is a Canadian or U.S. entity and assumes the Company's obligations regarding the debt securities and under the indenture, and (b) immediately after giving effect to the transaction, no default or event of default under the indenture shall have occurred and be continuing. </w:t>
      </w:r>
    </w:p>
    <w:p>
      <w:pPr>
        <w:pStyle w:val="TextBody"/>
        <w:jc w:val="both"/>
        <w:rPr/>
      </w:pPr>
      <w:r>
        <w:rPr/>
        <w:t>        </w:t>
      </w:r>
      <w:r>
        <w:rPr>
          <w:rFonts w:ascii="times" w:hAnsi="times"/>
          <w:sz w:val="20"/>
        </w:rPr>
        <w:t xml:space="preserve">If the resulting person assumes the Company's obligations, subject to certain exceptions, the Company will be relieved of those obligations. </w:t>
      </w:r>
    </w:p>
    <w:p>
      <w:pPr>
        <w:pStyle w:val="TextBody"/>
        <w:jc w:val="both"/>
        <w:rPr>
          <w:rFonts w:ascii="times" w:hAnsi="times"/>
          <w:b/>
          <w:sz w:val="20"/>
        </w:rPr>
      </w:pPr>
      <w:r>
        <w:rPr>
          <w:rFonts w:ascii="times" w:hAnsi="times"/>
          <w:b/>
          <w:sz w:val="20"/>
        </w:rPr>
        <w:t xml:space="preserve">Events of Default </w:t>
      </w:r>
    </w:p>
    <w:p>
      <w:pPr>
        <w:pStyle w:val="TextBody"/>
        <w:jc w:val="both"/>
        <w:rPr/>
      </w:pPr>
      <w:r>
        <w:rPr/>
        <w:t>        </w:t>
      </w:r>
      <w:r>
        <w:rPr>
          <w:rFonts w:ascii="times" w:hAnsi="times"/>
          <w:sz w:val="20"/>
        </w:rPr>
        <w:t>When the Company uses the term "event of default" in the indenture, it will mean, in respect of a series of debt securities:</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Company fails to pay principal or any premium on any debt security of that series when it is due;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Company fails to pay interest on any debt security of that series for 30 days after the date when it is due;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Company fails to comply with any of its other agreements relating to the debt securities or the indenture for 60 days after written notice by the trustee or by holders of at least 25% of the aggregate principal amount of the debt securities of that series then outstanding;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certain events involving its bankruptcy, insolvency or reorganization; and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any other event of default provided for with respect to that series of debt securities. </w:t>
      </w:r>
    </w:p>
    <w:p>
      <w:pPr>
        <w:pStyle w:val="TextBody"/>
        <w:jc w:val="both"/>
        <w:rPr/>
      </w:pPr>
      <w:r>
        <w:rPr/>
        <w:t>        </w:t>
      </w:r>
      <w:r>
        <w:rPr>
          <w:rFonts w:ascii="times" w:hAnsi="times"/>
          <w:sz w:val="20"/>
        </w:rPr>
        <w:t xml:space="preserve">The Prospectus Supplement for a series of debt securities may include additional events of default or changes to the events of default described above. The trustee will give notice within a reasonable time (not exceeding 30 days) to the holders of debt securities of any default unless it determines in good faith the withholding of such notice is in the best interests of the holders, collectively, and so advises the Company in writing. </w:t>
      </w:r>
    </w:p>
    <w:p>
      <w:pPr>
        <w:pStyle w:val="TextBody"/>
        <w:jc w:val="center"/>
        <w:rPr>
          <w:rFonts w:ascii="times" w:hAnsi="times"/>
          <w:sz w:val="20"/>
        </w:rPr>
      </w:pPr>
      <w:r>
        <w:rPr>
          <w:rFonts w:ascii="times" w:hAnsi="times"/>
          <w:sz w:val="20"/>
        </w:rPr>
        <w:t>22</w:t>
      </w:r>
    </w:p>
    <w:p>
      <w:pPr>
        <w:pStyle w:val="HorizontalLine"/>
        <w:pBdr>
          <w:bottom w:val="single" w:sz="20" w:space="0" w:color="808080"/>
        </w:pBdr>
        <w:rPr/>
      </w:pPr>
      <w:r>
        <w:rPr/>
      </w:r>
      <w:r>
        <w:br w:type="page"/>
      </w:r>
    </w:p>
    <w:p>
      <w:pPr>
        <w:pStyle w:val="TextBody"/>
        <w:jc w:val="both"/>
        <w:rPr/>
      </w:pPr>
      <w:bookmarkStart w:id="64" w:name="page_dk48002_1_23"/>
      <w:bookmarkEnd w:id="64"/>
      <w:r>
        <w:rPr/>
        <w:t>        </w:t>
      </w:r>
      <w:r>
        <w:rPr>
          <w:rFonts w:ascii="times" w:hAnsi="times"/>
          <w:sz w:val="20"/>
        </w:rPr>
        <w:t xml:space="preserve">A default under one series of debt securities will not necessarily be a default under another series. </w:t>
      </w:r>
    </w:p>
    <w:p>
      <w:pPr>
        <w:pStyle w:val="TextBody"/>
        <w:jc w:val="both"/>
        <w:rPr/>
      </w:pPr>
      <w:r>
        <w:rPr/>
        <w:t>        </w:t>
      </w:r>
      <w:r>
        <w:rPr>
          <w:rFonts w:ascii="times" w:hAnsi="times"/>
          <w:sz w:val="20"/>
        </w:rPr>
        <w:t>If an event of default for any series of debt securities occurs and is continuing, the trustee or the holders of at least 25% of the aggregate principal amount of the debt securities of that series may require the Company to repay immediately:</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aggregate unpaid principal amount of the debt securities of the series; or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if the debt securities are discounted securities, that portion of the principal as is described in the applicable Prospectus Supplement. </w:t>
      </w:r>
    </w:p>
    <w:p>
      <w:pPr>
        <w:pStyle w:val="TextBody"/>
        <w:jc w:val="both"/>
        <w:rPr/>
      </w:pPr>
      <w:r>
        <w:rPr/>
        <w:t>        </w:t>
      </w:r>
      <w:r>
        <w:rPr>
          <w:rFonts w:ascii="times" w:hAnsi="times"/>
          <w:sz w:val="20"/>
        </w:rPr>
        <w:t xml:space="preserve">If an event of default relates to events involving the Company's or a material subsidiary's bankruptcy, insolvency or reorganization, the aggregate unpaid principal amount of all debt securities will become immediately due and payable without any action by the trustee or any holder. In either case, subject to certain conditions, the holders of a majority of the aggregate principal amount of the debt securities of the affected series can rescind the accelerated payment requirement. </w:t>
      </w:r>
    </w:p>
    <w:p>
      <w:pPr>
        <w:pStyle w:val="TextBody"/>
        <w:jc w:val="both"/>
        <w:rPr/>
      </w:pPr>
      <w:r>
        <w:rPr/>
        <w:t>        </w:t>
      </w:r>
      <w:r>
        <w:rPr>
          <w:rFonts w:ascii="times" w:hAnsi="times"/>
          <w:sz w:val="20"/>
        </w:rPr>
        <w:t xml:space="preserve">Other than its duties in case of a default, the trustee will not be obligated to exercise any of its rights or powers under the indenture at the request, order or direction of any holders, unless the holders offer the trustee reasonable indemnity. If they provide this reasonable indemnity, the holders of a majority in principal amount of any series of debt securities may, subject to certain limitations, direct the time, method and place of conducting any proceeding or any remedy available to the trustee, or exercising any power conferred on the trustee, for any series of debt securities. </w:t>
      </w:r>
    </w:p>
    <w:p>
      <w:pPr>
        <w:pStyle w:val="TextBody"/>
        <w:jc w:val="both"/>
        <w:rPr/>
      </w:pPr>
      <w:r>
        <w:rPr/>
        <w:t>        </w:t>
      </w:r>
      <w:r>
        <w:rPr>
          <w:rFonts w:ascii="times" w:hAnsi="times"/>
          <w:sz w:val="20"/>
        </w:rPr>
        <w:t xml:space="preserve">The Company will be required to furnish to the trustee a statement annually as to its compliance with all conditions and covenants under the indenture and, if the Company is not in compliance, it must specify any defaults. </w:t>
      </w:r>
    </w:p>
    <w:p>
      <w:pPr>
        <w:pStyle w:val="TextBody"/>
        <w:jc w:val="both"/>
        <w:rPr>
          <w:rFonts w:ascii="times" w:hAnsi="times"/>
          <w:b/>
          <w:sz w:val="20"/>
        </w:rPr>
      </w:pPr>
      <w:r>
        <w:rPr>
          <w:rFonts w:ascii="times" w:hAnsi="times"/>
          <w:b/>
          <w:sz w:val="20"/>
        </w:rPr>
        <w:t xml:space="preserve">Defeasance </w:t>
      </w:r>
    </w:p>
    <w:p>
      <w:pPr>
        <w:pStyle w:val="TextBody"/>
        <w:jc w:val="both"/>
        <w:rPr/>
      </w:pPr>
      <w:r>
        <w:rPr/>
        <w:t>        </w:t>
      </w:r>
      <w:r>
        <w:rPr>
          <w:rFonts w:ascii="times" w:hAnsi="times"/>
          <w:sz w:val="20"/>
        </w:rPr>
        <w:t>When the Company uses the term "defeasance", it means that the Company is deemed to have paid and discharged the entire indebtedness represented by all debt securities of a particular series then outstanding and to have satisfied all its other obligations with respect to such series. If the Company deposits with the trustee sufficient cash or government securities to pay the principal, interest, any premium and any other sums due to the stated maturity date or a redemption date of the debt securities of a series, then at its option:</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Company will be discharged from its obligations with respect to the debt securities of that series; or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Company will no longer be under any obligation to comply with certain restrictive covenants under the indenture, and certain events of default will no longer apply to the Company. </w:t>
      </w:r>
    </w:p>
    <w:p>
      <w:pPr>
        <w:pStyle w:val="TextBody"/>
        <w:jc w:val="both"/>
        <w:rPr/>
      </w:pPr>
      <w:r>
        <w:rPr/>
        <w:t>        </w:t>
      </w:r>
      <w:r>
        <w:rPr>
          <w:rFonts w:ascii="times" w:hAnsi="times"/>
          <w:sz w:val="20"/>
        </w:rPr>
        <w:t xml:space="preserve">If this happens, the holders of the debt securities of the affected series will not be entitled to the benefits of the indenture except for registration of transfer and exchange of the debt securities and the replacement of lost, stolen or mutilated debt securities. These holders may look only to the deposited fund for payment on their debt securities. </w:t>
      </w:r>
    </w:p>
    <w:p>
      <w:pPr>
        <w:pStyle w:val="TextBody"/>
        <w:jc w:val="both"/>
        <w:rPr/>
      </w:pPr>
      <w:r>
        <w:rPr/>
        <w:t>        </w:t>
      </w:r>
      <w:r>
        <w:rPr>
          <w:rFonts w:ascii="times" w:hAnsi="times"/>
          <w:sz w:val="20"/>
        </w:rPr>
        <w:t xml:space="preserve">Unless stated otherwise in the Prospectus Supplement, in order to exercise its defeasance option, the Company will be required to deliver to the trustee an opinion of counsel to the effect that the deposit and related defeasance would not cause the holders of the debt securities to recognize income, gain or loss for Canadian federal or Canadian provincial (and any other jurisdiction specified for this purpose in the Prospectus Supplement) income tax purposes. The Company also will be required to deliver a certificate of an officer of the Company and an opinion of counsel, each stating that all of the conditions precedent provided for relating to defeasance have been satisfied. In addition, other conditions will be required to be met before the Company may exercise its defeasance option. </w:t>
      </w:r>
    </w:p>
    <w:p>
      <w:pPr>
        <w:pStyle w:val="TextBody"/>
        <w:jc w:val="center"/>
        <w:rPr>
          <w:rFonts w:ascii="times" w:hAnsi="times"/>
          <w:sz w:val="20"/>
        </w:rPr>
      </w:pPr>
      <w:r>
        <w:rPr>
          <w:rFonts w:ascii="times" w:hAnsi="times"/>
          <w:sz w:val="20"/>
        </w:rPr>
        <w:t>23</w:t>
      </w:r>
    </w:p>
    <w:p>
      <w:pPr>
        <w:pStyle w:val="HorizontalLine"/>
        <w:pBdr>
          <w:bottom w:val="single" w:sz="20" w:space="0" w:color="808080"/>
        </w:pBdr>
        <w:rPr/>
      </w:pPr>
      <w:r>
        <w:rPr/>
      </w:r>
      <w:r>
        <w:br w:type="page"/>
      </w:r>
    </w:p>
    <w:p>
      <w:pPr>
        <w:pStyle w:val="TextBody"/>
        <w:jc w:val="both"/>
        <w:rPr>
          <w:rFonts w:ascii="times" w:hAnsi="times"/>
          <w:b/>
          <w:sz w:val="20"/>
        </w:rPr>
      </w:pPr>
      <w:bookmarkStart w:id="65" w:name="page_dm48002_1_24"/>
      <w:bookmarkEnd w:id="65"/>
      <w:r>
        <w:rPr>
          <w:rFonts w:ascii="times" w:hAnsi="times"/>
          <w:b/>
          <w:sz w:val="20"/>
        </w:rPr>
        <w:t xml:space="preserve">Modification and Waiver </w:t>
      </w:r>
    </w:p>
    <w:p>
      <w:pPr>
        <w:pStyle w:val="TextBody"/>
        <w:jc w:val="both"/>
        <w:rPr/>
      </w:pPr>
      <w:r>
        <w:rPr/>
        <w:t>        </w:t>
      </w:r>
      <w:r>
        <w:rPr>
          <w:rFonts w:ascii="times" w:hAnsi="times"/>
          <w:sz w:val="20"/>
        </w:rPr>
        <w:t>The Company may modify the indenture with the consent of the holders of a majority in aggregate principal amount of the outstanding debt securities of each series affected by the modification. However, without the consent of each holder affected, no modification may:</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reduce the percentage of the unpaid principal amount of any series whose holders must consent to any amendment or waiver under the indenture or which may otherwise require notice, information or action or effect any action, or modify the provisions in the indenture relating to amendment or waiver;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reduce the amount of, or change the currency of payment of, or delay the time of, any payments (whether of principal, premium, interest or otherwise) to be made to the holders of debt securities of any series;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change the definition of or the manner of calculating amounts (including any change in the applicable rate or rates of interest) to which any holder of debt securities of any series is entitled under the indenture;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make any change that adversely affects the redemption, conversion or exchange rights of holders of debt securities of any series;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make any change that would result in the issuer being required to make any deduction or withholding from payments to be made to holders of debt securities of any series; or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impair the right of holders to institute a suit to enforce their rights to payment. </w:t>
      </w:r>
    </w:p>
    <w:p>
      <w:pPr>
        <w:pStyle w:val="TextBody"/>
        <w:jc w:val="both"/>
        <w:rPr/>
      </w:pPr>
      <w:r>
        <w:rPr/>
        <w:t>        </w:t>
      </w:r>
      <w:r>
        <w:rPr>
          <w:rFonts w:ascii="times" w:hAnsi="times"/>
          <w:sz w:val="20"/>
        </w:rPr>
        <w:t xml:space="preserve">The holders of a majority in principal amount of outstanding debt securities of any series may on behalf of the holders of all outstanding debt securities of that series waive, only insofar as that series is concerned, any prospective or existing defaults under the indenture and the Company's compliance with certain restrictive provisions of the indenture. However, these holders may not waive a default in any payment on any debt security or compliance with a provision that cannot be modified without the consent of each holder affected. </w:t>
      </w:r>
    </w:p>
    <w:p>
      <w:pPr>
        <w:pStyle w:val="TextBody"/>
        <w:jc w:val="both"/>
        <w:rPr/>
      </w:pPr>
      <w:r>
        <w:rPr/>
        <w:t>        </w:t>
      </w:r>
      <w:r>
        <w:rPr>
          <w:rFonts w:ascii="times" w:hAnsi="times"/>
          <w:sz w:val="20"/>
        </w:rPr>
        <w:t>The Company may modify the indenture without the consent of the holders to:</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cure any ambiguity, defect or inconsistency, provided, however, that the amendment to cure any ambiguity, defect or inconsistency does not adversely affect the rights of any holder;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provide for the assumption by a successor of the Company's obligations under the indenture;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give effect to certain directions of the holders;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provide for uncertificated debt securities in addition to or in place of certificated debt securities, as long as those uncertificated debt securities are in registered form for United States federal income tax purposes;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make any change to maintain the qualification of the indenture under the United States Trust Indenture Act of 1939, as amended, or to comply with applicable laws;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change or eliminate any provisions of the indenture provided that there are no debt securities outstanding under the indenture at the time when such change or elimination takes effect;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add to the Company's covenants or the Company's obligations under the indenture or surrender any right, power or option conferred upon the Company by the indenture; or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make any other change that would not adversely affect the rights of holders. </w:t>
      </w:r>
    </w:p>
    <w:p>
      <w:pPr>
        <w:pStyle w:val="TextBody"/>
        <w:jc w:val="both"/>
        <w:rPr>
          <w:rFonts w:ascii="times" w:hAnsi="times"/>
          <w:b/>
          <w:sz w:val="20"/>
        </w:rPr>
      </w:pPr>
      <w:r>
        <w:rPr>
          <w:rFonts w:ascii="times" w:hAnsi="times"/>
          <w:b/>
          <w:sz w:val="20"/>
        </w:rPr>
        <w:t xml:space="preserve">The Trustee </w:t>
      </w:r>
    </w:p>
    <w:p>
      <w:pPr>
        <w:pStyle w:val="TextBody"/>
        <w:jc w:val="both"/>
        <w:rPr/>
      </w:pPr>
      <w:r>
        <w:rPr/>
        <w:t>        </w:t>
      </w:r>
      <w:r>
        <w:rPr>
          <w:rFonts w:ascii="times" w:hAnsi="times"/>
          <w:sz w:val="20"/>
        </w:rPr>
        <w:t xml:space="preserve">The trustee under the indenture or its affiliates may provide banking and other services to the Company in the ordinary course of its business. </w:t>
      </w:r>
    </w:p>
    <w:p>
      <w:pPr>
        <w:pStyle w:val="TextBody"/>
        <w:jc w:val="both"/>
        <w:rPr/>
      </w:pPr>
      <w:r>
        <w:rPr/>
        <w:t>        </w:t>
      </w:r>
      <w:r>
        <w:rPr>
          <w:rFonts w:ascii="times" w:hAnsi="times"/>
          <w:sz w:val="20"/>
        </w:rPr>
        <w:t xml:space="preserve">The indenture will contain certain limitations on the rights of the trustee, as long as it or any of its affiliates remain the Company's creditor, to obtain payment of claims in certain cases or to realize on certain property received on any claim as security or otherwise. The trustee and its affiliates will be permitted to engage in other </w:t>
      </w:r>
    </w:p>
    <w:p>
      <w:pPr>
        <w:pStyle w:val="TextBody"/>
        <w:jc w:val="center"/>
        <w:rPr>
          <w:rFonts w:ascii="times" w:hAnsi="times"/>
          <w:sz w:val="20"/>
        </w:rPr>
      </w:pPr>
      <w:r>
        <w:rPr>
          <w:rFonts w:ascii="times" w:hAnsi="times"/>
          <w:sz w:val="20"/>
        </w:rPr>
        <w:t>24</w:t>
      </w:r>
    </w:p>
    <w:p>
      <w:pPr>
        <w:pStyle w:val="HorizontalLine"/>
        <w:pBdr>
          <w:bottom w:val="single" w:sz="20" w:space="0" w:color="808080"/>
        </w:pBdr>
        <w:rPr/>
      </w:pPr>
      <w:r>
        <w:rPr/>
      </w:r>
      <w:r>
        <w:br w:type="page"/>
      </w:r>
    </w:p>
    <w:p>
      <w:pPr>
        <w:pStyle w:val="TextBody"/>
        <w:jc w:val="both"/>
        <w:rPr>
          <w:rFonts w:ascii="times" w:hAnsi="times"/>
          <w:sz w:val="20"/>
        </w:rPr>
      </w:pPr>
      <w:bookmarkStart w:id="66" w:name="page_dm48002_1_25"/>
      <w:bookmarkEnd w:id="66"/>
      <w:r>
        <w:rPr>
          <w:rFonts w:ascii="times" w:hAnsi="times"/>
          <w:sz w:val="20"/>
        </w:rPr>
        <w:t xml:space="preserve">transactions with the Company. If a material conflict of interest arises with respect to the trustee, the trustee shall, within 90 days of ascertaining that the conflict exists, either eliminate the conflict or resign. </w:t>
      </w:r>
    </w:p>
    <w:p>
      <w:pPr>
        <w:pStyle w:val="TextBody"/>
        <w:jc w:val="both"/>
        <w:rPr>
          <w:rFonts w:ascii="times" w:hAnsi="times"/>
          <w:b/>
          <w:sz w:val="20"/>
        </w:rPr>
      </w:pPr>
      <w:r>
        <w:rPr>
          <w:rFonts w:ascii="times" w:hAnsi="times"/>
          <w:b/>
          <w:sz w:val="20"/>
        </w:rPr>
        <w:t xml:space="preserve">Governing Law </w:t>
      </w:r>
    </w:p>
    <w:p>
      <w:pPr>
        <w:pStyle w:val="TextBody"/>
        <w:jc w:val="both"/>
        <w:rPr/>
      </w:pPr>
      <w:r>
        <w:rPr/>
        <w:t>        </w:t>
      </w:r>
      <w:r>
        <w:rPr>
          <w:rFonts w:ascii="times" w:hAnsi="times"/>
          <w:sz w:val="20"/>
        </w:rPr>
        <w:t xml:space="preserve">Unless stated otherwise in the Prospectus Supplement, the indenture and the debt securities will be governed by and construed in accordance with the laws of the Province of Ontario and the federal laws of Canada applicable in such Province. </w:t>
      </w:r>
    </w:p>
    <w:p>
      <w:pPr>
        <w:pStyle w:val="TextBody"/>
        <w:jc w:val="center"/>
        <w:rPr>
          <w:rFonts w:ascii="times" w:hAnsi="times"/>
        </w:rPr>
      </w:pPr>
      <w:bookmarkStart w:id="67" w:name="toc_dm48002_1"/>
      <w:bookmarkStart w:id="68" w:name="dm48002_description_of_warrants"/>
      <w:bookmarkEnd w:id="67"/>
      <w:bookmarkEnd w:id="68"/>
      <w:r>
        <w:rPr>
          <w:rFonts w:ascii="times" w:hAnsi="times"/>
          <w:sz w:val="20"/>
        </w:rPr>
        <w:br/>
      </w:r>
      <w:r>
        <w:rPr>
          <w:rFonts w:ascii="times" w:hAnsi="times"/>
          <w:b/>
          <w:sz w:val="20"/>
        </w:rPr>
        <w:t xml:space="preserve">DESCRIPTION OF WARRANTS </w:t>
      </w:r>
    </w:p>
    <w:p>
      <w:pPr>
        <w:pStyle w:val="TextBody"/>
        <w:jc w:val="both"/>
        <w:rPr/>
      </w:pPr>
      <w:r>
        <w:rPr/>
        <w:t>        </w:t>
      </w:r>
      <w:r>
        <w:rPr>
          <w:rFonts w:ascii="times" w:hAnsi="times"/>
          <w:sz w:val="20"/>
        </w:rPr>
        <w:t xml:space="preserve">The Company may issue warrants to purchase debt securities or common shares. The Company may issue warrants independently or together with other securities, and warrants sold with other securities may be attached to or separate from the other securities. The Company will not offer warrants for sale separately to any member of the public in Canada unless the offering is in connection with and forms part of the consideration for an acquisition or merger transaction or unless a Prospectus Supplement containing the specific terms of the warrants to be offered separately is first approved for filing by the securities commissions or similar regulatory authorities in each of the provinces of Canada where the warrants will be offered for sale. Unless the Prospectus Supplement otherwise indicates, warrants will be issued under, and governed by the terms of, one or more indentures that the Company will enter into with a warrant trustee or trustees that will be named in the Prospectus Supplement. </w:t>
      </w:r>
    </w:p>
    <w:p>
      <w:pPr>
        <w:pStyle w:val="TextBody"/>
        <w:jc w:val="both"/>
        <w:rPr/>
      </w:pPr>
      <w:r>
        <w:rPr/>
        <w:t>        </w:t>
      </w:r>
      <w:r>
        <w:rPr>
          <w:rFonts w:ascii="times" w:hAnsi="times"/>
          <w:sz w:val="20"/>
        </w:rPr>
        <w:t xml:space="preserve">The following sets forth certain general terms and provisions of the warrants offered under this prospectus. The specific terms of the warrants, and the extent to which the general terms described in this section apply to these warrants, will be set out in the applicable Prospectus Supplement. </w:t>
      </w:r>
    </w:p>
    <w:p>
      <w:pPr>
        <w:pStyle w:val="TextBody"/>
        <w:jc w:val="both"/>
        <w:rPr/>
      </w:pPr>
      <w:r>
        <w:rPr/>
        <w:t>        </w:t>
      </w:r>
      <w:r>
        <w:rPr>
          <w:rFonts w:ascii="times" w:hAnsi="times"/>
          <w:sz w:val="20"/>
        </w:rPr>
        <w:t>The Prospectus Supplement relating to any warrants the Company offers will describe the warrants and include specific terms relating to the offering. The Prospectus Supplement will include some or all of the following:</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designation and aggregate number of warrants offered;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currency or currencies in which the warrants will be offered;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designation, number and terms of the common shares or debt securities purchasable on exercise of the warrants, and procedures that will result in the adjustment of those numbers;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exercise price of the warrants;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dates or periods on, after or during which the warrants are exercisable;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designation and terms of any securities with which the warrants are issued;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if the warrants are issued as a unit with another security, the date on and after which the warrants and the other security will be separately transferable;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any minimum or maximum amount of warrants that may be exercised at any one time;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any terms, procedures and limitations relating to the transferability, exchange or exercise of the warrants;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whether the warrants will be subject to redemption or call and, if so, the terms of such redemption or call provisions;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provisions as to modification, amendment or variation of the warrant indenture or any rights or terms attaching to the warrants;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material Canadian and United States tax consequences of owning the warrants; and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any other material terms, preferences, rights or limitations of, or restrictions on, the warrants. </w:t>
      </w:r>
    </w:p>
    <w:p>
      <w:pPr>
        <w:pStyle w:val="TextBody"/>
        <w:jc w:val="both"/>
        <w:rPr/>
      </w:pPr>
      <w:r>
        <w:rPr/>
        <w:t>        </w:t>
      </w:r>
      <w:r>
        <w:rPr>
          <w:rFonts w:ascii="times" w:hAnsi="times"/>
          <w:sz w:val="20"/>
        </w:rPr>
        <w:t xml:space="preserve">Prior to the exercise of their warrants, holders of warrants will not have any of the rights of holders of the securities for which the warrants are exercisable. </w:t>
      </w:r>
    </w:p>
    <w:p>
      <w:pPr>
        <w:pStyle w:val="TextBody"/>
        <w:jc w:val="center"/>
        <w:rPr>
          <w:rFonts w:ascii="times" w:hAnsi="times"/>
          <w:sz w:val="20"/>
        </w:rPr>
      </w:pPr>
      <w:r>
        <w:rPr>
          <w:rFonts w:ascii="times" w:hAnsi="times"/>
          <w:sz w:val="20"/>
        </w:rPr>
        <w:t>25</w:t>
      </w:r>
    </w:p>
    <w:p>
      <w:pPr>
        <w:pStyle w:val="HorizontalLine"/>
        <w:pBdr>
          <w:bottom w:val="single" w:sz="20" w:space="0" w:color="808080"/>
        </w:pBdr>
        <w:rPr/>
      </w:pPr>
      <w:r>
        <w:rPr/>
      </w:r>
      <w:r>
        <w:br w:type="page"/>
      </w:r>
    </w:p>
    <w:p>
      <w:pPr>
        <w:pStyle w:val="TextBody"/>
        <w:jc w:val="both"/>
        <w:rPr/>
      </w:pPr>
      <w:bookmarkStart w:id="69" w:name="page_dm48002_1_26"/>
      <w:bookmarkEnd w:id="69"/>
      <w:r>
        <w:rPr/>
        <w:t>        </w:t>
      </w:r>
      <w:r>
        <w:rPr>
          <w:rFonts w:ascii="times" w:hAnsi="times"/>
          <w:sz w:val="20"/>
        </w:rPr>
        <w:t xml:space="preserve">The Company may amend the warrant indenture(s) and the warrants, without the consent of the holders of the warrants, to cure any ambiguity, to cure, correct or supplement any defective or inconsistent provision, or in any other manner that will not prejudice the rights of the holders of outstanding warrants, as a group. </w:t>
      </w:r>
    </w:p>
    <w:p>
      <w:pPr>
        <w:pStyle w:val="TextBody"/>
        <w:jc w:val="center"/>
        <w:rPr>
          <w:rFonts w:ascii="times" w:hAnsi="times"/>
        </w:rPr>
      </w:pPr>
      <w:bookmarkStart w:id="70" w:name="toc_dm48002_2"/>
      <w:bookmarkStart w:id="71" w:name="dm48002_plan_of_distribution"/>
      <w:bookmarkEnd w:id="70"/>
      <w:bookmarkEnd w:id="71"/>
      <w:r>
        <w:rPr>
          <w:rFonts w:ascii="times" w:hAnsi="times"/>
          <w:sz w:val="20"/>
        </w:rPr>
        <w:br/>
      </w:r>
      <w:r>
        <w:rPr>
          <w:rFonts w:ascii="times" w:hAnsi="times"/>
          <w:b/>
          <w:sz w:val="20"/>
        </w:rPr>
        <w:t xml:space="preserve">PLAN OF DISTRIBUTION </w:t>
      </w:r>
    </w:p>
    <w:p>
      <w:pPr>
        <w:pStyle w:val="TextBody"/>
        <w:jc w:val="both"/>
        <w:rPr/>
      </w:pPr>
      <w:r>
        <w:rPr/>
        <w:t>        </w:t>
      </w:r>
      <w:r>
        <w:rPr>
          <w:rFonts w:ascii="times" w:hAnsi="times"/>
          <w:sz w:val="20"/>
        </w:rPr>
        <w:t>The Company may offer and sell the Securities, separately or together, to or through one or more underwriters or dealers, purchasing as principals for public offering and sale by them, and also may sell Securities to one or more other purchasers directly or through agents. Each Prospectus Supplement will set out the terms of the offering, including:</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name or names of any underwriters or agents;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purchase price or prices, and form of consideration for, the Securities;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proceeds to the Company from the sale of the Securities;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any underwriting discounts or commissions and other items constituting underwriters' compensation;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any delayed delivery arrangements; and </w:t>
      </w:r>
    </w:p>
    <w:p>
      <w:pPr>
        <w:pStyle w:val="ListHeading"/>
        <w:numPr>
          <w:ilvl w:val="0"/>
          <w:numId w:val="0"/>
        </w:numPr>
        <w:spacing w:before="0" w:after="0"/>
        <w:ind w:left="707" w:right="0" w:hanging="0"/>
        <w:rPr>
          <w:rFonts w:ascii="times" w:hAnsi="times"/>
          <w:sz w:val="20"/>
        </w:rPr>
      </w:pPr>
      <w:r>
        <w:rPr>
          <w:rFonts w:ascii="times" w:hAnsi="times"/>
          <w:sz w:val="20"/>
        </w:rPr>
        <w:t></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any securities exchanges on which the Securities may be listed. </w:t>
      </w:r>
    </w:p>
    <w:p>
      <w:pPr>
        <w:pStyle w:val="TextBody"/>
        <w:jc w:val="both"/>
        <w:rPr/>
      </w:pPr>
      <w:r>
        <w:rPr/>
        <w:t>        </w:t>
      </w:r>
      <w:r>
        <w:rPr>
          <w:rFonts w:ascii="times" w:hAnsi="times"/>
          <w:sz w:val="20"/>
        </w:rPr>
        <w:t xml:space="preserve">A Prospectus Supplement may also provide that the Securities sold thereunder will be "flow-through" securities. </w:t>
      </w:r>
    </w:p>
    <w:p>
      <w:pPr>
        <w:pStyle w:val="TextBody"/>
        <w:jc w:val="both"/>
        <w:rPr/>
      </w:pPr>
      <w:r>
        <w:rPr/>
        <w:t>        </w:t>
      </w:r>
      <w:r>
        <w:rPr>
          <w:rFonts w:ascii="times" w:hAnsi="times"/>
          <w:sz w:val="20"/>
        </w:rPr>
        <w:t xml:space="preserve">The Securities may be sold, from time to time in one or more transactions at a fixed price or prices which may be changed or at market prices prevailing at the time of sale, at prices related to such prevailing market prices or at negotiated prices. The price at which the Securities may be offered may vary as between purchasers and during the distribution period. If, in connection with the offering of Securities at a fixed price or prices, the underwriters have made a </w:t>
      </w:r>
      <w:r>
        <w:rPr>
          <w:rFonts w:ascii="times" w:hAnsi="times"/>
          <w:i/>
          <w:sz w:val="20"/>
        </w:rPr>
        <w:t>bona fide</w:t>
      </w:r>
      <w:r>
        <w:rPr>
          <w:rFonts w:ascii="times" w:hAnsi="times"/>
        </w:rPr>
        <w:t xml:space="preserve"> </w:t>
      </w:r>
      <w:r>
        <w:rPr>
          <w:rFonts w:ascii="times" w:hAnsi="times"/>
          <w:sz w:val="20"/>
        </w:rPr>
        <w:t xml:space="preserve">effort to sell all of the Securities at the initial offering price fixed in the applicable Prospectus Supplement, the public offering price may be decreased and thereafter further changed, from time to time, to an amount not greater than the initial public offering price fixed in such Prospectus Supplement, in which case the compensation realized by the underwriters will be decreased by the amount that the aggregate price paid by purchasers for the Securities is less than the gross proceeds paid by the underwriters to the Company. </w:t>
      </w:r>
    </w:p>
    <w:p>
      <w:pPr>
        <w:pStyle w:val="TextBody"/>
        <w:jc w:val="both"/>
        <w:rPr/>
      </w:pPr>
      <w:r>
        <w:rPr/>
        <w:t>        </w:t>
      </w:r>
      <w:r>
        <w:rPr>
          <w:rFonts w:ascii="times" w:hAnsi="times"/>
          <w:sz w:val="20"/>
        </w:rPr>
        <w:t xml:space="preserve">Underwriters, dealers and agents that participate in the distribution of the Securities may be entitled under one or more agreements to be entered into with the Company to indemnification by the Company against certain liabilities, including liabilities under Canadian and U.S. securities legislation, or to contribution with respect to payments which such underwriters, dealers or agents may be required to make in respect thereof. Such underwriters, dealers and agents may engage in transactions with, or perform services for, the Company in the ordinary course of business. </w:t>
      </w:r>
    </w:p>
    <w:p>
      <w:pPr>
        <w:pStyle w:val="TextBody"/>
        <w:jc w:val="both"/>
        <w:rPr/>
      </w:pPr>
      <w:r>
        <w:rPr/>
        <w:t>        </w:t>
      </w:r>
      <w:r>
        <w:rPr>
          <w:rFonts w:ascii="times" w:hAnsi="times"/>
          <w:sz w:val="20"/>
        </w:rPr>
        <w:t xml:space="preserve">Except as set out in a Prospectus Supplement relating to a particular offering of Securities in connection with any offering of Securities, the underwriters or dealers, as the case may be, may over-allot or effect transactions intended to fix or stabilize the market price of the Securities at a level above that which might otherwise prevail in the open market. Such transactions, if commenced, may be discontinued at any time. </w:t>
      </w:r>
    </w:p>
    <w:p>
      <w:pPr>
        <w:pStyle w:val="TextBody"/>
        <w:jc w:val="center"/>
        <w:rPr>
          <w:rFonts w:ascii="times" w:hAnsi="times"/>
        </w:rPr>
      </w:pPr>
      <w:bookmarkStart w:id="72" w:name="toc_dm48002_3"/>
      <w:bookmarkStart w:id="73" w:name="dm48002_experts"/>
      <w:bookmarkEnd w:id="72"/>
      <w:bookmarkEnd w:id="73"/>
      <w:r>
        <w:rPr>
          <w:rFonts w:ascii="times" w:hAnsi="times"/>
          <w:sz w:val="20"/>
        </w:rPr>
        <w:br/>
      </w:r>
      <w:r>
        <w:rPr>
          <w:rFonts w:ascii="times" w:hAnsi="times"/>
          <w:b/>
          <w:sz w:val="20"/>
        </w:rPr>
        <w:t xml:space="preserve">EXPERTS </w:t>
      </w:r>
    </w:p>
    <w:p>
      <w:pPr>
        <w:pStyle w:val="TextBody"/>
        <w:jc w:val="both"/>
        <w:rPr/>
      </w:pPr>
      <w:r>
        <w:rPr/>
        <w:t>        </w:t>
      </w:r>
      <w:r>
        <w:rPr>
          <w:rFonts w:ascii="times" w:hAnsi="times"/>
          <w:sz w:val="20"/>
        </w:rPr>
        <w:t xml:space="preserve">Information relating to the Company's mineral properties in this prospectus and the documents incorporated by reference herein has been prepared or supervised by, or is derived from reports prepared or supervised by, Daniel Doucet, P.Eng., and has been included in reliance on such persons' expertise. Mr. Doucet has not received a direct or indirect interest in the property of the Company or of any associate or affiliate of the Company. Both as at the date hereof and as at the date Mr. Doucet prepared or supervised the preparation of information relating to the Company's mineral properties contained in this prospectus or incorporated by reference herein, Mr. Doucet beneficially owned, directly or indirectly, less than one percent of the securities of the Company. Mr. Doucet is currently employed by the Company as the Corporate Director, Reserve Development. </w:t>
      </w:r>
    </w:p>
    <w:p>
      <w:pPr>
        <w:pStyle w:val="TextBody"/>
        <w:jc w:val="center"/>
        <w:rPr>
          <w:rFonts w:ascii="times" w:hAnsi="times"/>
          <w:sz w:val="20"/>
        </w:rPr>
      </w:pPr>
      <w:r>
        <w:rPr>
          <w:rFonts w:ascii="times" w:hAnsi="times"/>
          <w:sz w:val="20"/>
        </w:rPr>
        <w:t>26</w:t>
      </w:r>
    </w:p>
    <w:p>
      <w:pPr>
        <w:pStyle w:val="HorizontalLine"/>
        <w:pBdr>
          <w:bottom w:val="single" w:sz="20" w:space="0" w:color="808080"/>
        </w:pBdr>
        <w:rPr/>
      </w:pPr>
      <w:r>
        <w:rPr/>
      </w:r>
      <w:r>
        <w:br w:type="page"/>
      </w:r>
    </w:p>
    <w:p>
      <w:pPr>
        <w:pStyle w:val="TextBody"/>
        <w:jc w:val="both"/>
        <w:rPr/>
      </w:pPr>
      <w:bookmarkStart w:id="74" w:name="page_dm48002_1_27"/>
      <w:bookmarkEnd w:id="74"/>
      <w:r>
        <w:rPr/>
        <w:t>        </w:t>
      </w:r>
      <w:r>
        <w:rPr>
          <w:rFonts w:ascii="times" w:hAnsi="times"/>
          <w:sz w:val="20"/>
        </w:rPr>
        <w:t xml:space="preserve">The auditors of the Company are Ernst &amp; Young LLP, Chartered Accountants, of Toronto, Ontario. Ernst &amp; Young LLP, Chartered Accountants, report that they are independent of the Company in accordance with the Rules of Professional Conduct of the Institute of Chartered Accountants of Ontario and in accordance with the applicable rules and regulations of the SEC and the Public Company Accounting Oversight Board. Ernst &amp; Young LLP is registered with the Public Company Accounting Oversight Board. The audited consolidated financial statements of the Company as at December 31, 2012 and 2011 and for each of the years in the three-year period ended December 31, 2012 have been audited by Ernst &amp; Young LLP as set forth in their reports thereon and are incorporated by reference herein in reliance upon such reports given on the authority of such firm as experts in accounting and auditing. </w:t>
      </w:r>
    </w:p>
    <w:p>
      <w:pPr>
        <w:pStyle w:val="TextBody"/>
        <w:jc w:val="center"/>
        <w:rPr>
          <w:rFonts w:ascii="times" w:hAnsi="times"/>
        </w:rPr>
      </w:pPr>
      <w:bookmarkStart w:id="75" w:name="toc_dm48002_4"/>
      <w:bookmarkStart w:id="76" w:name="dm48002_legal_matters"/>
      <w:bookmarkEnd w:id="75"/>
      <w:bookmarkEnd w:id="76"/>
      <w:r>
        <w:rPr>
          <w:rFonts w:ascii="times" w:hAnsi="times"/>
          <w:sz w:val="20"/>
        </w:rPr>
        <w:br/>
      </w:r>
      <w:r>
        <w:rPr>
          <w:rFonts w:ascii="times" w:hAnsi="times"/>
          <w:b/>
          <w:sz w:val="20"/>
        </w:rPr>
        <w:t xml:space="preserve">LEGAL MATTERS </w:t>
      </w:r>
    </w:p>
    <w:p>
      <w:pPr>
        <w:pStyle w:val="TextBody"/>
        <w:jc w:val="both"/>
        <w:rPr/>
      </w:pPr>
      <w:r>
        <w:rPr/>
        <w:t>        </w:t>
      </w:r>
      <w:r>
        <w:rPr>
          <w:rFonts w:ascii="times" w:hAnsi="times"/>
          <w:sz w:val="20"/>
        </w:rPr>
        <w:t xml:space="preserve">Certain legal matters in connection with the Securities offered hereby will be passed on for the Company by Davies Ward Phillips &amp; Vineberg LLP, Toronto, Ontario and New York, New York. At the date hereof, partners and associates of Davies Ward Phillips &amp; Vineberg LLP own beneficially, directly or indirectly, less than one percent of any securities of the Company or any associate or affiliate of the Company. </w:t>
      </w:r>
    </w:p>
    <w:p>
      <w:pPr>
        <w:pStyle w:val="TextBody"/>
        <w:jc w:val="center"/>
        <w:rPr>
          <w:rFonts w:ascii="times" w:hAnsi="times"/>
        </w:rPr>
      </w:pPr>
      <w:bookmarkStart w:id="77" w:name="toc_dm48002_5"/>
      <w:bookmarkStart w:id="78" w:name="dm48002_auditors,_transfer_agent_and_reg"/>
      <w:bookmarkEnd w:id="77"/>
      <w:bookmarkEnd w:id="78"/>
      <w:r>
        <w:rPr>
          <w:rFonts w:ascii="times" w:hAnsi="times"/>
          <w:sz w:val="20"/>
        </w:rPr>
        <w:br/>
      </w:r>
      <w:r>
        <w:rPr>
          <w:rFonts w:ascii="times" w:hAnsi="times"/>
          <w:b/>
          <w:sz w:val="20"/>
        </w:rPr>
        <w:t xml:space="preserve">AUDITORS, TRANSFER AGENT AND REGISTRAR </w:t>
      </w:r>
    </w:p>
    <w:p>
      <w:pPr>
        <w:pStyle w:val="TextBody"/>
        <w:jc w:val="both"/>
        <w:rPr/>
      </w:pPr>
      <w:r>
        <w:rPr/>
        <w:t>        </w:t>
      </w:r>
      <w:r>
        <w:rPr>
          <w:rFonts w:ascii="times" w:hAnsi="times"/>
          <w:sz w:val="20"/>
        </w:rPr>
        <w:t xml:space="preserve">The auditors of the Company are Ernst &amp; Young LLP of Toronto, Ontario. The registrar and transfer agent for the Company's common shares is Computershare Trust Company of Canada through its offices at 100 University Avenue, Toronto, Ontario M5J 2Y1. </w:t>
      </w:r>
    </w:p>
    <w:p>
      <w:pPr>
        <w:pStyle w:val="TextBody"/>
        <w:jc w:val="center"/>
        <w:rPr>
          <w:rFonts w:ascii="times" w:hAnsi="times"/>
        </w:rPr>
      </w:pPr>
      <w:bookmarkStart w:id="79" w:name="toc_dm48002_6"/>
      <w:bookmarkStart w:id="80" w:name="dm48002_exemptions"/>
      <w:bookmarkEnd w:id="79"/>
      <w:bookmarkEnd w:id="80"/>
      <w:r>
        <w:rPr>
          <w:rFonts w:ascii="times" w:hAnsi="times"/>
          <w:sz w:val="20"/>
        </w:rPr>
        <w:br/>
      </w:r>
      <w:r>
        <w:rPr>
          <w:rFonts w:ascii="times" w:hAnsi="times"/>
          <w:b/>
          <w:sz w:val="20"/>
        </w:rPr>
        <w:t xml:space="preserve">EXEMPTIONS </w:t>
      </w:r>
    </w:p>
    <w:p>
      <w:pPr>
        <w:pStyle w:val="TextBody"/>
        <w:jc w:val="both"/>
        <w:rPr/>
      </w:pPr>
      <w:r>
        <w:rPr/>
        <w:t>        </w:t>
      </w:r>
      <w:r>
        <w:rPr>
          <w:rFonts w:ascii="times" w:hAnsi="times"/>
          <w:sz w:val="20"/>
        </w:rPr>
        <w:t xml:space="preserve">Concurrently with the filing of this prospectus, the Company is applying to the Ontario Securities Commission, as principal regulator, for an order exempting the Company from the requirement under Sections 11.1(1)1 and 11.2 of Form 44-101F1 </w:t>
      </w:r>
      <w:r>
        <w:rPr>
          <w:rFonts w:ascii="times" w:hAnsi="times"/>
          <w:i/>
          <w:sz w:val="20"/>
        </w:rPr>
        <w:t>Short Form Prospectus</w:t>
      </w:r>
      <w:r>
        <w:rPr>
          <w:rFonts w:ascii="times" w:hAnsi="times"/>
        </w:rPr>
        <w:t xml:space="preserve"> </w:t>
      </w:r>
      <w:r>
        <w:rPr>
          <w:rFonts w:ascii="times" w:hAnsi="times"/>
          <w:sz w:val="20"/>
        </w:rPr>
        <w:t xml:space="preserve">to include in the documents incorporated by reference in this prospectus the documents filed by Agnico Eagle as exhibits to any Annual Report on Form 20-F (or any amendment thereto) that is incorporated by reference into this prospectus. </w:t>
      </w:r>
    </w:p>
    <w:p>
      <w:pPr>
        <w:pStyle w:val="TextBody"/>
        <w:jc w:val="center"/>
        <w:rPr>
          <w:rFonts w:ascii="times" w:hAnsi="times"/>
        </w:rPr>
      </w:pPr>
      <w:bookmarkStart w:id="81" w:name="toc_dm48002_7"/>
      <w:bookmarkStart w:id="82" w:name="dm48002_documents_incorporated_by_refere"/>
      <w:bookmarkEnd w:id="81"/>
      <w:bookmarkEnd w:id="82"/>
      <w:r>
        <w:rPr>
          <w:rFonts w:ascii="times" w:hAnsi="times"/>
          <w:sz w:val="20"/>
        </w:rPr>
        <w:br/>
      </w:r>
      <w:r>
        <w:rPr>
          <w:rFonts w:ascii="times" w:hAnsi="times"/>
          <w:b/>
          <w:sz w:val="20"/>
        </w:rPr>
        <w:t xml:space="preserve">DOCUMENTS INCORPORATED BY REFERENCE </w:t>
      </w:r>
    </w:p>
    <w:p>
      <w:pPr>
        <w:pStyle w:val="TextBody"/>
        <w:jc w:val="both"/>
        <w:rPr/>
      </w:pPr>
      <w:r>
        <w:rPr/>
        <w:t>        </w:t>
      </w:r>
      <w:r>
        <w:rPr>
          <w:rFonts w:ascii="times" w:hAnsi="times"/>
          <w:sz w:val="20"/>
        </w:rPr>
        <w:t xml:space="preserve">The following documents filed with the securities commissions or similar authorities in each of the provinces of Canada are specifically incorporated by reference in, and form an integral part of, this prospectus: </w:t>
      </w:r>
    </w:p>
    <w:p>
      <w:pPr>
        <w:pStyle w:val="ListHeading"/>
        <w:numPr>
          <w:ilvl w:val="0"/>
          <w:numId w:val="0"/>
        </w:numPr>
        <w:spacing w:before="0" w:after="0"/>
        <w:ind w:left="707" w:right="0" w:hanging="0"/>
        <w:rPr>
          <w:rFonts w:ascii="times" w:hAnsi="times"/>
          <w:sz w:val="20"/>
        </w:rPr>
      </w:pPr>
      <w:r>
        <w:rPr>
          <w:rFonts w:ascii="times" w:hAnsi="times"/>
          <w:sz w:val="20"/>
        </w:rPr>
        <w:t>(a)</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Company's annual information form for the year ended December 31, 2012 consisting of the Form 20-F, excluding the exhibits set out in Item 19 thereof; </w:t>
      </w:r>
    </w:p>
    <w:p>
      <w:pPr>
        <w:pStyle w:val="ListHeading"/>
        <w:numPr>
          <w:ilvl w:val="0"/>
          <w:numId w:val="0"/>
        </w:numPr>
        <w:spacing w:before="0" w:after="0"/>
        <w:ind w:left="707" w:right="0" w:hanging="0"/>
        <w:rPr>
          <w:rFonts w:ascii="times" w:hAnsi="times"/>
          <w:sz w:val="20"/>
        </w:rPr>
      </w:pPr>
      <w:r>
        <w:rPr>
          <w:rFonts w:ascii="times" w:hAnsi="times"/>
          <w:sz w:val="20"/>
        </w:rPr>
        <w:t>(b)</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audited consolidated financial statements of the Company, including the notes thereto, as at December 31, 2012 and 2011 and for each of the years in the three year period ended December 31, 2012 together with the auditors' report thereon dated March 26, 2013, filed on SEDAR on March 28, 2013; </w:t>
      </w:r>
    </w:p>
    <w:p>
      <w:pPr>
        <w:pStyle w:val="ListHeading"/>
        <w:numPr>
          <w:ilvl w:val="0"/>
          <w:numId w:val="0"/>
        </w:numPr>
        <w:spacing w:before="0" w:after="0"/>
        <w:ind w:left="707" w:right="0" w:hanging="0"/>
        <w:rPr>
          <w:rFonts w:ascii="times" w:hAnsi="times"/>
          <w:sz w:val="20"/>
        </w:rPr>
      </w:pPr>
      <w:r>
        <w:rPr>
          <w:rFonts w:ascii="times" w:hAnsi="times"/>
          <w:sz w:val="20"/>
        </w:rPr>
        <w:t>(c)</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management's discussion and analysis of financial condition and results of operations of the Company for the year ended December 31, 2012, filed on SEDAR on March 28, 2013; </w:t>
      </w:r>
    </w:p>
    <w:p>
      <w:pPr>
        <w:pStyle w:val="ListHeading"/>
        <w:numPr>
          <w:ilvl w:val="0"/>
          <w:numId w:val="0"/>
        </w:numPr>
        <w:spacing w:before="0" w:after="0"/>
        <w:ind w:left="707" w:right="0" w:hanging="0"/>
        <w:rPr>
          <w:rFonts w:ascii="times" w:hAnsi="times"/>
          <w:sz w:val="20"/>
        </w:rPr>
      </w:pPr>
      <w:r>
        <w:rPr>
          <w:rFonts w:ascii="times" w:hAnsi="times"/>
          <w:sz w:val="20"/>
        </w:rPr>
        <w:t>(d)</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management information circular prepared in connection with the Company's annual and special meeting of shareholders held on April 26, 2013, filed on SEDAR on March 28, 2013; and </w:t>
      </w:r>
    </w:p>
    <w:p>
      <w:pPr>
        <w:pStyle w:val="ListHeading"/>
        <w:numPr>
          <w:ilvl w:val="0"/>
          <w:numId w:val="0"/>
        </w:numPr>
        <w:spacing w:before="0" w:after="0"/>
        <w:ind w:left="707" w:right="0" w:hanging="0"/>
        <w:rPr>
          <w:rFonts w:ascii="times" w:hAnsi="times"/>
          <w:sz w:val="20"/>
        </w:rPr>
      </w:pPr>
      <w:r>
        <w:rPr>
          <w:rFonts w:ascii="times" w:hAnsi="times"/>
          <w:sz w:val="20"/>
        </w:rPr>
        <w:t>(e)</w:t>
      </w:r>
    </w:p>
    <w:p>
      <w:pPr>
        <w:pStyle w:val="ListContents"/>
        <w:numPr>
          <w:ilvl w:val="0"/>
          <w:numId w:val="0"/>
        </w:numPr>
        <w:spacing w:before="0" w:after="283"/>
        <w:ind w:left="1274" w:right="0" w:hanging="0"/>
        <w:jc w:val="both"/>
        <w:rPr>
          <w:rFonts w:ascii="times" w:hAnsi="times"/>
          <w:sz w:val="20"/>
        </w:rPr>
      </w:pPr>
      <w:r>
        <w:rPr>
          <w:rFonts w:ascii="times" w:hAnsi="times"/>
          <w:sz w:val="20"/>
        </w:rPr>
        <w:t xml:space="preserve">the unaudited consolidated financial statements of the Company as at March 31, 2013 and for the three months ended March 31, 2013 and 2012 and related management's discussion and analysis of financial condition and results of operations of the Company for the three months ended March 31, 2013 and 2012, filed on SEDAR on May 10, 2013. </w:t>
      </w:r>
    </w:p>
    <w:p>
      <w:pPr>
        <w:pStyle w:val="TextBody"/>
        <w:jc w:val="both"/>
        <w:rPr/>
      </w:pPr>
      <w:r>
        <w:rPr/>
        <w:t>        </w:t>
      </w:r>
      <w:r>
        <w:rPr>
          <w:rFonts w:ascii="times" w:hAnsi="times"/>
          <w:sz w:val="20"/>
        </w:rPr>
        <w:t xml:space="preserve">All documents of the type referred to above (and, in the case of an annual information form consisting of an Annual Report on Form 20-F (and any amendment thereto), excluding the exhibits set out in Item 19 thereof), and any material change report (excluding confidential material change reports) and business acquisition report, filed by the Company with any securities commission or similar regulatory authority in Canada subsequent to the </w:t>
      </w:r>
    </w:p>
    <w:p>
      <w:pPr>
        <w:pStyle w:val="TextBody"/>
        <w:jc w:val="center"/>
        <w:rPr>
          <w:rFonts w:ascii="times" w:hAnsi="times"/>
          <w:sz w:val="20"/>
        </w:rPr>
      </w:pPr>
      <w:r>
        <w:rPr>
          <w:rFonts w:ascii="times" w:hAnsi="times"/>
          <w:sz w:val="20"/>
        </w:rPr>
        <w:t>27</w:t>
      </w:r>
    </w:p>
    <w:p>
      <w:pPr>
        <w:pStyle w:val="HorizontalLine"/>
        <w:pBdr>
          <w:bottom w:val="single" w:sz="20" w:space="0" w:color="808080"/>
        </w:pBdr>
        <w:rPr/>
      </w:pPr>
      <w:r>
        <w:rPr/>
      </w:r>
      <w:r>
        <w:br w:type="page"/>
      </w:r>
    </w:p>
    <w:p>
      <w:pPr>
        <w:pStyle w:val="TextBody"/>
        <w:jc w:val="both"/>
        <w:rPr>
          <w:rFonts w:ascii="times" w:hAnsi="times"/>
          <w:sz w:val="20"/>
        </w:rPr>
      </w:pPr>
      <w:bookmarkStart w:id="83" w:name="page_dm48002_1_28"/>
      <w:bookmarkEnd w:id="83"/>
      <w:r>
        <w:rPr>
          <w:rFonts w:ascii="times" w:hAnsi="times"/>
          <w:sz w:val="20"/>
        </w:rPr>
        <w:t xml:space="preserve">date of this prospectus and prior to the termination of any distribution under this prospectus shall be deemed to be incorporated by reference into this prospectus. </w:t>
      </w:r>
    </w:p>
    <w:p>
      <w:pPr>
        <w:pStyle w:val="TextBody"/>
        <w:jc w:val="both"/>
        <w:rPr/>
      </w:pPr>
      <w:r>
        <w:rPr/>
        <w:t>        </w:t>
      </w:r>
      <w:r>
        <w:rPr>
          <w:rFonts w:ascii="times" w:hAnsi="times"/>
          <w:sz w:val="20"/>
        </w:rPr>
        <w:t xml:space="preserve">To the extent that any document or information incorporated by reference into this prospectus is included in a report that is filed with or furnished to the SEC on Form 20-F (excluding the exhibits set out in Item 19 thereof) or 6-K (or any respective successor form), such document or information shall also be deemed to be incorporated by reference as an exhibit to the registration statement on Form F-10 of which this prospectus forms a part. In addition, the Company may incorporate by reference into this prospectus documents that it files with or furnishes to the SEC pursuant to Section 13(a) or 15(d) of the United States Securities Exchange Act of 1934 (the "Exchange Act") if and to the extent expressly provided therein. </w:t>
      </w:r>
    </w:p>
    <w:p>
      <w:pPr>
        <w:pStyle w:val="TextBody"/>
        <w:jc w:val="both"/>
        <w:rPr/>
      </w:pPr>
      <w:r>
        <w:rPr/>
        <w:t>        </w:t>
      </w:r>
      <w:r>
        <w:rPr>
          <w:rFonts w:ascii="times" w:hAnsi="times"/>
          <w:sz w:val="20"/>
        </w:rPr>
        <w:t xml:space="preserve">Upon a new annual information form and the related annual audited consolidated financial statements being filed by the Company with, and where required, accepted by, the Canadian Securities Administrators during the currency of this prospectus, the previous annual information form, the previous annual audited consolidated financial statements and all interim unaudited financial statements (including management's discussion of financial condition and results of operations in the quarterly reports for such periods), material change reports and management information circulars filed prior to the commencement of the Company's financial year in which the new annual information form is filed shall be deemed no longer to be incorporated by reference in this prospectus for purposes of future offers and sales of Securities hereunder. </w:t>
      </w:r>
    </w:p>
    <w:p>
      <w:pPr>
        <w:pStyle w:val="TextBody"/>
        <w:jc w:val="both"/>
        <w:rPr/>
      </w:pPr>
      <w:r>
        <w:rPr/>
        <w:t>        </w:t>
      </w:r>
      <w:r>
        <w:rPr>
          <w:rFonts w:ascii="times" w:hAnsi="times"/>
          <w:b/>
          <w:sz w:val="20"/>
        </w:rPr>
        <w:t>Any statement contained herein or in a document incorporated or deemed to be incorporated by reference herein shall be deemed to be modified or superseded for the purposes of this prospectus to the extent that a statement contained herein, or in any other subsequently filed document which also is incorporated or is deemed to be incorporated by reference herein, modifies or supersedes such statement. The modifying or superseding statement need not state that it has modified or superseded a prior statement or include any other information set forth in the document which it modifies or supersedes. The making of a modifying or superseding statement will not be deemed an admission for any purposes that the modified or superseded statement, when made, constituted a misrepresentation, an untrue statement of a material fact or an omission to state a material fact that is required to be stated or that is necessary to make a statement not misleading in light of the circumstances in which it was made. Any statement so modified or superseded shall not be deemed, except as so modified or superseded, to constitute a part of this prospectus.</w:t>
      </w:r>
    </w:p>
    <w:p>
      <w:pPr>
        <w:pStyle w:val="TextBody"/>
        <w:jc w:val="both"/>
        <w:rPr/>
      </w:pPr>
      <w:r>
        <w:rPr/>
        <w:t>        </w:t>
      </w:r>
      <w:r>
        <w:rPr>
          <w:rFonts w:ascii="times" w:hAnsi="times"/>
          <w:b/>
          <w:sz w:val="20"/>
        </w:rPr>
        <w:t>Information has been incorporated by reference in this short form base shelf prospectus from documents filed with the securities commissions or similar regulatory authorities in each of the provinces of Canada and the SEC.</w:t>
      </w:r>
      <w:r>
        <w:rPr>
          <w:rFonts w:ascii="times" w:hAnsi="times"/>
        </w:rPr>
        <w:t xml:space="preserve"> </w:t>
      </w:r>
      <w:r>
        <w:rPr>
          <w:rFonts w:ascii="times" w:hAnsi="times"/>
          <w:sz w:val="20"/>
        </w:rPr>
        <w:t xml:space="preserve">Copies of the documents incorporated by reference herein may be obtained on request without charge from the Corporate Secretary, Agnico Eagle Mines Limited, 145 King Street East, Suite 400, Toronto, Ontario, Canada M5C 2Y7 (telephone (416) 947-1212), and are also available electronically at www.sedar.com and www.sec.gov. </w:t>
      </w:r>
    </w:p>
    <w:p>
      <w:pPr>
        <w:pStyle w:val="TextBody"/>
        <w:jc w:val="both"/>
        <w:rPr/>
      </w:pPr>
      <w:r>
        <w:rPr/>
        <w:t>        </w:t>
      </w:r>
      <w:r>
        <w:rPr>
          <w:rFonts w:ascii="times" w:hAnsi="times"/>
          <w:sz w:val="20"/>
        </w:rPr>
        <w:t xml:space="preserve">A Prospectus Supplement containing the specific terms of an offering of Securities will be delivered to purchasers of such Securities together with this prospectus and shall be deemed to be incorporated by reference into this prospectus as of the date of such Prospectus Supplement solely for the purposes of the offering of the Securities covered by that Prospectus Supplement. </w:t>
      </w:r>
    </w:p>
    <w:p>
      <w:pPr>
        <w:pStyle w:val="TextBody"/>
        <w:jc w:val="center"/>
        <w:rPr>
          <w:rFonts w:ascii="times" w:hAnsi="times"/>
        </w:rPr>
      </w:pPr>
      <w:bookmarkStart w:id="84" w:name="toc_dm48002_8"/>
      <w:bookmarkStart w:id="85" w:name="dm48002_available_information"/>
      <w:bookmarkEnd w:id="84"/>
      <w:bookmarkEnd w:id="85"/>
      <w:r>
        <w:rPr>
          <w:rFonts w:ascii="times" w:hAnsi="times"/>
          <w:sz w:val="20"/>
        </w:rPr>
        <w:br/>
      </w:r>
      <w:r>
        <w:rPr>
          <w:rFonts w:ascii="times" w:hAnsi="times"/>
          <w:b/>
          <w:sz w:val="20"/>
        </w:rPr>
        <w:t xml:space="preserve">AVAILABLE INFORMATION </w:t>
      </w:r>
    </w:p>
    <w:p>
      <w:pPr>
        <w:pStyle w:val="TextBody"/>
        <w:jc w:val="both"/>
        <w:rPr/>
      </w:pPr>
      <w:r>
        <w:rPr/>
        <w:t>        </w:t>
      </w:r>
      <w:r>
        <w:rPr>
          <w:rFonts w:ascii="times" w:hAnsi="times"/>
          <w:sz w:val="20"/>
        </w:rPr>
        <w:t xml:space="preserve">The Company has filed with the SEC a registration statement on Form F-10 under the U.S. Securities Act with respect to the securities offered hereby. This prospectus, which forms a part of the registration statement, does not contain all of the information set forth in the registration statement, certain parts of which have been omitted in accordance with the rules and regulations of the SEC. For further information with respect to the Company and the securities offered in this prospectus, reference is made to the registration statement and to the schedules and exhibits filed therewith. Statements contained in this prospectus as to the contents of certain documents are not necessarily complete and, in each instance, reference is made to the copy of the document filed and exhibits to the registration statement. Each such statement is qualified in its entirety by such reference. </w:t>
      </w:r>
    </w:p>
    <w:p>
      <w:pPr>
        <w:pStyle w:val="TextBody"/>
        <w:jc w:val="both"/>
        <w:rPr/>
      </w:pPr>
      <w:r>
        <w:rPr/>
        <w:t>        </w:t>
      </w:r>
      <w:r>
        <w:rPr>
          <w:rFonts w:ascii="times" w:hAnsi="times"/>
          <w:sz w:val="20"/>
        </w:rPr>
        <w:t xml:space="preserve">The Company is subject to the informational requirements of the Exchange Act and in accordance therewith files reports and other information with the SEC. Under a multijurisdictional disclosure system </w:t>
      </w:r>
    </w:p>
    <w:p>
      <w:pPr>
        <w:pStyle w:val="TextBody"/>
        <w:jc w:val="center"/>
        <w:rPr>
          <w:rFonts w:ascii="times" w:hAnsi="times"/>
          <w:sz w:val="20"/>
        </w:rPr>
      </w:pPr>
      <w:r>
        <w:rPr>
          <w:rFonts w:ascii="times" w:hAnsi="times"/>
          <w:sz w:val="20"/>
        </w:rPr>
        <w:t>28</w:t>
      </w:r>
    </w:p>
    <w:p>
      <w:pPr>
        <w:pStyle w:val="HorizontalLine"/>
        <w:pBdr>
          <w:bottom w:val="single" w:sz="20" w:space="0" w:color="808080"/>
        </w:pBdr>
        <w:rPr/>
      </w:pPr>
      <w:r>
        <w:rPr/>
      </w:r>
      <w:r>
        <w:br w:type="page"/>
      </w:r>
    </w:p>
    <w:p>
      <w:pPr>
        <w:pStyle w:val="TextBody"/>
        <w:jc w:val="both"/>
        <w:rPr>
          <w:rFonts w:ascii="times" w:hAnsi="times"/>
          <w:sz w:val="20"/>
        </w:rPr>
      </w:pPr>
      <w:bookmarkStart w:id="86" w:name="page_dm48002_1_29"/>
      <w:bookmarkEnd w:id="86"/>
      <w:r>
        <w:rPr>
          <w:rFonts w:ascii="times" w:hAnsi="times"/>
          <w:sz w:val="20"/>
        </w:rPr>
        <w:t xml:space="preserve">adopted by the United States, such reports and other information may be prepared in accordance with the disclosure requirements of Canada, which requirements are different from those of the United States. The Company is exempt from the rules under Section 14 of the Exchange Act prescribing the furnishing and content of proxy statements, and the Company's officers, directors and principal shareholders are exempt from the reporting and short-swing profit recovery provisions contained in Section 16 of the Exchange Act. Under the Exchange Act, the Company is not required to publish financial statements as frequently or as promptly as U.S. companies. Any information filed with the SEC can be read and copied at prescribed rates at the SEC's Public Reference Room at 100 F Street, N.E., Washington, D.C. 20549. Information on the operation of the Public Reference Room may be obtained by calling the SEC at 1-800-SEC-0330 or by accessing its website at www.sec.gov. Some of the documents the Company files with or furnishes to the SEC are electronically available from the SEC's Electronic Document Gathering and Retrieval System, which is commonly known by the acronym "EDGAR", and may be accessed at www.sec.gov. </w:t>
      </w:r>
    </w:p>
    <w:p>
      <w:pPr>
        <w:pStyle w:val="TextBody"/>
        <w:jc w:val="center"/>
        <w:rPr>
          <w:rFonts w:ascii="times" w:hAnsi="times"/>
        </w:rPr>
      </w:pPr>
      <w:bookmarkStart w:id="87" w:name="toc_dm48002_9"/>
      <w:bookmarkStart w:id="88" w:name="dm48002_enforceability_of_certain_civil_"/>
      <w:bookmarkEnd w:id="87"/>
      <w:bookmarkEnd w:id="88"/>
      <w:r>
        <w:rPr>
          <w:rFonts w:ascii="times" w:hAnsi="times"/>
          <w:sz w:val="20"/>
        </w:rPr>
        <w:br/>
      </w:r>
      <w:r>
        <w:rPr>
          <w:rFonts w:ascii="times" w:hAnsi="times"/>
          <w:b/>
          <w:sz w:val="20"/>
        </w:rPr>
        <w:t xml:space="preserve">ENFORCEABILITY OF CERTAIN CIVIL LIABILITIES </w:t>
      </w:r>
    </w:p>
    <w:p>
      <w:pPr>
        <w:pStyle w:val="TextBody"/>
        <w:jc w:val="both"/>
        <w:rPr/>
      </w:pPr>
      <w:r>
        <w:rPr/>
        <w:t>        </w:t>
      </w:r>
      <w:r>
        <w:rPr>
          <w:rFonts w:ascii="times" w:hAnsi="times"/>
          <w:sz w:val="20"/>
        </w:rPr>
        <w:t xml:space="preserve">The Company is incorporated under the laws of the Province of Ontario, Canada. The majority of the Company's directors and officers and the experts named in this prospectus are residents of Canada. Also, almost all of the Company's assets and the assets of these persons are located outside of the United States. As a result, it may be difficult for shareholders to initiate a lawsuit within the United States against these non-U.S. residents, or to enforce U.S. judgments against the Company or these persons. The Company's Canadian counsel has advised the Company that a monetary judgment of a U.S. court predicated solely upon the civil liability provisions of U.S. federal securities laws would likely be enforceable in Canada if the U.S. court in which the judgment was obtained had a basis for jurisdiction in the matter that was recognized by a Canadian court for such purposes. The Company cannot provide assurance that this will be the case. It is less certain that an action could be brought in Canada in the first instance on the basis of liability predicated solely upon the civil liability provisions of U.S. federal securities laws. </w:t>
      </w:r>
    </w:p>
    <w:p>
      <w:pPr>
        <w:pStyle w:val="TextBody"/>
        <w:jc w:val="center"/>
        <w:rPr>
          <w:rFonts w:ascii="times" w:hAnsi="times"/>
        </w:rPr>
      </w:pPr>
      <w:bookmarkStart w:id="89" w:name="toc_dm48002_10"/>
      <w:bookmarkStart w:id="90" w:name="dm48002_statutory_rights_of_withdrawal_a"/>
      <w:bookmarkEnd w:id="89"/>
      <w:bookmarkEnd w:id="90"/>
      <w:r>
        <w:rPr>
          <w:rFonts w:ascii="times" w:hAnsi="times"/>
          <w:sz w:val="20"/>
        </w:rPr>
        <w:br/>
      </w:r>
      <w:r>
        <w:rPr>
          <w:rFonts w:ascii="times" w:hAnsi="times"/>
          <w:b/>
          <w:sz w:val="20"/>
        </w:rPr>
        <w:t xml:space="preserve">STATUTORY RIGHTS OF WITHDRAWAL AND RESCISSION </w:t>
      </w:r>
    </w:p>
    <w:p>
      <w:pPr>
        <w:pStyle w:val="TextBody"/>
        <w:jc w:val="both"/>
        <w:rPr/>
      </w:pPr>
      <w:r>
        <w:rPr/>
        <w:t>        </w:t>
      </w:r>
      <w:r>
        <w:rPr>
          <w:rFonts w:ascii="times" w:hAnsi="times"/>
          <w:sz w:val="20"/>
        </w:rPr>
        <w:t xml:space="preserve">Securities legislation in certain of the provinces of Canada provides purchasers with the right to withdraw from an agreement to purchase securities. This right may be exercised within two business days after receipt or deemed receipt of a prospectus and any amendment. In several of the provinces, the securities legislation further provides a purchaser with remedies for rescission or, in some jurisdictions, revisions of the price or damages if the prospectus and any amendment contains a misrepresentation or is not delivered to the purchaser, provided that the remedies for rescission, revisions of the price or damages are exercised by the purchaser within the time limit prescribed by the securities legislation of the purchaser's province. The purchaser should refer to any applicable provisions of the securities legislation of the purchaser's province for the particulars of these rights or consult with a legal adviser. </w:t>
      </w:r>
    </w:p>
    <w:p>
      <w:pPr>
        <w:pStyle w:val="TextBody"/>
        <w:jc w:val="both"/>
        <w:rPr/>
      </w:pPr>
      <w:r>
        <w:rPr/>
        <w:t>        </w:t>
      </w:r>
      <w:r>
        <w:rPr>
          <w:rFonts w:ascii="times" w:hAnsi="times"/>
          <w:sz w:val="20"/>
        </w:rPr>
        <w:t xml:space="preserve">In an offering of warrants or convertible debt securities, investors are cautioned that the statutory right of action for damages for a misrepresentation contained in the prospectus is limited, in certain provincial securities legislation, to the price at which the warrants or convertible debt securities are offered to the public under the prospectus offering. This means that, under the securities legislation of certain provinces, if the purchaser pays additional amounts upon exercise or conversion of the security, those amounts may not be recoverable under the statutory right of action for damages that applies in those provinces. The purchaser should refer to any applicable provisions of the securities legislation of the purchaser's province for the particulars of this right of action for damages or consult with a legal adviser. </w:t>
      </w:r>
    </w:p>
    <w:p>
      <w:pPr>
        <w:pStyle w:val="TextBody"/>
        <w:jc w:val="center"/>
        <w:rPr>
          <w:rFonts w:ascii="times" w:hAnsi="times"/>
        </w:rPr>
      </w:pPr>
      <w:bookmarkStart w:id="91" w:name="toc_dm48002_11"/>
      <w:bookmarkStart w:id="92" w:name="dm48002_documents_filed_as_par__dm402225"/>
      <w:bookmarkEnd w:id="91"/>
      <w:bookmarkEnd w:id="92"/>
      <w:r>
        <w:rPr>
          <w:rFonts w:ascii="times" w:hAnsi="times"/>
          <w:sz w:val="20"/>
        </w:rPr>
        <w:br/>
      </w:r>
      <w:r>
        <w:rPr>
          <w:rFonts w:ascii="times" w:hAnsi="times"/>
          <w:b/>
          <w:sz w:val="20"/>
        </w:rPr>
        <w:t xml:space="preserve">DOCUMENTS FILED AS PART OF THE REGISTRATION STATEMENT </w:t>
      </w:r>
    </w:p>
    <w:p>
      <w:pPr>
        <w:pStyle w:val="TextBody"/>
        <w:jc w:val="both"/>
        <w:rPr/>
      </w:pPr>
      <w:r>
        <w:rPr/>
        <w:t>        </w:t>
      </w:r>
      <w:r>
        <w:rPr>
          <w:rFonts w:ascii="times" w:hAnsi="times"/>
          <w:sz w:val="20"/>
        </w:rPr>
        <w:t xml:space="preserve">The following documents have been filed, or will be filed, with the SEC as part of the registration statement of which this prospectus forms a part: the documents referred to under "Documents Incorporated by Reference"; consent of Ernst &amp; Young LLP; consent of Daniel Doucet; the powers of attorney from the Company's directors and officers; and the form of indenture relating to the debt securities that may be issued under this prospectus. </w:t>
      </w:r>
    </w:p>
    <w:p>
      <w:pPr>
        <w:pStyle w:val="TextBody"/>
        <w:jc w:val="center"/>
        <w:rPr>
          <w:rFonts w:ascii="times" w:hAnsi="times"/>
          <w:sz w:val="20"/>
        </w:rPr>
      </w:pPr>
      <w:r>
        <w:rPr>
          <w:rFonts w:ascii="times" w:hAnsi="times"/>
          <w:sz w:val="20"/>
        </w:rPr>
        <w:t>29</w:t>
      </w:r>
    </w:p>
    <w:p>
      <w:pPr>
        <w:pStyle w:val="HorizontalLine"/>
        <w:pBdr>
          <w:bottom w:val="single" w:sz="20" w:space="0" w:color="808080"/>
        </w:pBdr>
        <w:rPr/>
      </w:pPr>
      <w:r>
        <w:rPr/>
      </w:r>
      <w:r>
        <w:br w:type="page"/>
      </w:r>
    </w:p>
    <w:p>
      <w:pPr>
        <w:pStyle w:val="TextBody"/>
        <w:jc w:val="center"/>
        <w:rPr/>
      </w:pPr>
      <w:r>
        <w:rPr/>
        <w:drawing>
          <wp:inline distT="0" distB="0" distL="0" distR="0">
            <wp:extent cx="4457700" cy="214312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4457700" cy="2143125"/>
                    </a:xfrm>
                    <a:prstGeom prst="rect">
                      <a:avLst/>
                    </a:prstGeom>
                  </pic:spPr>
                </pic:pic>
              </a:graphicData>
            </a:graphic>
          </wp:inline>
        </w:drawing>
      </w:r>
      <w:r>
        <w:rPr/>
        <w:t xml:space="preserve"> </w:t>
      </w:r>
    </w:p>
    <w:p>
      <w:pPr>
        <w:pStyle w:val="HorizontalLine"/>
        <w:pBdr>
          <w:bottom w:val="single" w:sz="20" w:space="0" w:color="808080"/>
        </w:pBdr>
        <w:rPr/>
      </w:pPr>
      <w:r>
        <w:rPr/>
      </w:r>
      <w:r>
        <w:br w:type="page"/>
      </w:r>
    </w:p>
    <w:p>
      <w:pPr>
        <w:pStyle w:val="TextBody"/>
        <w:jc w:val="center"/>
        <w:rPr>
          <w:rFonts w:ascii="times" w:hAnsi="times"/>
        </w:rPr>
      </w:pPr>
      <w:bookmarkStart w:id="93" w:name="toc_dc48001_1"/>
      <w:bookmarkStart w:id="94" w:name="dc48001_part_ii_information_not_requir__"/>
      <w:bookmarkStart w:id="95" w:name="page_dc48001_1_1"/>
      <w:bookmarkEnd w:id="93"/>
      <w:bookmarkEnd w:id="94"/>
      <w:bookmarkEnd w:id="95"/>
      <w:r>
        <w:rPr>
          <w:rFonts w:ascii="times" w:hAnsi="times"/>
          <w:sz w:val="20"/>
        </w:rPr>
        <w:br/>
      </w:r>
      <w:r>
        <w:rPr>
          <w:rFonts w:ascii="times" w:hAnsi="times"/>
          <w:b/>
          <w:sz w:val="20"/>
        </w:rPr>
        <w:t>PART II</w:t>
        <w:br/>
        <w:br/>
        <w:t>INFORMATION NOT REQUIRED TO BE DELIVERED TO</w:t>
        <w:br/>
        <w:t xml:space="preserve">OFFEREES OR PURCHASERS </w:t>
      </w:r>
    </w:p>
    <w:p>
      <w:pPr>
        <w:pStyle w:val="TextBody"/>
        <w:rPr>
          <w:rFonts w:ascii="times" w:hAnsi="times"/>
          <w:b/>
          <w:sz w:val="20"/>
        </w:rPr>
      </w:pPr>
      <w:r>
        <w:rPr>
          <w:rFonts w:ascii="times" w:hAnsi="times"/>
          <w:b/>
          <w:sz w:val="20"/>
        </w:rPr>
        <w:t xml:space="preserve">INDEMNIFICATION </w:t>
      </w:r>
    </w:p>
    <w:p>
      <w:pPr>
        <w:pStyle w:val="TextBody"/>
        <w:rPr/>
      </w:pPr>
      <w:r>
        <w:rPr/>
        <w:t>        </w:t>
      </w:r>
      <w:r>
        <w:rPr>
          <w:rFonts w:ascii="times" w:hAnsi="times"/>
          <w:sz w:val="20"/>
        </w:rPr>
        <w:t xml:space="preserve">Under the </w:t>
      </w:r>
      <w:r>
        <w:rPr>
          <w:rFonts w:ascii="times" w:hAnsi="times"/>
          <w:i/>
          <w:sz w:val="20"/>
        </w:rPr>
        <w:t>Business Corporation Act</w:t>
      </w:r>
      <w:r>
        <w:rPr>
          <w:rFonts w:ascii="times" w:hAnsi="times"/>
        </w:rPr>
        <w:t xml:space="preserve"> </w:t>
      </w:r>
      <w:r>
        <w:rPr>
          <w:rFonts w:ascii="times" w:hAnsi="times"/>
          <w:sz w:val="20"/>
        </w:rPr>
        <w:t xml:space="preserve">(Ontario), the Registrant may indemnify a present or former director or officer or person who acts or acted at the Registrant's request as a director or officer of another corporation of which the Registrant is or was a shareholder or creditor, and his heirs and legal representatives, against all costs, charges and expenses, including an amount paid to settle an action or satisfy a judgment, reasonably incurred by him in respect of any civil, criminal or administrative action or proceeding to which he is made a party by reason of his being or having been a director or officer of the Registrant or such other corporation on condition that (i) the director or officer acted honestly and in good faith with a view to the best interests of the Registrant and (ii) in the case of a criminal or administrative action or proceeding that is enforced by a monetary penalty, had reasonable grounds for believing that his conduct was lawful. Further, the Registrant may, with court approval, indemnify a person described above in respect of an action by or on behalf of the Registrant to procure a judgment in its favor, to which the person is made a party by reason of being or having been a director or an officer of the Registrant, against all costs, charges and expenses reasonably incurred by the person in connection with such action if he or she fulfils conditions (i) and (ii) above. A director is entitled to indemnification from the Registrant as a matter of right if he was substantially successful on the merits in his defense and fulfilled conditions (i) and (ii) above. </w:t>
      </w:r>
    </w:p>
    <w:p>
      <w:pPr>
        <w:pStyle w:val="TextBody"/>
        <w:rPr/>
      </w:pPr>
      <w:r>
        <w:rPr/>
        <w:t>        </w:t>
      </w:r>
      <w:r>
        <w:rPr>
          <w:rFonts w:ascii="times" w:hAnsi="times"/>
          <w:sz w:val="20"/>
        </w:rPr>
        <w:t xml:space="preserve">In accordance with the </w:t>
      </w:r>
      <w:r>
        <w:rPr>
          <w:rFonts w:ascii="times" w:hAnsi="times"/>
          <w:i/>
          <w:sz w:val="20"/>
        </w:rPr>
        <w:t>Business Corporation Act</w:t>
      </w:r>
      <w:r>
        <w:rPr>
          <w:rFonts w:ascii="times" w:hAnsi="times"/>
        </w:rPr>
        <w:t xml:space="preserve"> </w:t>
      </w:r>
      <w:r>
        <w:rPr>
          <w:rFonts w:ascii="times" w:hAnsi="times"/>
          <w:sz w:val="20"/>
        </w:rPr>
        <w:t xml:space="preserve">(Ontario), the by-laws of the Registrant indemnify a director or officer, a former director or officer, or a person who acts or acted at a Registrant's request as a director or officer of a corporation in which the Registrant is or was a shareholder or creditor against any and all losses and expenses reasonably incurred by him in respect of any civil, criminal, administrative action or proceeding to which he was made a party by reason of being or having been a director or officer of the Registrant or other corporation if he acted honestly and in good faith with a view to the best interests of the Registrant, or, in the case of a criminal or administrative action or proceeding that is enforced by monetary penalty, he had reasonable grounds for believing that his conduct was lawful. </w:t>
      </w:r>
    </w:p>
    <w:p>
      <w:pPr>
        <w:pStyle w:val="TextBody"/>
        <w:rPr/>
      </w:pPr>
      <w:r>
        <w:rPr/>
        <w:t>        </w:t>
      </w:r>
      <w:r>
        <w:rPr>
          <w:rFonts w:ascii="times" w:hAnsi="times"/>
          <w:sz w:val="20"/>
        </w:rPr>
        <w:t xml:space="preserve">A policy of directors' and officers' liability insurance is maintained by the Registrant which insures directors and officers for losses as a result of claims against the directors and officers of the Registrant in their capacity as directors and officers and also reimburses the Registrant for payments made pursuant to the indemnity provisions under the by-laws of the Registrant and the </w:t>
      </w:r>
      <w:r>
        <w:rPr>
          <w:rFonts w:ascii="times" w:hAnsi="times"/>
          <w:i/>
          <w:sz w:val="20"/>
        </w:rPr>
        <w:t>Business Corporation Act</w:t>
      </w:r>
      <w:r>
        <w:rPr>
          <w:rFonts w:ascii="times" w:hAnsi="times"/>
        </w:rPr>
        <w:t> </w:t>
      </w:r>
      <w:r>
        <w:rPr>
          <w:rFonts w:ascii="times" w:hAnsi="times"/>
          <w:sz w:val="20"/>
        </w:rPr>
        <w:t xml:space="preserve">(Ontario). </w:t>
      </w:r>
    </w:p>
    <w:p>
      <w:pPr>
        <w:pStyle w:val="TextBody"/>
        <w:rPr/>
      </w:pPr>
      <w:r>
        <w:rPr/>
        <w:t>        </w:t>
      </w:r>
      <w:r>
        <w:rPr>
          <w:rFonts w:ascii="times" w:hAnsi="times"/>
          <w:sz w:val="20"/>
        </w:rPr>
        <w:t xml:space="preserve">Insofar as indemnification for liabilities under the Securities Act of 1933, as amended (the "Securities Act"), may be permitted to directors, officers or persons controlling the Registrant pursuant to the foregoing provisions, the Registrant has been informed that in the opinion of the U.S. Securities and Exchange Commission such indemnification is against public policy in the United States as expressed in the Securities Act and is therefore unenforceable. </w:t>
      </w:r>
    </w:p>
    <w:p>
      <w:pPr>
        <w:pStyle w:val="TextBody"/>
        <w:jc w:val="center"/>
        <w:rPr>
          <w:rFonts w:ascii="times" w:hAnsi="times"/>
          <w:sz w:val="20"/>
        </w:rPr>
      </w:pPr>
      <w:r>
        <w:rPr>
          <w:rFonts w:ascii="times" w:hAnsi="times"/>
          <w:sz w:val="20"/>
        </w:rPr>
        <w:t>II-1</w:t>
      </w:r>
    </w:p>
    <w:p>
      <w:pPr>
        <w:pStyle w:val="HorizontalLine"/>
        <w:pBdr>
          <w:bottom w:val="single" w:sz="20" w:space="0" w:color="808080"/>
        </w:pBdr>
        <w:rPr/>
      </w:pPr>
      <w:r>
        <w:rPr/>
      </w:r>
      <w:r>
        <w:br w:type="page"/>
      </w:r>
    </w:p>
    <w:p>
      <w:pPr>
        <w:pStyle w:val="TextBody"/>
        <w:rPr>
          <w:rFonts w:ascii="times" w:hAnsi="times"/>
          <w:b/>
          <w:sz w:val="20"/>
        </w:rPr>
      </w:pPr>
      <w:bookmarkStart w:id="96" w:name="page_dc48001_1_2"/>
      <w:bookmarkEnd w:id="96"/>
      <w:r>
        <w:rPr>
          <w:rFonts w:ascii="times" w:hAnsi="times"/>
          <w:b/>
          <w:sz w:val="20"/>
        </w:rPr>
        <w:t xml:space="preserve">EXHIBITS </w:t>
      </w:r>
    </w:p>
    <w:p>
      <w:pPr>
        <w:pStyle w:val="TextBody"/>
        <w:rPr/>
      </w:pPr>
      <w:r>
        <w:rPr/>
        <w:t>        </w:t>
      </w:r>
      <w:r>
        <w:rPr>
          <w:rFonts w:ascii="times" w:hAnsi="times"/>
          <w:sz w:val="20"/>
        </w:rPr>
        <w:t xml:space="preserve">The following exhibits have been filed as part of the Registration Statement: </w:t>
      </w:r>
    </w:p>
    <w:tbl>
      <w:tblPr>
        <w:tblW w:w="5000" w:type="pct"/>
        <w:jc w:val="center"/>
        <w:tblInd w:w="0" w:type="dxa"/>
        <w:tblCellMar>
          <w:top w:w="0" w:type="dxa"/>
          <w:left w:w="0" w:type="dxa"/>
          <w:bottom w:w="0" w:type="dxa"/>
          <w:right w:w="0" w:type="dxa"/>
        </w:tblCellMar>
      </w:tblPr>
      <w:tblGrid>
        <w:gridCol w:w="771"/>
        <w:gridCol w:w="82"/>
        <w:gridCol w:w="9352"/>
      </w:tblGrid>
      <w:tr>
        <w:trPr/>
        <w:tc>
          <w:tcPr>
            <w:tcW w:w="771" w:type="dxa"/>
            <w:tcBorders/>
            <w:shd w:fill="auto" w:val="clear"/>
            <w:vAlign w:val="center"/>
          </w:tcPr>
          <w:p>
            <w:pPr>
              <w:pStyle w:val="TableContents"/>
              <w:spacing w:before="0" w:after="283"/>
              <w:rPr>
                <w:sz w:val="4"/>
                <w:szCs w:val="4"/>
              </w:rPr>
            </w:pPr>
            <w:r>
              <w:rPr>
                <w:sz w:val="4"/>
                <w:szCs w:val="4"/>
              </w:rPr>
            </w:r>
          </w:p>
        </w:tc>
        <w:tc>
          <w:tcPr>
            <w:tcW w:w="82" w:type="dxa"/>
            <w:tcBorders/>
            <w:shd w:fill="auto" w:val="clear"/>
            <w:vAlign w:val="center"/>
          </w:tcPr>
          <w:p>
            <w:pPr>
              <w:pStyle w:val="TableContents"/>
              <w:spacing w:before="0" w:after="283"/>
              <w:rPr>
                <w:sz w:val="4"/>
                <w:szCs w:val="4"/>
              </w:rPr>
            </w:pPr>
            <w:r>
              <w:rPr>
                <w:sz w:val="4"/>
                <w:szCs w:val="4"/>
              </w:rPr>
            </w:r>
          </w:p>
        </w:tc>
        <w:tc>
          <w:tcPr>
            <w:tcW w:w="9352" w:type="dxa"/>
            <w:tcBorders/>
            <w:shd w:fill="auto" w:val="clear"/>
            <w:vAlign w:val="center"/>
          </w:tcPr>
          <w:p>
            <w:pPr>
              <w:pStyle w:val="TableContents"/>
              <w:spacing w:before="0" w:after="283"/>
              <w:rPr>
                <w:sz w:val="4"/>
                <w:szCs w:val="4"/>
              </w:rPr>
            </w:pPr>
            <w:r>
              <w:rPr>
                <w:sz w:val="4"/>
                <w:szCs w:val="4"/>
              </w:rPr>
            </w:r>
          </w:p>
        </w:tc>
      </w:tr>
      <w:tr>
        <w:trPr/>
        <w:tc>
          <w:tcPr>
            <w:tcW w:w="771" w:type="dxa"/>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Exhibit No. </w:t>
            </w:r>
          </w:p>
        </w:tc>
        <w:tc>
          <w:tcPr>
            <w:tcW w:w="82" w:type="dxa"/>
            <w:tcBorders/>
            <w:shd w:fill="auto" w:val="clear"/>
            <w:vAlign w:val="bottom"/>
          </w:tcPr>
          <w:p>
            <w:pPr>
              <w:pStyle w:val="TableHeading"/>
              <w:suppressLineNumbers/>
              <w:spacing w:before="0" w:after="283"/>
              <w:jc w:val="center"/>
              <w:rPr/>
            </w:pPr>
            <w:r>
              <w:rPr/>
              <w:t> </w:t>
            </w:r>
          </w:p>
        </w:tc>
        <w:tc>
          <w:tcPr>
            <w:tcW w:w="9352" w:type="dxa"/>
            <w:tcBorders>
              <w:bottom w:val="single" w:sz="8" w:space="0" w:color="000000"/>
            </w:tcBorders>
            <w:shd w:fill="auto" w:val="clear"/>
            <w:tcMar>
              <w:bottom w:w="28" w:type="dxa"/>
            </w:tcMar>
            <w:vAlign w:val="bottom"/>
          </w:tcPr>
          <w:p>
            <w:pPr>
              <w:pStyle w:val="TableHeading"/>
              <w:spacing w:before="0" w:after="283"/>
              <w:jc w:val="left"/>
              <w:rPr>
                <w:rFonts w:ascii="times" w:hAnsi="times"/>
                <w:b/>
                <w:sz w:val="14"/>
              </w:rPr>
            </w:pPr>
            <w:r>
              <w:rPr>
                <w:rFonts w:ascii="times" w:hAnsi="times"/>
                <w:b/>
                <w:sz w:val="14"/>
              </w:rPr>
              <w:t xml:space="preserve">Description </w:t>
            </w:r>
          </w:p>
        </w:tc>
      </w:tr>
      <w:tr>
        <w:trPr/>
        <w:tc>
          <w:tcPr>
            <w:tcW w:w="771" w:type="dxa"/>
            <w:tcBorders/>
            <w:shd w:fill="auto" w:val="clear"/>
          </w:tcPr>
          <w:p>
            <w:pPr>
              <w:pStyle w:val="TableContents"/>
              <w:spacing w:before="0" w:after="283"/>
              <w:rPr>
                <w:rFonts w:ascii="times" w:hAnsi="times"/>
                <w:sz w:val="20"/>
              </w:rPr>
            </w:pPr>
            <w:r>
              <w:rPr>
                <w:rFonts w:ascii="times" w:hAnsi="times"/>
                <w:sz w:val="20"/>
              </w:rPr>
              <w:t>4.1</w:t>
            </w:r>
          </w:p>
        </w:tc>
        <w:tc>
          <w:tcPr>
            <w:tcW w:w="82" w:type="dxa"/>
            <w:tcBorders/>
            <w:shd w:fill="auto" w:val="clear"/>
          </w:tcPr>
          <w:p>
            <w:pPr>
              <w:pStyle w:val="TableContents"/>
              <w:spacing w:before="0" w:after="283"/>
              <w:rPr/>
            </w:pPr>
            <w:r>
              <w:rPr/>
              <w:t> </w:t>
            </w:r>
          </w:p>
        </w:tc>
        <w:tc>
          <w:tcPr>
            <w:tcW w:w="9352" w:type="dxa"/>
            <w:tcBorders/>
            <w:shd w:fill="auto" w:val="clear"/>
          </w:tcPr>
          <w:p>
            <w:pPr>
              <w:pStyle w:val="TableContents"/>
              <w:spacing w:before="0" w:after="283"/>
              <w:rPr>
                <w:rFonts w:ascii="times" w:hAnsi="times"/>
                <w:sz w:val="20"/>
              </w:rPr>
            </w:pPr>
            <w:r>
              <w:rPr>
                <w:rFonts w:ascii="times" w:hAnsi="times"/>
                <w:sz w:val="20"/>
              </w:rPr>
              <w:t>Registrant's Annual Information Form, consisting of the Registrant's Annual Report on Form 20-F for the fiscal year ended December 31, 2012, incorporated herein by reference to the Registrant's Annual Report on Form 20-F filed with the U.S. Securities and Exchange Commission (the "Commission") on March 28, 2013, as amended by the Registrant's Annual Report on Form 20-F/A filed with the Commission on April 2, 2013 (the "2012 Annual Report") (File no. 001-13422), excluding the exhibits set out in Item 19 thereof</w:t>
            </w:r>
          </w:p>
        </w:tc>
      </w:tr>
      <w:tr>
        <w:trPr/>
        <w:tc>
          <w:tcPr>
            <w:tcW w:w="771" w:type="dxa"/>
            <w:tcBorders/>
            <w:shd w:fill="auto" w:val="clear"/>
          </w:tcPr>
          <w:p>
            <w:pPr>
              <w:pStyle w:val="TableContents"/>
              <w:spacing w:before="0" w:after="283"/>
              <w:rPr>
                <w:rFonts w:ascii="times" w:hAnsi="times"/>
              </w:rPr>
            </w:pPr>
            <w:r>
              <w:rPr>
                <w:rFonts w:ascii="times" w:hAnsi="times"/>
              </w:rPr>
              <w:br/>
            </w:r>
            <w:r>
              <w:rPr>
                <w:rFonts w:ascii="times" w:hAnsi="times"/>
                <w:sz w:val="20"/>
              </w:rPr>
              <w:t>4.2</w:t>
            </w:r>
          </w:p>
        </w:tc>
        <w:tc>
          <w:tcPr>
            <w:tcW w:w="82" w:type="dxa"/>
            <w:tcBorders/>
            <w:shd w:fill="auto" w:val="clear"/>
          </w:tcPr>
          <w:p>
            <w:pPr>
              <w:pStyle w:val="TableContents"/>
              <w:spacing w:before="0" w:after="283"/>
              <w:rPr>
                <w:rFonts w:ascii="times" w:hAnsi="times"/>
                <w:sz w:val="20"/>
              </w:rPr>
            </w:pPr>
            <w:r>
              <w:rPr>
                <w:rFonts w:ascii="times" w:hAnsi="times"/>
                <w:sz w:val="20"/>
              </w:rPr>
              <w:br/>
              <w:t> </w:t>
            </w:r>
          </w:p>
        </w:tc>
        <w:tc>
          <w:tcPr>
            <w:tcW w:w="9352" w:type="dxa"/>
            <w:tcBorders/>
            <w:shd w:fill="auto" w:val="clear"/>
          </w:tcPr>
          <w:p>
            <w:pPr>
              <w:pStyle w:val="TableContents"/>
              <w:spacing w:before="0" w:after="283"/>
              <w:rPr>
                <w:rFonts w:ascii="times" w:hAnsi="times"/>
              </w:rPr>
            </w:pPr>
            <w:r>
              <w:rPr>
                <w:rFonts w:ascii="times" w:hAnsi="times"/>
              </w:rPr>
              <w:br/>
            </w:r>
            <w:r>
              <w:rPr>
                <w:rFonts w:ascii="times" w:hAnsi="times"/>
                <w:sz w:val="20"/>
              </w:rPr>
              <w:t>Audited consolidated financial statements of the Registrant, including the notes thereto, as at December 31, 2012 and 2011 and for each of the years in the three year period ended December 31, 2012, together with the auditors' report thereon dated March 26, 2013, incorporated herein by reference to the 2012 Annual Report (File no. 001-13422)</w:t>
            </w:r>
          </w:p>
        </w:tc>
      </w:tr>
      <w:tr>
        <w:trPr/>
        <w:tc>
          <w:tcPr>
            <w:tcW w:w="771" w:type="dxa"/>
            <w:tcBorders/>
            <w:shd w:fill="auto" w:val="clear"/>
          </w:tcPr>
          <w:p>
            <w:pPr>
              <w:pStyle w:val="TableContents"/>
              <w:spacing w:before="0" w:after="283"/>
              <w:rPr>
                <w:rFonts w:ascii="times" w:hAnsi="times"/>
              </w:rPr>
            </w:pPr>
            <w:r>
              <w:rPr>
                <w:rFonts w:ascii="times" w:hAnsi="times"/>
              </w:rPr>
              <w:br/>
            </w:r>
            <w:r>
              <w:rPr>
                <w:rFonts w:ascii="times" w:hAnsi="times"/>
                <w:sz w:val="20"/>
              </w:rPr>
              <w:t>4.3</w:t>
            </w:r>
          </w:p>
        </w:tc>
        <w:tc>
          <w:tcPr>
            <w:tcW w:w="82" w:type="dxa"/>
            <w:tcBorders/>
            <w:shd w:fill="auto" w:val="clear"/>
          </w:tcPr>
          <w:p>
            <w:pPr>
              <w:pStyle w:val="TableContents"/>
              <w:spacing w:before="0" w:after="283"/>
              <w:rPr>
                <w:rFonts w:ascii="times" w:hAnsi="times"/>
                <w:sz w:val="20"/>
              </w:rPr>
            </w:pPr>
            <w:r>
              <w:rPr>
                <w:rFonts w:ascii="times" w:hAnsi="times"/>
                <w:sz w:val="20"/>
              </w:rPr>
              <w:br/>
              <w:t> </w:t>
            </w:r>
          </w:p>
        </w:tc>
        <w:tc>
          <w:tcPr>
            <w:tcW w:w="9352" w:type="dxa"/>
            <w:tcBorders/>
            <w:shd w:fill="auto" w:val="clear"/>
          </w:tcPr>
          <w:p>
            <w:pPr>
              <w:pStyle w:val="TableContents"/>
              <w:spacing w:before="0" w:after="283"/>
              <w:rPr>
                <w:rFonts w:ascii="times" w:hAnsi="times"/>
              </w:rPr>
            </w:pPr>
            <w:r>
              <w:rPr>
                <w:rFonts w:ascii="times" w:hAnsi="times"/>
              </w:rPr>
              <w:br/>
            </w:r>
            <w:r>
              <w:rPr>
                <w:rFonts w:ascii="times" w:hAnsi="times"/>
                <w:sz w:val="20"/>
              </w:rPr>
              <w:t>Management's discussion and analysis of financial condition and results of operation of the Registrant for the year ended December 31, 2012, incorporated herein by reference to the 2012 Annual Report (File no. 001-13422)</w:t>
            </w:r>
          </w:p>
        </w:tc>
      </w:tr>
      <w:tr>
        <w:trPr/>
        <w:tc>
          <w:tcPr>
            <w:tcW w:w="771" w:type="dxa"/>
            <w:tcBorders/>
            <w:shd w:fill="auto" w:val="clear"/>
          </w:tcPr>
          <w:p>
            <w:pPr>
              <w:pStyle w:val="TableContents"/>
              <w:spacing w:before="0" w:after="283"/>
              <w:rPr>
                <w:rFonts w:ascii="times" w:hAnsi="times"/>
              </w:rPr>
            </w:pPr>
            <w:r>
              <w:rPr>
                <w:rFonts w:ascii="times" w:hAnsi="times"/>
              </w:rPr>
              <w:br/>
            </w:r>
            <w:r>
              <w:rPr>
                <w:rFonts w:ascii="times" w:hAnsi="times"/>
                <w:sz w:val="20"/>
              </w:rPr>
              <w:t>4.4</w:t>
            </w:r>
          </w:p>
        </w:tc>
        <w:tc>
          <w:tcPr>
            <w:tcW w:w="82" w:type="dxa"/>
            <w:tcBorders/>
            <w:shd w:fill="auto" w:val="clear"/>
          </w:tcPr>
          <w:p>
            <w:pPr>
              <w:pStyle w:val="TableContents"/>
              <w:spacing w:before="0" w:after="283"/>
              <w:rPr>
                <w:rFonts w:ascii="times" w:hAnsi="times"/>
                <w:sz w:val="20"/>
              </w:rPr>
            </w:pPr>
            <w:r>
              <w:rPr>
                <w:rFonts w:ascii="times" w:hAnsi="times"/>
                <w:sz w:val="20"/>
              </w:rPr>
              <w:br/>
              <w:t> </w:t>
            </w:r>
          </w:p>
        </w:tc>
        <w:tc>
          <w:tcPr>
            <w:tcW w:w="9352" w:type="dxa"/>
            <w:tcBorders/>
            <w:shd w:fill="auto" w:val="clear"/>
          </w:tcPr>
          <w:p>
            <w:pPr>
              <w:pStyle w:val="TableContents"/>
              <w:spacing w:before="0" w:after="283"/>
              <w:rPr>
                <w:rFonts w:ascii="times" w:hAnsi="times"/>
              </w:rPr>
            </w:pPr>
            <w:r>
              <w:rPr>
                <w:rFonts w:ascii="times" w:hAnsi="times"/>
              </w:rPr>
              <w:br/>
            </w:r>
            <w:r>
              <w:rPr>
                <w:rFonts w:ascii="times" w:hAnsi="times"/>
                <w:sz w:val="20"/>
              </w:rPr>
              <w:t>Management Information Circular prepared in connection with the Registrant's annual and special meeting of shareholders on April 26, 2013, incorporated herein by reference to the Registrant's Report on Form 6-K furnished to the Commission on March 28, 2013 (File no. 001-13422)</w:t>
            </w:r>
          </w:p>
        </w:tc>
      </w:tr>
      <w:tr>
        <w:trPr/>
        <w:tc>
          <w:tcPr>
            <w:tcW w:w="771" w:type="dxa"/>
            <w:tcBorders/>
            <w:shd w:fill="auto" w:val="clear"/>
          </w:tcPr>
          <w:p>
            <w:pPr>
              <w:pStyle w:val="TableContents"/>
              <w:spacing w:before="0" w:after="283"/>
              <w:rPr>
                <w:rFonts w:ascii="times" w:hAnsi="times"/>
              </w:rPr>
            </w:pPr>
            <w:r>
              <w:rPr>
                <w:rFonts w:ascii="times" w:hAnsi="times"/>
              </w:rPr>
              <w:br/>
            </w:r>
            <w:r>
              <w:rPr>
                <w:rFonts w:ascii="times" w:hAnsi="times"/>
                <w:sz w:val="20"/>
              </w:rPr>
              <w:t>4.5</w:t>
            </w:r>
          </w:p>
        </w:tc>
        <w:tc>
          <w:tcPr>
            <w:tcW w:w="82" w:type="dxa"/>
            <w:tcBorders/>
            <w:shd w:fill="auto" w:val="clear"/>
          </w:tcPr>
          <w:p>
            <w:pPr>
              <w:pStyle w:val="TableContents"/>
              <w:spacing w:before="0" w:after="283"/>
              <w:rPr>
                <w:rFonts w:ascii="times" w:hAnsi="times"/>
                <w:sz w:val="20"/>
              </w:rPr>
            </w:pPr>
            <w:r>
              <w:rPr>
                <w:rFonts w:ascii="times" w:hAnsi="times"/>
                <w:sz w:val="20"/>
              </w:rPr>
              <w:br/>
              <w:t> </w:t>
            </w:r>
          </w:p>
        </w:tc>
        <w:tc>
          <w:tcPr>
            <w:tcW w:w="9352" w:type="dxa"/>
            <w:tcBorders/>
            <w:shd w:fill="auto" w:val="clear"/>
          </w:tcPr>
          <w:p>
            <w:pPr>
              <w:pStyle w:val="TableContents"/>
              <w:spacing w:before="0" w:after="283"/>
              <w:rPr>
                <w:rFonts w:ascii="times" w:hAnsi="times"/>
              </w:rPr>
            </w:pPr>
            <w:r>
              <w:rPr>
                <w:rFonts w:ascii="times" w:hAnsi="times"/>
              </w:rPr>
              <w:br/>
            </w:r>
            <w:r>
              <w:rPr>
                <w:rFonts w:ascii="times" w:hAnsi="times"/>
                <w:sz w:val="20"/>
              </w:rPr>
              <w:t>Unaudited consolidated financial statements of the Registrant as at March 31, 2013 and for the three months ended March 31, 2013 and 2012 and related management's discussion and analysis of results of operations of the Registrant for the three months ended March 31, 2013 and 2012, incorporated herein by reference to the Registrant's Report on Form 6-K furnished to the Commission on May 10, 2013 (File no. 001-13422)</w:t>
            </w:r>
          </w:p>
        </w:tc>
      </w:tr>
      <w:tr>
        <w:trPr/>
        <w:tc>
          <w:tcPr>
            <w:tcW w:w="771" w:type="dxa"/>
            <w:tcBorders/>
            <w:shd w:fill="auto" w:val="clear"/>
          </w:tcPr>
          <w:p>
            <w:pPr>
              <w:pStyle w:val="TableContents"/>
              <w:spacing w:before="0" w:after="283"/>
              <w:rPr>
                <w:rFonts w:ascii="times" w:hAnsi="times"/>
              </w:rPr>
            </w:pPr>
            <w:r>
              <w:rPr>
                <w:rFonts w:ascii="times" w:hAnsi="times"/>
              </w:rPr>
              <w:br/>
            </w:r>
            <w:r>
              <w:rPr>
                <w:rFonts w:ascii="times" w:hAnsi="times"/>
                <w:sz w:val="20"/>
              </w:rPr>
              <w:t>5.1</w:t>
            </w:r>
          </w:p>
        </w:tc>
        <w:tc>
          <w:tcPr>
            <w:tcW w:w="82" w:type="dxa"/>
            <w:tcBorders/>
            <w:shd w:fill="auto" w:val="clear"/>
          </w:tcPr>
          <w:p>
            <w:pPr>
              <w:pStyle w:val="TableContents"/>
              <w:spacing w:before="0" w:after="283"/>
              <w:rPr>
                <w:rFonts w:ascii="times" w:hAnsi="times"/>
                <w:sz w:val="20"/>
              </w:rPr>
            </w:pPr>
            <w:r>
              <w:rPr>
                <w:rFonts w:ascii="times" w:hAnsi="times"/>
                <w:sz w:val="20"/>
              </w:rPr>
              <w:br/>
              <w:t> </w:t>
            </w:r>
          </w:p>
        </w:tc>
        <w:tc>
          <w:tcPr>
            <w:tcW w:w="9352" w:type="dxa"/>
            <w:tcBorders/>
            <w:shd w:fill="auto" w:val="clear"/>
          </w:tcPr>
          <w:p>
            <w:pPr>
              <w:pStyle w:val="TableContents"/>
              <w:spacing w:before="0" w:after="283"/>
              <w:rPr>
                <w:rFonts w:ascii="times" w:hAnsi="times"/>
              </w:rPr>
            </w:pPr>
            <w:r>
              <w:rPr>
                <w:rFonts w:ascii="times" w:hAnsi="times"/>
              </w:rPr>
              <w:br/>
            </w:r>
            <w:r>
              <w:rPr>
                <w:rFonts w:ascii="times" w:hAnsi="times"/>
                <w:sz w:val="20"/>
              </w:rPr>
              <w:t>Consent of Daniel Doucet*</w:t>
            </w:r>
          </w:p>
        </w:tc>
      </w:tr>
      <w:tr>
        <w:trPr/>
        <w:tc>
          <w:tcPr>
            <w:tcW w:w="771" w:type="dxa"/>
            <w:tcBorders/>
            <w:shd w:fill="auto" w:val="clear"/>
          </w:tcPr>
          <w:p>
            <w:pPr>
              <w:pStyle w:val="TableContents"/>
              <w:spacing w:before="0" w:after="283"/>
              <w:rPr>
                <w:rFonts w:ascii="times" w:hAnsi="times"/>
              </w:rPr>
            </w:pPr>
            <w:r>
              <w:rPr>
                <w:rFonts w:ascii="times" w:hAnsi="times"/>
              </w:rPr>
              <w:br/>
            </w:r>
            <w:r>
              <w:rPr>
                <w:rFonts w:ascii="times" w:hAnsi="times"/>
                <w:sz w:val="20"/>
              </w:rPr>
              <w:t>5.6</w:t>
            </w:r>
          </w:p>
        </w:tc>
        <w:tc>
          <w:tcPr>
            <w:tcW w:w="82" w:type="dxa"/>
            <w:tcBorders/>
            <w:shd w:fill="auto" w:val="clear"/>
          </w:tcPr>
          <w:p>
            <w:pPr>
              <w:pStyle w:val="TableContents"/>
              <w:spacing w:before="0" w:after="283"/>
              <w:rPr>
                <w:rFonts w:ascii="times" w:hAnsi="times"/>
                <w:sz w:val="20"/>
              </w:rPr>
            </w:pPr>
            <w:r>
              <w:rPr>
                <w:rFonts w:ascii="times" w:hAnsi="times"/>
                <w:sz w:val="20"/>
              </w:rPr>
              <w:br/>
              <w:t> </w:t>
            </w:r>
          </w:p>
        </w:tc>
        <w:tc>
          <w:tcPr>
            <w:tcW w:w="9352" w:type="dxa"/>
            <w:tcBorders/>
            <w:shd w:fill="auto" w:val="clear"/>
          </w:tcPr>
          <w:p>
            <w:pPr>
              <w:pStyle w:val="TableContents"/>
              <w:spacing w:before="0" w:after="283"/>
              <w:rPr>
                <w:rFonts w:ascii="times" w:hAnsi="times"/>
              </w:rPr>
            </w:pPr>
            <w:r>
              <w:rPr>
                <w:rFonts w:ascii="times" w:hAnsi="times"/>
              </w:rPr>
              <w:br/>
            </w:r>
            <w:r>
              <w:rPr>
                <w:rFonts w:ascii="times" w:hAnsi="times"/>
                <w:sz w:val="20"/>
              </w:rPr>
              <w:t>Consent of Ernst &amp; Young LLP**</w:t>
            </w:r>
          </w:p>
        </w:tc>
      </w:tr>
      <w:tr>
        <w:trPr/>
        <w:tc>
          <w:tcPr>
            <w:tcW w:w="771" w:type="dxa"/>
            <w:tcBorders/>
            <w:shd w:fill="auto" w:val="clear"/>
          </w:tcPr>
          <w:p>
            <w:pPr>
              <w:pStyle w:val="TableContents"/>
              <w:spacing w:before="0" w:after="283"/>
              <w:rPr>
                <w:rFonts w:ascii="times" w:hAnsi="times"/>
              </w:rPr>
            </w:pPr>
            <w:r>
              <w:rPr>
                <w:rFonts w:ascii="times" w:hAnsi="times"/>
              </w:rPr>
              <w:br/>
            </w:r>
            <w:r>
              <w:rPr>
                <w:rFonts w:ascii="times" w:hAnsi="times"/>
                <w:sz w:val="20"/>
              </w:rPr>
              <w:t>6.1</w:t>
            </w:r>
          </w:p>
        </w:tc>
        <w:tc>
          <w:tcPr>
            <w:tcW w:w="82" w:type="dxa"/>
            <w:tcBorders/>
            <w:shd w:fill="auto" w:val="clear"/>
          </w:tcPr>
          <w:p>
            <w:pPr>
              <w:pStyle w:val="TableContents"/>
              <w:spacing w:before="0" w:after="283"/>
              <w:rPr>
                <w:rFonts w:ascii="times" w:hAnsi="times"/>
                <w:sz w:val="20"/>
              </w:rPr>
            </w:pPr>
            <w:r>
              <w:rPr>
                <w:rFonts w:ascii="times" w:hAnsi="times"/>
                <w:sz w:val="20"/>
              </w:rPr>
              <w:br/>
              <w:t> </w:t>
            </w:r>
          </w:p>
        </w:tc>
        <w:tc>
          <w:tcPr>
            <w:tcW w:w="9352" w:type="dxa"/>
            <w:tcBorders/>
            <w:shd w:fill="auto" w:val="clear"/>
          </w:tcPr>
          <w:p>
            <w:pPr>
              <w:pStyle w:val="TableContents"/>
              <w:spacing w:before="0" w:after="283"/>
              <w:rPr>
                <w:rFonts w:ascii="times" w:hAnsi="times"/>
              </w:rPr>
            </w:pPr>
            <w:r>
              <w:rPr>
                <w:rFonts w:ascii="times" w:hAnsi="times"/>
              </w:rPr>
              <w:br/>
            </w:r>
            <w:r>
              <w:rPr>
                <w:rFonts w:ascii="times" w:hAnsi="times"/>
                <w:sz w:val="20"/>
              </w:rPr>
              <w:t>Powers of Attorney, included on the signature page of this Registration Statement</w:t>
            </w:r>
          </w:p>
        </w:tc>
      </w:tr>
      <w:tr>
        <w:trPr/>
        <w:tc>
          <w:tcPr>
            <w:tcW w:w="771" w:type="dxa"/>
            <w:tcBorders/>
            <w:shd w:fill="auto" w:val="clear"/>
          </w:tcPr>
          <w:p>
            <w:pPr>
              <w:pStyle w:val="TableContents"/>
              <w:spacing w:before="0" w:after="283"/>
              <w:rPr>
                <w:rFonts w:ascii="times" w:hAnsi="times"/>
              </w:rPr>
            </w:pPr>
            <w:r>
              <w:rPr>
                <w:rFonts w:ascii="times" w:hAnsi="times"/>
              </w:rPr>
              <w:br/>
            </w:r>
            <w:r>
              <w:rPr>
                <w:rFonts w:ascii="times" w:hAnsi="times"/>
                <w:sz w:val="20"/>
              </w:rPr>
              <w:t>7.1</w:t>
            </w:r>
          </w:p>
        </w:tc>
        <w:tc>
          <w:tcPr>
            <w:tcW w:w="82" w:type="dxa"/>
            <w:tcBorders/>
            <w:shd w:fill="auto" w:val="clear"/>
          </w:tcPr>
          <w:p>
            <w:pPr>
              <w:pStyle w:val="TableContents"/>
              <w:spacing w:before="0" w:after="283"/>
              <w:rPr>
                <w:rFonts w:ascii="times" w:hAnsi="times"/>
                <w:sz w:val="20"/>
              </w:rPr>
            </w:pPr>
            <w:r>
              <w:rPr>
                <w:rFonts w:ascii="times" w:hAnsi="times"/>
                <w:sz w:val="20"/>
              </w:rPr>
              <w:br/>
              <w:t> </w:t>
            </w:r>
          </w:p>
        </w:tc>
        <w:tc>
          <w:tcPr>
            <w:tcW w:w="9352" w:type="dxa"/>
            <w:tcBorders/>
            <w:shd w:fill="auto" w:val="clear"/>
          </w:tcPr>
          <w:p>
            <w:pPr>
              <w:pStyle w:val="TableContents"/>
              <w:spacing w:before="0" w:after="283"/>
              <w:rPr>
                <w:rFonts w:ascii="times" w:hAnsi="times"/>
              </w:rPr>
            </w:pPr>
            <w:r>
              <w:rPr>
                <w:rFonts w:ascii="times" w:hAnsi="times"/>
              </w:rPr>
              <w:br/>
            </w:r>
            <w:r>
              <w:rPr>
                <w:rFonts w:ascii="times" w:hAnsi="times"/>
                <w:sz w:val="20"/>
              </w:rPr>
              <w:t>Form of Indenture, incorporated herein by reference to Exhibit 7.1 to Amendment No. 1 to the Registrant's Registration Statement on Form F-10 filed with the Commission on November 8, 2002 (File no. 333-100902)</w:t>
            </w:r>
          </w:p>
        </w:tc>
      </w:tr>
    </w:tbl>
    <w:p>
      <w:pPr>
        <w:pStyle w:val="HorizontalLine"/>
        <w:pBdr>
          <w:bottom w:val="single" w:sz="6" w:space="0" w:color="000000"/>
        </w:pBdr>
        <w:ind w:left="0" w:right="9083" w:hanging="0"/>
        <w:jc w:val="left"/>
        <w:rPr/>
      </w:pPr>
      <w:r>
        <w:rPr/>
      </w:r>
    </w:p>
    <w:p>
      <w:pPr>
        <w:pStyle w:val="ListHeading"/>
        <w:spacing w:before="0" w:after="0"/>
        <w:jc w:val="left"/>
        <w:rPr>
          <w:rFonts w:ascii="times" w:hAnsi="times"/>
          <w:sz w:val="14"/>
        </w:rPr>
      </w:pPr>
      <w:r>
        <w:rPr>
          <w:rFonts w:ascii="times" w:hAnsi="times"/>
          <w:sz w:val="14"/>
        </w:rPr>
        <w:t>*</w:t>
      </w:r>
    </w:p>
    <w:p>
      <w:pPr>
        <w:pStyle w:val="ListContents"/>
        <w:spacing w:before="0" w:after="283"/>
        <w:jc w:val="left"/>
        <w:rPr>
          <w:rFonts w:ascii="times" w:hAnsi="times"/>
          <w:sz w:val="14"/>
        </w:rPr>
      </w:pPr>
      <w:r>
        <w:rPr>
          <w:rFonts w:ascii="times" w:hAnsi="times"/>
          <w:sz w:val="14"/>
        </w:rPr>
        <w:t xml:space="preserve">To be filed by amendment </w:t>
      </w:r>
    </w:p>
    <w:p>
      <w:pPr>
        <w:pStyle w:val="ListHeading"/>
        <w:spacing w:before="0" w:after="0"/>
        <w:jc w:val="left"/>
        <w:rPr>
          <w:rFonts w:ascii="times" w:hAnsi="times"/>
          <w:sz w:val="14"/>
        </w:rPr>
      </w:pPr>
      <w:r>
        <w:rPr>
          <w:rFonts w:ascii="times" w:hAnsi="times"/>
          <w:sz w:val="14"/>
        </w:rPr>
        <w:t>**</w:t>
      </w:r>
    </w:p>
    <w:p>
      <w:pPr>
        <w:pStyle w:val="ListContents"/>
        <w:spacing w:before="0" w:after="283"/>
        <w:jc w:val="left"/>
        <w:rPr>
          <w:rFonts w:ascii="times" w:hAnsi="times"/>
          <w:sz w:val="14"/>
        </w:rPr>
      </w:pPr>
      <w:r>
        <w:rPr>
          <w:rFonts w:ascii="times" w:hAnsi="times"/>
          <w:sz w:val="14"/>
        </w:rPr>
        <w:t xml:space="preserve">Filed herewith </w:t>
      </w:r>
    </w:p>
    <w:p>
      <w:pPr>
        <w:pStyle w:val="TextBody"/>
        <w:jc w:val="center"/>
        <w:rPr>
          <w:rFonts w:ascii="times" w:hAnsi="times"/>
          <w:sz w:val="20"/>
        </w:rPr>
      </w:pPr>
      <w:r>
        <w:rPr>
          <w:rFonts w:ascii="times" w:hAnsi="times"/>
          <w:sz w:val="20"/>
        </w:rPr>
        <w:t>II-2</w:t>
      </w:r>
    </w:p>
    <w:p>
      <w:pPr>
        <w:pStyle w:val="HorizontalLine"/>
        <w:pBdr>
          <w:bottom w:val="single" w:sz="20" w:space="0" w:color="808080"/>
        </w:pBdr>
        <w:rPr/>
      </w:pPr>
      <w:r>
        <w:rPr/>
      </w:r>
      <w:r>
        <w:br w:type="page"/>
      </w:r>
    </w:p>
    <w:p>
      <w:pPr>
        <w:pStyle w:val="TextBody"/>
        <w:jc w:val="center"/>
        <w:rPr>
          <w:rFonts w:ascii="times" w:hAnsi="times"/>
        </w:rPr>
      </w:pPr>
      <w:bookmarkStart w:id="97" w:name="toc_de48001_1"/>
      <w:bookmarkStart w:id="98" w:name="de48001_part_iii_undertaking_a__de402242"/>
      <w:bookmarkStart w:id="99" w:name="page_de48001_1_1"/>
      <w:bookmarkEnd w:id="97"/>
      <w:bookmarkEnd w:id="98"/>
      <w:bookmarkEnd w:id="99"/>
      <w:r>
        <w:rPr>
          <w:rFonts w:ascii="times" w:hAnsi="times"/>
          <w:sz w:val="20"/>
        </w:rPr>
        <w:br/>
      </w:r>
      <w:r>
        <w:rPr>
          <w:rFonts w:ascii="times" w:hAnsi="times"/>
          <w:b/>
          <w:sz w:val="20"/>
        </w:rPr>
        <w:t>PART III</w:t>
        <w:br/>
        <w:br/>
        <w:t xml:space="preserve">UNDERTAKING AND CONSENT TO SERVICE OF PROCESS </w:t>
      </w:r>
    </w:p>
    <w:p>
      <w:pPr>
        <w:pStyle w:val="TextBody"/>
        <w:rPr>
          <w:rFonts w:ascii="times" w:hAnsi="times"/>
          <w:b/>
          <w:sz w:val="20"/>
        </w:rPr>
      </w:pPr>
      <w:bookmarkStart w:id="100" w:name="toc_de48001_2"/>
      <w:bookmarkStart w:id="101" w:name="de48001_item_1._undertaking"/>
      <w:bookmarkEnd w:id="100"/>
      <w:bookmarkEnd w:id="101"/>
      <w:r>
        <w:rPr>
          <w:rFonts w:ascii="times" w:hAnsi="times"/>
          <w:b/>
          <w:sz w:val="20"/>
        </w:rPr>
        <w:t xml:space="preserve">Item 1.    Undertaking </w:t>
      </w:r>
    </w:p>
    <w:p>
      <w:pPr>
        <w:pStyle w:val="TextBody"/>
        <w:rPr/>
      </w:pPr>
      <w:r>
        <w:rPr/>
        <w:t>        </w:t>
      </w:r>
      <w:r>
        <w:rPr>
          <w:rFonts w:ascii="times" w:hAnsi="times"/>
          <w:sz w:val="20"/>
        </w:rPr>
        <w:t xml:space="preserve">The Registrant undertakes to make available, in person or by telephone, representatives to respond to inquiries made by the Commission staff, and to furnish promptly, when requested to do so by the Commission staff, information relating to the securities registered pursuant to Form F-10 or to transactions in said securities. </w:t>
      </w:r>
    </w:p>
    <w:p>
      <w:pPr>
        <w:pStyle w:val="TextBody"/>
        <w:rPr>
          <w:rFonts w:ascii="times" w:hAnsi="times"/>
          <w:b/>
          <w:sz w:val="20"/>
        </w:rPr>
      </w:pPr>
      <w:bookmarkStart w:id="102" w:name="toc_de48001_3"/>
      <w:bookmarkStart w:id="103" w:name="de48001_item_2._consent_to_service_of_pr"/>
      <w:bookmarkEnd w:id="102"/>
      <w:bookmarkEnd w:id="103"/>
      <w:r>
        <w:rPr>
          <w:rFonts w:ascii="times" w:hAnsi="times"/>
          <w:b/>
          <w:sz w:val="20"/>
        </w:rPr>
        <w:t xml:space="preserve">Item 2.    Consent to Service of Process </w:t>
      </w:r>
    </w:p>
    <w:p>
      <w:pPr>
        <w:pStyle w:val="ListHeading"/>
        <w:numPr>
          <w:ilvl w:val="0"/>
          <w:numId w:val="0"/>
        </w:numPr>
        <w:spacing w:before="0" w:after="0"/>
        <w:ind w:left="707" w:right="0" w:hanging="0"/>
        <w:rPr>
          <w:rFonts w:ascii="times" w:hAnsi="times"/>
          <w:sz w:val="20"/>
        </w:rPr>
      </w:pPr>
      <w:r>
        <w:rPr>
          <w:rFonts w:ascii="times" w:hAnsi="times"/>
          <w:sz w:val="20"/>
        </w:rPr>
        <w:t>(a)</w:t>
      </w:r>
    </w:p>
    <w:p>
      <w:pPr>
        <w:pStyle w:val="ListContents"/>
        <w:numPr>
          <w:ilvl w:val="0"/>
          <w:numId w:val="0"/>
        </w:numPr>
        <w:spacing w:before="0" w:after="283"/>
        <w:ind w:left="1274" w:right="0" w:hanging="0"/>
        <w:rPr>
          <w:rFonts w:ascii="times" w:hAnsi="times"/>
          <w:sz w:val="20"/>
        </w:rPr>
      </w:pPr>
      <w:r>
        <w:rPr>
          <w:rFonts w:ascii="times" w:hAnsi="times"/>
          <w:sz w:val="20"/>
        </w:rPr>
        <w:t xml:space="preserve">Concurrently with the filing of this Form F-10, the Registrant is filing with the Commission a written irrevocable consent and power of attorney on Form F-X. </w:t>
      </w:r>
    </w:p>
    <w:p>
      <w:pPr>
        <w:pStyle w:val="ListHeading"/>
        <w:numPr>
          <w:ilvl w:val="0"/>
          <w:numId w:val="0"/>
        </w:numPr>
        <w:spacing w:before="0" w:after="0"/>
        <w:ind w:left="707" w:right="0" w:hanging="0"/>
        <w:rPr>
          <w:rFonts w:ascii="times" w:hAnsi="times"/>
          <w:sz w:val="20"/>
        </w:rPr>
      </w:pPr>
      <w:r>
        <w:rPr>
          <w:rFonts w:ascii="times" w:hAnsi="times"/>
          <w:sz w:val="20"/>
        </w:rPr>
        <w:t>(b)</w:t>
      </w:r>
    </w:p>
    <w:p>
      <w:pPr>
        <w:pStyle w:val="ListContents"/>
        <w:numPr>
          <w:ilvl w:val="0"/>
          <w:numId w:val="0"/>
        </w:numPr>
        <w:spacing w:before="0" w:after="283"/>
        <w:ind w:left="1274" w:right="0" w:hanging="0"/>
        <w:rPr>
          <w:rFonts w:ascii="times" w:hAnsi="times"/>
          <w:sz w:val="20"/>
        </w:rPr>
      </w:pPr>
      <w:r>
        <w:rPr>
          <w:rFonts w:ascii="times" w:hAnsi="times"/>
          <w:sz w:val="20"/>
        </w:rPr>
        <w:t xml:space="preserve">Any change to the name or address of the Registrant's agent for service of process shall be communicated promptly to the Commission by amendment to Form F-X referencing the file number of this Registration Statement. </w:t>
      </w:r>
    </w:p>
    <w:p>
      <w:pPr>
        <w:pStyle w:val="TextBody"/>
        <w:jc w:val="center"/>
        <w:rPr>
          <w:rFonts w:ascii="times" w:hAnsi="times"/>
          <w:sz w:val="20"/>
        </w:rPr>
      </w:pPr>
      <w:r>
        <w:rPr>
          <w:rFonts w:ascii="times" w:hAnsi="times"/>
          <w:sz w:val="20"/>
        </w:rPr>
        <w:t>III-1</w:t>
      </w:r>
    </w:p>
    <w:p>
      <w:pPr>
        <w:pStyle w:val="HorizontalLine"/>
        <w:pBdr>
          <w:bottom w:val="single" w:sz="20" w:space="0" w:color="808080"/>
        </w:pBdr>
        <w:rPr/>
      </w:pPr>
      <w:r>
        <w:rPr/>
      </w:r>
      <w:r>
        <w:br w:type="page"/>
      </w:r>
    </w:p>
    <w:p>
      <w:pPr>
        <w:pStyle w:val="TextBody"/>
        <w:jc w:val="center"/>
        <w:rPr>
          <w:rFonts w:ascii="times" w:hAnsi="times"/>
        </w:rPr>
      </w:pPr>
      <w:bookmarkStart w:id="104" w:name="toc_jc48001_1"/>
      <w:bookmarkStart w:id="105" w:name="jc48001_signatures"/>
      <w:bookmarkEnd w:id="104"/>
      <w:bookmarkEnd w:id="105"/>
      <w:r>
        <w:rPr>
          <w:rFonts w:ascii="times" w:hAnsi="times"/>
          <w:sz w:val="20"/>
        </w:rPr>
        <w:br/>
      </w:r>
      <w:r>
        <w:rPr>
          <w:rFonts w:ascii="times" w:hAnsi="times"/>
          <w:b/>
          <w:sz w:val="20"/>
        </w:rPr>
        <w:t xml:space="preserve">SIGNATURES </w:t>
      </w:r>
    </w:p>
    <w:p>
      <w:pPr>
        <w:pStyle w:val="TextBody"/>
        <w:rPr/>
      </w:pPr>
      <w:r>
        <w:rPr/>
        <w:t>        </w:t>
      </w:r>
      <w:r>
        <w:rPr>
          <w:rFonts w:ascii="times" w:hAnsi="times"/>
          <w:sz w:val="20"/>
        </w:rPr>
        <w:t xml:space="preserve">Pursuant to the requirements of the Securities Act, the Registrant certifies that it has reasonable grounds to believe that it meets all of the requirements for filing on Form F-10 and has duly caused this Registration Statement to be signed on its behalf by the undersigned, thereunto duly authorized in the City of Toronto, Province of Ontario, Country of Canada, on June 28, 2013. </w:t>
      </w:r>
    </w:p>
    <w:tbl>
      <w:tblPr>
        <w:tblW w:w="5000" w:type="pct"/>
        <w:jc w:val="center"/>
        <w:tblInd w:w="0" w:type="dxa"/>
        <w:tblCellMar>
          <w:top w:w="0" w:type="dxa"/>
          <w:left w:w="0" w:type="dxa"/>
          <w:bottom w:w="0" w:type="dxa"/>
          <w:right w:w="0" w:type="dxa"/>
        </w:tblCellMar>
      </w:tblPr>
      <w:tblGrid>
        <w:gridCol w:w="4623"/>
        <w:gridCol w:w="238"/>
        <w:gridCol w:w="555"/>
        <w:gridCol w:w="238"/>
        <w:gridCol w:w="4551"/>
      </w:tblGrid>
      <w:tr>
        <w:trPr/>
        <w:tc>
          <w:tcPr>
            <w:tcW w:w="4623" w:type="dxa"/>
            <w:tcBorders/>
            <w:shd w:fill="auto" w:val="clear"/>
            <w:vAlign w:val="center"/>
          </w:tcPr>
          <w:p>
            <w:pPr>
              <w:pStyle w:val="TableContents"/>
              <w:spacing w:before="0" w:after="283"/>
              <w:rPr>
                <w:sz w:val="4"/>
                <w:szCs w:val="4"/>
              </w:rPr>
            </w:pPr>
            <w:r>
              <w:rPr>
                <w:sz w:val="4"/>
                <w:szCs w:val="4"/>
              </w:rPr>
            </w:r>
          </w:p>
        </w:tc>
        <w:tc>
          <w:tcPr>
            <w:tcW w:w="238" w:type="dxa"/>
            <w:tcBorders/>
            <w:shd w:fill="auto" w:val="clear"/>
            <w:vAlign w:val="center"/>
          </w:tcPr>
          <w:p>
            <w:pPr>
              <w:pStyle w:val="TableContents"/>
              <w:spacing w:before="0" w:after="283"/>
              <w:rPr>
                <w:sz w:val="4"/>
                <w:szCs w:val="4"/>
              </w:rPr>
            </w:pPr>
            <w:r>
              <w:rPr>
                <w:sz w:val="4"/>
                <w:szCs w:val="4"/>
              </w:rPr>
            </w:r>
          </w:p>
        </w:tc>
        <w:tc>
          <w:tcPr>
            <w:tcW w:w="555" w:type="dxa"/>
            <w:tcBorders/>
            <w:shd w:fill="auto" w:val="clear"/>
            <w:vAlign w:val="center"/>
          </w:tcPr>
          <w:p>
            <w:pPr>
              <w:pStyle w:val="TableContents"/>
              <w:spacing w:before="0" w:after="283"/>
              <w:rPr>
                <w:sz w:val="4"/>
                <w:szCs w:val="4"/>
              </w:rPr>
            </w:pPr>
            <w:r>
              <w:rPr>
                <w:sz w:val="4"/>
                <w:szCs w:val="4"/>
              </w:rPr>
            </w:r>
          </w:p>
        </w:tc>
        <w:tc>
          <w:tcPr>
            <w:tcW w:w="238" w:type="dxa"/>
            <w:tcBorders/>
            <w:shd w:fill="auto" w:val="clear"/>
            <w:vAlign w:val="center"/>
          </w:tcPr>
          <w:p>
            <w:pPr>
              <w:pStyle w:val="TableContents"/>
              <w:spacing w:before="0" w:after="283"/>
              <w:rPr>
                <w:sz w:val="4"/>
                <w:szCs w:val="4"/>
              </w:rPr>
            </w:pPr>
            <w:r>
              <w:rPr>
                <w:sz w:val="4"/>
                <w:szCs w:val="4"/>
              </w:rPr>
            </w:r>
          </w:p>
        </w:tc>
        <w:tc>
          <w:tcPr>
            <w:tcW w:w="4551" w:type="dxa"/>
            <w:tcBorders/>
            <w:shd w:fill="auto" w:val="clear"/>
            <w:vAlign w:val="center"/>
          </w:tcPr>
          <w:p>
            <w:pPr>
              <w:pStyle w:val="TableContents"/>
              <w:spacing w:before="0" w:after="283"/>
              <w:rPr>
                <w:sz w:val="4"/>
                <w:szCs w:val="4"/>
              </w:rPr>
            </w:pPr>
            <w:r>
              <w:rPr>
                <w:sz w:val="4"/>
                <w:szCs w:val="4"/>
              </w:rPr>
            </w:r>
          </w:p>
        </w:tc>
      </w:tr>
      <w:tr>
        <w:trPr/>
        <w:tc>
          <w:tcPr>
            <w:tcW w:w="4623"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5344" w:type="dxa"/>
            <w:gridSpan w:val="3"/>
            <w:tcBorders/>
            <w:shd w:fill="auto" w:val="clear"/>
          </w:tcPr>
          <w:p>
            <w:pPr>
              <w:pStyle w:val="TableContents"/>
              <w:spacing w:before="0" w:after="283"/>
              <w:rPr>
                <w:rFonts w:ascii="times" w:hAnsi="times"/>
                <w:sz w:val="20"/>
              </w:rPr>
            </w:pPr>
            <w:r>
              <w:rPr>
                <w:rFonts w:ascii="times" w:hAnsi="times"/>
                <w:sz w:val="20"/>
              </w:rPr>
              <w:t>AGNICO EAGLE MINES LIMITED</w:t>
            </w:r>
          </w:p>
        </w:tc>
      </w:tr>
      <w:tr>
        <w:trPr/>
        <w:tc>
          <w:tcPr>
            <w:tcW w:w="4623" w:type="dxa"/>
            <w:tcBorders/>
            <w:shd w:fill="auto" w:val="clear"/>
            <w:vAlign w:val="bottom"/>
          </w:tcPr>
          <w:p>
            <w:pPr>
              <w:pStyle w:val="TableContents"/>
              <w:spacing w:before="0" w:after="283"/>
              <w:rPr>
                <w:rFonts w:ascii="times" w:hAnsi="times"/>
                <w:sz w:val="20"/>
              </w:rPr>
            </w:pPr>
            <w:r>
              <w:rPr>
                <w:rFonts w:ascii="times" w:hAnsi="times"/>
                <w:sz w:val="20"/>
              </w:rPr>
              <w:br/>
              <w:t> </w:t>
            </w:r>
          </w:p>
        </w:tc>
        <w:tc>
          <w:tcPr>
            <w:tcW w:w="238" w:type="dxa"/>
            <w:tcBorders/>
            <w:shd w:fill="auto" w:val="clear"/>
            <w:vAlign w:val="bottom"/>
          </w:tcPr>
          <w:p>
            <w:pPr>
              <w:pStyle w:val="TableContents"/>
              <w:spacing w:before="0" w:after="283"/>
              <w:rPr>
                <w:rFonts w:ascii="times" w:hAnsi="times"/>
                <w:sz w:val="20"/>
              </w:rPr>
            </w:pPr>
            <w:r>
              <w:rPr>
                <w:rFonts w:ascii="times" w:hAnsi="times"/>
                <w:sz w:val="20"/>
              </w:rPr>
              <w:br/>
              <w:t> </w:t>
            </w:r>
          </w:p>
        </w:tc>
        <w:tc>
          <w:tcPr>
            <w:tcW w:w="555" w:type="dxa"/>
            <w:tcBorders/>
            <w:shd w:fill="auto" w:val="clear"/>
          </w:tcPr>
          <w:p>
            <w:pPr>
              <w:pStyle w:val="TableContents"/>
              <w:spacing w:before="0" w:after="283"/>
              <w:rPr>
                <w:rFonts w:ascii="times" w:hAnsi="times"/>
              </w:rPr>
            </w:pPr>
            <w:r>
              <w:rPr>
                <w:rFonts w:ascii="times" w:hAnsi="times"/>
              </w:rPr>
              <w:br/>
            </w:r>
            <w:r>
              <w:rPr>
                <w:rFonts w:ascii="times" w:hAnsi="times"/>
                <w:sz w:val="20"/>
              </w:rPr>
              <w:t>By:</w:t>
            </w:r>
          </w:p>
        </w:tc>
        <w:tc>
          <w:tcPr>
            <w:tcW w:w="238" w:type="dxa"/>
            <w:tcBorders/>
            <w:shd w:fill="auto" w:val="clear"/>
          </w:tcPr>
          <w:p>
            <w:pPr>
              <w:pStyle w:val="TableContents"/>
              <w:spacing w:before="0" w:after="283"/>
              <w:rPr>
                <w:rFonts w:ascii="times" w:hAnsi="times"/>
                <w:sz w:val="20"/>
              </w:rPr>
            </w:pPr>
            <w:r>
              <w:rPr>
                <w:rFonts w:ascii="times" w:hAnsi="times"/>
                <w:sz w:val="20"/>
              </w:rPr>
              <w:br/>
              <w:t> </w:t>
            </w:r>
          </w:p>
        </w:tc>
        <w:tc>
          <w:tcPr>
            <w:tcW w:w="4551" w:type="dxa"/>
            <w:tcBorders/>
            <w:shd w:fill="auto" w:val="clear"/>
            <w:vAlign w:val="bottom"/>
          </w:tcPr>
          <w:p>
            <w:pPr>
              <w:pStyle w:val="TableContents"/>
              <w:spacing w:before="0" w:after="0"/>
              <w:rPr>
                <w:rFonts w:ascii="times" w:hAnsi="times"/>
              </w:rPr>
            </w:pPr>
            <w:r>
              <w:rPr>
                <w:rFonts w:ascii="times" w:hAnsi="times"/>
              </w:rPr>
              <w:br/>
            </w:r>
            <w:r>
              <w:rPr>
                <w:rFonts w:ascii="times" w:hAnsi="times"/>
                <w:sz w:val="20"/>
              </w:rPr>
              <w:t>/s/ DAVID SMITH</w:t>
            </w:r>
          </w:p>
          <w:p>
            <w:pPr>
              <w:pStyle w:val="HorizontalLine"/>
              <w:pBdr>
                <w:bottom w:val="single" w:sz="6" w:space="0" w:color="000000"/>
              </w:pBdr>
              <w:rPr/>
            </w:pPr>
            <w:r>
              <w:rPr/>
            </w:r>
          </w:p>
          <w:p>
            <w:pPr>
              <w:pStyle w:val="TableContents"/>
              <w:spacing w:before="0" w:after="283"/>
              <w:rPr>
                <w:rFonts w:ascii="times" w:hAnsi="times"/>
                <w:sz w:val="20"/>
              </w:rPr>
            </w:pPr>
            <w:r>
              <w:rPr>
                <w:rFonts w:ascii="times" w:hAnsi="times"/>
                <w:sz w:val="20"/>
              </w:rPr>
              <w:t>Name: David Smith</w:t>
              <w:br/>
              <w:t>Title:   Senior Vice-President, Finance and</w:t>
              <w:br/>
              <w:t>            Chief Financial Officer</w:t>
            </w:r>
          </w:p>
        </w:tc>
      </w:tr>
    </w:tbl>
    <w:p>
      <w:pPr>
        <w:pStyle w:val="TextBody"/>
        <w:rPr/>
      </w:pPr>
      <w:r>
        <w:rPr/>
        <w:t>        </w:t>
      </w:r>
      <w:r>
        <w:rPr>
          <w:rFonts w:ascii="times" w:hAnsi="times"/>
          <w:sz w:val="20"/>
        </w:rPr>
        <w:t xml:space="preserve">Each person whose signature appears below constitutes and appoints Sean Boyd, David Smith, Mel Leiderman and Bernard Kraft, and each of them, any of whom may act without the joinder of the others, the true and lawful attorney-in-fact and agent of the undersigned, with full power of substitution and resubstitution, for and in the name, place and stead of the undersigned, in any and all capacities, to sign any or all amendments (including post-effective amendments) to this Registration Statement, and to file the same, with all exhibits thereto and other documents in connection therewith, with the U.S. Securities and Exchange Commission, and hereby grants to said attorneys-in-fact and agents full power and authority to do and perform each and every act and thing requisite and necessary to be done, as fully to all intents and purposes as the undersigned might or could do in person, hereby ratifying and confirming all that said attorneys-in-fact and agents or their substitute or substitutes may lawfully do or cause to be done by virtue hereof. </w:t>
      </w:r>
    </w:p>
    <w:p>
      <w:pPr>
        <w:pStyle w:val="TextBody"/>
        <w:rPr/>
      </w:pPr>
      <w:r>
        <w:rPr/>
        <w:t>        </w:t>
      </w:r>
      <w:r>
        <w:rPr>
          <w:rFonts w:ascii="times" w:hAnsi="times"/>
          <w:sz w:val="20"/>
        </w:rPr>
        <w:t xml:space="preserve">This power of attorney may be executed in multiple counterparts, each of which shall be deemed an original, but which taken together shall constitute one instrument. </w:t>
      </w:r>
    </w:p>
    <w:p>
      <w:pPr>
        <w:pStyle w:val="TextBody"/>
        <w:rPr/>
      </w:pPr>
      <w:r>
        <w:rPr/>
        <w:t>        </w:t>
      </w:r>
      <w:r>
        <w:rPr>
          <w:rFonts w:ascii="times" w:hAnsi="times"/>
          <w:sz w:val="20"/>
        </w:rPr>
        <w:t xml:space="preserve">Pursuant to the requirements of the Securities Act, this Registration Statement has been signed by the following persons in the capacities indicated on June 28, 2013. </w:t>
      </w:r>
    </w:p>
    <w:tbl>
      <w:tblPr>
        <w:tblW w:w="5000" w:type="pct"/>
        <w:jc w:val="center"/>
        <w:tblInd w:w="0" w:type="dxa"/>
        <w:tblCellMar>
          <w:top w:w="0" w:type="dxa"/>
          <w:left w:w="0" w:type="dxa"/>
          <w:bottom w:w="0" w:type="dxa"/>
          <w:right w:w="0" w:type="dxa"/>
        </w:tblCellMar>
      </w:tblPr>
      <w:tblGrid>
        <w:gridCol w:w="4338"/>
        <w:gridCol w:w="315"/>
        <w:gridCol w:w="5552"/>
      </w:tblGrid>
      <w:tr>
        <w:trPr/>
        <w:tc>
          <w:tcPr>
            <w:tcW w:w="4338" w:type="dxa"/>
            <w:tcBorders/>
            <w:shd w:fill="auto" w:val="clear"/>
            <w:vAlign w:val="center"/>
          </w:tcPr>
          <w:p>
            <w:pPr>
              <w:pStyle w:val="TableContents"/>
              <w:spacing w:before="0" w:after="283"/>
              <w:rPr>
                <w:sz w:val="4"/>
                <w:szCs w:val="4"/>
              </w:rPr>
            </w:pPr>
            <w:r>
              <w:rPr>
                <w:sz w:val="4"/>
                <w:szCs w:val="4"/>
              </w:rPr>
            </w:r>
          </w:p>
        </w:tc>
        <w:tc>
          <w:tcPr>
            <w:tcW w:w="315" w:type="dxa"/>
            <w:tcBorders/>
            <w:shd w:fill="auto" w:val="clear"/>
            <w:vAlign w:val="center"/>
          </w:tcPr>
          <w:p>
            <w:pPr>
              <w:pStyle w:val="TableContents"/>
              <w:spacing w:before="0" w:after="283"/>
              <w:rPr>
                <w:sz w:val="4"/>
                <w:szCs w:val="4"/>
              </w:rPr>
            </w:pPr>
            <w:r>
              <w:rPr>
                <w:sz w:val="4"/>
                <w:szCs w:val="4"/>
              </w:rPr>
            </w:r>
          </w:p>
        </w:tc>
        <w:tc>
          <w:tcPr>
            <w:tcW w:w="5552" w:type="dxa"/>
            <w:tcBorders/>
            <w:shd w:fill="auto" w:val="clear"/>
            <w:vAlign w:val="center"/>
          </w:tcPr>
          <w:p>
            <w:pPr>
              <w:pStyle w:val="TableContents"/>
              <w:spacing w:before="0" w:after="283"/>
              <w:rPr>
                <w:sz w:val="4"/>
                <w:szCs w:val="4"/>
              </w:rPr>
            </w:pPr>
            <w:r>
              <w:rPr>
                <w:sz w:val="4"/>
                <w:szCs w:val="4"/>
              </w:rPr>
            </w:r>
          </w:p>
        </w:tc>
      </w:tr>
      <w:tr>
        <w:trPr/>
        <w:tc>
          <w:tcPr>
            <w:tcW w:w="4338" w:type="dxa"/>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Name </w:t>
            </w:r>
          </w:p>
        </w:tc>
        <w:tc>
          <w:tcPr>
            <w:tcW w:w="315" w:type="dxa"/>
            <w:tcBorders/>
            <w:shd w:fill="auto" w:val="clear"/>
            <w:vAlign w:val="bottom"/>
          </w:tcPr>
          <w:p>
            <w:pPr>
              <w:pStyle w:val="TableHeading"/>
              <w:suppressLineNumbers/>
              <w:spacing w:before="0" w:after="283"/>
              <w:jc w:val="center"/>
              <w:rPr/>
            </w:pPr>
            <w:r>
              <w:rPr/>
              <w:t> </w:t>
            </w:r>
          </w:p>
        </w:tc>
        <w:tc>
          <w:tcPr>
            <w:tcW w:w="5552" w:type="dxa"/>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Title </w:t>
            </w:r>
          </w:p>
        </w:tc>
      </w:tr>
      <w:tr>
        <w:trPr/>
        <w:tc>
          <w:tcPr>
            <w:tcW w:w="4338" w:type="dxa"/>
            <w:tcBorders/>
            <w:shd w:fill="auto" w:val="clear"/>
          </w:tcPr>
          <w:p>
            <w:pPr>
              <w:pStyle w:val="TableContents"/>
              <w:spacing w:before="0" w:after="0"/>
              <w:rPr>
                <w:rFonts w:ascii="times" w:hAnsi="times"/>
              </w:rPr>
            </w:pPr>
            <w:r>
              <w:rPr>
                <w:rFonts w:ascii="times" w:hAnsi="times"/>
              </w:rPr>
              <w:br/>
            </w:r>
            <w:r>
              <w:rPr>
                <w:rFonts w:ascii="times" w:hAnsi="times"/>
                <w:sz w:val="20"/>
              </w:rPr>
              <w:t>/s/ SEAN BOYD</w:t>
            </w:r>
          </w:p>
          <w:p>
            <w:pPr>
              <w:pStyle w:val="HorizontalLine"/>
              <w:pBdr>
                <w:bottom w:val="single" w:sz="6" w:space="0" w:color="000000"/>
              </w:pBdr>
              <w:rPr/>
            </w:pPr>
            <w:r>
              <w:rPr/>
            </w:r>
          </w:p>
          <w:p>
            <w:pPr>
              <w:pStyle w:val="TableContents"/>
              <w:spacing w:before="0" w:after="283"/>
              <w:rPr>
                <w:rFonts w:ascii="times" w:hAnsi="times"/>
                <w:sz w:val="20"/>
              </w:rPr>
            </w:pPr>
            <w:r>
              <w:rPr>
                <w:rFonts w:ascii="times" w:hAnsi="times"/>
                <w:sz w:val="20"/>
              </w:rPr>
              <w:t>Sean Boyd</w:t>
            </w:r>
          </w:p>
        </w:tc>
        <w:tc>
          <w:tcPr>
            <w:tcW w:w="315" w:type="dxa"/>
            <w:tcBorders/>
            <w:shd w:fill="auto" w:val="clear"/>
          </w:tcPr>
          <w:p>
            <w:pPr>
              <w:pStyle w:val="TableContents"/>
              <w:spacing w:before="0" w:after="283"/>
              <w:rPr>
                <w:rFonts w:ascii="times" w:hAnsi="times"/>
                <w:sz w:val="20"/>
              </w:rPr>
            </w:pPr>
            <w:r>
              <w:rPr>
                <w:rFonts w:ascii="times" w:hAnsi="times"/>
                <w:sz w:val="20"/>
              </w:rPr>
              <w:br/>
              <w:t> </w:t>
            </w:r>
          </w:p>
        </w:tc>
        <w:tc>
          <w:tcPr>
            <w:tcW w:w="5552" w:type="dxa"/>
            <w:tcBorders/>
            <w:shd w:fill="auto" w:val="clear"/>
          </w:tcPr>
          <w:p>
            <w:pPr>
              <w:pStyle w:val="TableContents"/>
              <w:spacing w:before="0" w:after="283"/>
              <w:rPr>
                <w:rFonts w:ascii="times" w:hAnsi="times"/>
              </w:rPr>
            </w:pPr>
            <w:r>
              <w:rPr>
                <w:rFonts w:ascii="times" w:hAnsi="times"/>
              </w:rPr>
              <w:br/>
            </w:r>
            <w:r>
              <w:rPr>
                <w:rFonts w:ascii="times" w:hAnsi="times"/>
                <w:sz w:val="20"/>
              </w:rPr>
              <w:t>Vice-Chairman, President and Chief Executive Officer</w:t>
              <w:br/>
              <w:t>(Principal Executive Officer)</w:t>
            </w:r>
          </w:p>
        </w:tc>
      </w:tr>
      <w:tr>
        <w:trPr/>
        <w:tc>
          <w:tcPr>
            <w:tcW w:w="4338" w:type="dxa"/>
            <w:tcBorders/>
            <w:shd w:fill="auto" w:val="clear"/>
          </w:tcPr>
          <w:p>
            <w:pPr>
              <w:pStyle w:val="TableContents"/>
              <w:spacing w:before="0" w:after="0"/>
              <w:rPr>
                <w:rFonts w:ascii="times" w:hAnsi="times"/>
              </w:rPr>
            </w:pPr>
            <w:r>
              <w:rPr>
                <w:rFonts w:ascii="times" w:hAnsi="times"/>
              </w:rPr>
              <w:br/>
            </w:r>
            <w:r>
              <w:rPr>
                <w:rFonts w:ascii="times" w:hAnsi="times"/>
                <w:sz w:val="20"/>
              </w:rPr>
              <w:t>/s/ DAVID SMITH</w:t>
            </w:r>
          </w:p>
          <w:p>
            <w:pPr>
              <w:pStyle w:val="HorizontalLine"/>
              <w:pBdr>
                <w:bottom w:val="single" w:sz="6" w:space="0" w:color="000000"/>
              </w:pBdr>
              <w:rPr/>
            </w:pPr>
            <w:r>
              <w:rPr/>
            </w:r>
          </w:p>
          <w:p>
            <w:pPr>
              <w:pStyle w:val="TableContents"/>
              <w:spacing w:before="0" w:after="283"/>
              <w:rPr>
                <w:rFonts w:ascii="times" w:hAnsi="times"/>
                <w:sz w:val="20"/>
              </w:rPr>
            </w:pPr>
            <w:r>
              <w:rPr>
                <w:rFonts w:ascii="times" w:hAnsi="times"/>
                <w:sz w:val="20"/>
              </w:rPr>
              <w:t>David Smith</w:t>
            </w:r>
          </w:p>
        </w:tc>
        <w:tc>
          <w:tcPr>
            <w:tcW w:w="315" w:type="dxa"/>
            <w:tcBorders/>
            <w:shd w:fill="auto" w:val="clear"/>
          </w:tcPr>
          <w:p>
            <w:pPr>
              <w:pStyle w:val="TableContents"/>
              <w:spacing w:before="0" w:after="283"/>
              <w:rPr>
                <w:rFonts w:ascii="times" w:hAnsi="times"/>
                <w:sz w:val="20"/>
              </w:rPr>
            </w:pPr>
            <w:r>
              <w:rPr>
                <w:rFonts w:ascii="times" w:hAnsi="times"/>
                <w:sz w:val="20"/>
              </w:rPr>
              <w:br/>
              <w:t> </w:t>
            </w:r>
          </w:p>
        </w:tc>
        <w:tc>
          <w:tcPr>
            <w:tcW w:w="5552" w:type="dxa"/>
            <w:tcBorders/>
            <w:shd w:fill="auto" w:val="clear"/>
          </w:tcPr>
          <w:p>
            <w:pPr>
              <w:pStyle w:val="TableContents"/>
              <w:spacing w:before="0" w:after="283"/>
              <w:rPr>
                <w:rFonts w:ascii="times" w:hAnsi="times"/>
              </w:rPr>
            </w:pPr>
            <w:r>
              <w:rPr>
                <w:rFonts w:ascii="times" w:hAnsi="times"/>
              </w:rPr>
              <w:br/>
            </w:r>
            <w:r>
              <w:rPr>
                <w:rFonts w:ascii="times" w:hAnsi="times"/>
                <w:sz w:val="20"/>
              </w:rPr>
              <w:t>Senior Vice-President, Finance and Chief Financial Officer</w:t>
              <w:br/>
              <w:t>(Principal Financial Officer)</w:t>
            </w:r>
          </w:p>
        </w:tc>
      </w:tr>
      <w:tr>
        <w:trPr/>
        <w:tc>
          <w:tcPr>
            <w:tcW w:w="4338" w:type="dxa"/>
            <w:tcBorders/>
            <w:shd w:fill="auto" w:val="clear"/>
          </w:tcPr>
          <w:p>
            <w:pPr>
              <w:pStyle w:val="TableContents"/>
              <w:spacing w:before="0" w:after="0"/>
              <w:rPr>
                <w:rFonts w:ascii="times" w:hAnsi="times"/>
              </w:rPr>
            </w:pPr>
            <w:r>
              <w:rPr>
                <w:rFonts w:ascii="times" w:hAnsi="times"/>
              </w:rPr>
              <w:br/>
            </w:r>
            <w:r>
              <w:rPr>
                <w:rFonts w:ascii="times" w:hAnsi="times"/>
                <w:sz w:val="20"/>
              </w:rPr>
              <w:t>/s/ MATHEW COOK</w:t>
            </w:r>
          </w:p>
          <w:p>
            <w:pPr>
              <w:pStyle w:val="HorizontalLine"/>
              <w:pBdr>
                <w:bottom w:val="single" w:sz="6" w:space="0" w:color="000000"/>
              </w:pBdr>
              <w:rPr/>
            </w:pPr>
            <w:r>
              <w:rPr/>
            </w:r>
          </w:p>
          <w:p>
            <w:pPr>
              <w:pStyle w:val="TableContents"/>
              <w:spacing w:before="0" w:after="283"/>
              <w:rPr>
                <w:rFonts w:ascii="times" w:hAnsi="times"/>
                <w:sz w:val="20"/>
              </w:rPr>
            </w:pPr>
            <w:r>
              <w:rPr>
                <w:rFonts w:ascii="times" w:hAnsi="times"/>
                <w:sz w:val="20"/>
              </w:rPr>
              <w:t>Mathew Cook</w:t>
            </w:r>
          </w:p>
        </w:tc>
        <w:tc>
          <w:tcPr>
            <w:tcW w:w="315" w:type="dxa"/>
            <w:tcBorders/>
            <w:shd w:fill="auto" w:val="clear"/>
          </w:tcPr>
          <w:p>
            <w:pPr>
              <w:pStyle w:val="TableContents"/>
              <w:spacing w:before="0" w:after="283"/>
              <w:rPr>
                <w:rFonts w:ascii="times" w:hAnsi="times"/>
                <w:sz w:val="20"/>
              </w:rPr>
            </w:pPr>
            <w:r>
              <w:rPr>
                <w:rFonts w:ascii="times" w:hAnsi="times"/>
                <w:sz w:val="20"/>
              </w:rPr>
              <w:br/>
              <w:t> </w:t>
            </w:r>
          </w:p>
        </w:tc>
        <w:tc>
          <w:tcPr>
            <w:tcW w:w="5552" w:type="dxa"/>
            <w:tcBorders/>
            <w:shd w:fill="auto" w:val="clear"/>
          </w:tcPr>
          <w:p>
            <w:pPr>
              <w:pStyle w:val="TableContents"/>
              <w:spacing w:before="0" w:after="283"/>
              <w:rPr>
                <w:rFonts w:ascii="times" w:hAnsi="times"/>
              </w:rPr>
            </w:pPr>
            <w:r>
              <w:rPr>
                <w:rFonts w:ascii="times" w:hAnsi="times"/>
              </w:rPr>
              <w:br/>
            </w:r>
            <w:r>
              <w:rPr>
                <w:rFonts w:ascii="times" w:hAnsi="times"/>
                <w:sz w:val="20"/>
              </w:rPr>
              <w:t>Vice-President, Controller</w:t>
              <w:br/>
              <w:t>(Principal Accounting Officer)</w:t>
            </w:r>
          </w:p>
        </w:tc>
      </w:tr>
      <w:tr>
        <w:trPr/>
        <w:tc>
          <w:tcPr>
            <w:tcW w:w="4338" w:type="dxa"/>
            <w:tcBorders/>
            <w:shd w:fill="auto" w:val="clear"/>
          </w:tcPr>
          <w:p>
            <w:pPr>
              <w:pStyle w:val="TableContents"/>
              <w:spacing w:before="0" w:after="0"/>
              <w:rPr>
                <w:rFonts w:ascii="times" w:hAnsi="times"/>
              </w:rPr>
            </w:pPr>
            <w:r>
              <w:rPr>
                <w:rFonts w:ascii="times" w:hAnsi="times"/>
              </w:rPr>
              <w:br/>
            </w:r>
            <w:r>
              <w:rPr>
                <w:rFonts w:ascii="times" w:hAnsi="times"/>
                <w:sz w:val="20"/>
              </w:rPr>
              <w:t>/s/ JAMES D. NASSO</w:t>
            </w:r>
          </w:p>
          <w:p>
            <w:pPr>
              <w:pStyle w:val="HorizontalLine"/>
              <w:pBdr>
                <w:bottom w:val="single" w:sz="6" w:space="0" w:color="000000"/>
              </w:pBdr>
              <w:rPr/>
            </w:pPr>
            <w:r>
              <w:rPr/>
            </w:r>
          </w:p>
          <w:p>
            <w:pPr>
              <w:pStyle w:val="TableContents"/>
              <w:spacing w:before="0" w:after="283"/>
              <w:rPr>
                <w:rFonts w:ascii="times" w:hAnsi="times"/>
                <w:sz w:val="20"/>
              </w:rPr>
            </w:pPr>
            <w:r>
              <w:rPr>
                <w:rFonts w:ascii="times" w:hAnsi="times"/>
                <w:sz w:val="20"/>
              </w:rPr>
              <w:t>James D. Nasso</w:t>
            </w:r>
          </w:p>
        </w:tc>
        <w:tc>
          <w:tcPr>
            <w:tcW w:w="315" w:type="dxa"/>
            <w:tcBorders/>
            <w:shd w:fill="auto" w:val="clear"/>
          </w:tcPr>
          <w:p>
            <w:pPr>
              <w:pStyle w:val="TableContents"/>
              <w:spacing w:before="0" w:after="283"/>
              <w:rPr>
                <w:rFonts w:ascii="times" w:hAnsi="times"/>
                <w:sz w:val="20"/>
              </w:rPr>
            </w:pPr>
            <w:r>
              <w:rPr>
                <w:rFonts w:ascii="times" w:hAnsi="times"/>
                <w:sz w:val="20"/>
              </w:rPr>
              <w:br/>
              <w:t> </w:t>
            </w:r>
          </w:p>
        </w:tc>
        <w:tc>
          <w:tcPr>
            <w:tcW w:w="5552" w:type="dxa"/>
            <w:tcBorders/>
            <w:shd w:fill="auto" w:val="clear"/>
          </w:tcPr>
          <w:p>
            <w:pPr>
              <w:pStyle w:val="TableContents"/>
              <w:spacing w:before="0" w:after="283"/>
              <w:rPr>
                <w:rFonts w:ascii="times" w:hAnsi="times"/>
              </w:rPr>
            </w:pPr>
            <w:r>
              <w:rPr>
                <w:rFonts w:ascii="times" w:hAnsi="times"/>
              </w:rPr>
              <w:br/>
            </w:r>
            <w:r>
              <w:rPr>
                <w:rFonts w:ascii="times" w:hAnsi="times"/>
                <w:sz w:val="20"/>
              </w:rPr>
              <w:t>Chairman of the Board</w:t>
            </w:r>
          </w:p>
        </w:tc>
      </w:tr>
      <w:tr>
        <w:trPr/>
        <w:tc>
          <w:tcPr>
            <w:tcW w:w="4338" w:type="dxa"/>
            <w:tcBorders/>
            <w:shd w:fill="auto" w:val="clear"/>
          </w:tcPr>
          <w:p>
            <w:pPr>
              <w:pStyle w:val="TableContents"/>
              <w:spacing w:before="0" w:after="0"/>
              <w:rPr>
                <w:rFonts w:ascii="times" w:hAnsi="times"/>
              </w:rPr>
            </w:pPr>
            <w:r>
              <w:rPr>
                <w:rFonts w:ascii="times" w:hAnsi="times"/>
              </w:rPr>
              <w:br/>
            </w:r>
            <w:r>
              <w:rPr>
                <w:rFonts w:ascii="times" w:hAnsi="times"/>
                <w:sz w:val="20"/>
              </w:rPr>
              <w:t>/s/ LEANNE M. BAKER</w:t>
            </w:r>
          </w:p>
          <w:p>
            <w:pPr>
              <w:pStyle w:val="HorizontalLine"/>
              <w:pBdr>
                <w:bottom w:val="single" w:sz="6" w:space="0" w:color="000000"/>
              </w:pBdr>
              <w:rPr/>
            </w:pPr>
            <w:r>
              <w:rPr/>
            </w:r>
          </w:p>
          <w:p>
            <w:pPr>
              <w:pStyle w:val="TableContents"/>
              <w:spacing w:before="0" w:after="283"/>
              <w:rPr>
                <w:rFonts w:ascii="times" w:hAnsi="times"/>
                <w:sz w:val="20"/>
              </w:rPr>
            </w:pPr>
            <w:r>
              <w:rPr>
                <w:rFonts w:ascii="times" w:hAnsi="times"/>
                <w:sz w:val="20"/>
              </w:rPr>
              <w:t>Leanne M. Baker</w:t>
            </w:r>
          </w:p>
        </w:tc>
        <w:tc>
          <w:tcPr>
            <w:tcW w:w="315" w:type="dxa"/>
            <w:tcBorders/>
            <w:shd w:fill="auto" w:val="clear"/>
          </w:tcPr>
          <w:p>
            <w:pPr>
              <w:pStyle w:val="TableContents"/>
              <w:spacing w:before="0" w:after="283"/>
              <w:rPr>
                <w:rFonts w:ascii="times" w:hAnsi="times"/>
                <w:sz w:val="20"/>
              </w:rPr>
            </w:pPr>
            <w:r>
              <w:rPr>
                <w:rFonts w:ascii="times" w:hAnsi="times"/>
                <w:sz w:val="20"/>
              </w:rPr>
              <w:br/>
              <w:t> </w:t>
            </w:r>
          </w:p>
        </w:tc>
        <w:tc>
          <w:tcPr>
            <w:tcW w:w="5552" w:type="dxa"/>
            <w:tcBorders/>
            <w:shd w:fill="auto" w:val="clear"/>
          </w:tcPr>
          <w:p>
            <w:pPr>
              <w:pStyle w:val="TableContents"/>
              <w:spacing w:before="0" w:after="283"/>
              <w:rPr>
                <w:rFonts w:ascii="times" w:hAnsi="times"/>
              </w:rPr>
            </w:pPr>
            <w:r>
              <w:rPr>
                <w:rFonts w:ascii="times" w:hAnsi="times"/>
              </w:rPr>
              <w:br/>
            </w:r>
            <w:r>
              <w:rPr>
                <w:rFonts w:ascii="times" w:hAnsi="times"/>
                <w:sz w:val="20"/>
              </w:rPr>
              <w:t>Director</w:t>
            </w:r>
          </w:p>
        </w:tc>
      </w:tr>
      <w:tr>
        <w:trPr/>
        <w:tc>
          <w:tcPr>
            <w:tcW w:w="4338" w:type="dxa"/>
            <w:tcBorders/>
            <w:shd w:fill="auto" w:val="clear"/>
          </w:tcPr>
          <w:p>
            <w:pPr>
              <w:pStyle w:val="TableContents"/>
              <w:spacing w:before="0" w:after="0"/>
              <w:rPr>
                <w:rFonts w:ascii="times" w:hAnsi="times"/>
              </w:rPr>
            </w:pPr>
            <w:r>
              <w:rPr>
                <w:rFonts w:ascii="times" w:hAnsi="times"/>
              </w:rPr>
              <w:br/>
            </w:r>
            <w:r>
              <w:rPr>
                <w:rFonts w:ascii="times" w:hAnsi="times"/>
                <w:sz w:val="20"/>
              </w:rPr>
              <w:t>/s/ DOUGLAS R. BEAUMONT</w:t>
            </w:r>
          </w:p>
          <w:p>
            <w:pPr>
              <w:pStyle w:val="HorizontalLine"/>
              <w:pBdr>
                <w:bottom w:val="single" w:sz="6" w:space="0" w:color="000000"/>
              </w:pBdr>
              <w:rPr/>
            </w:pPr>
            <w:r>
              <w:rPr/>
            </w:r>
          </w:p>
          <w:p>
            <w:pPr>
              <w:pStyle w:val="TableContents"/>
              <w:spacing w:before="0" w:after="283"/>
              <w:rPr>
                <w:rFonts w:ascii="times" w:hAnsi="times"/>
                <w:sz w:val="20"/>
              </w:rPr>
            </w:pPr>
            <w:r>
              <w:rPr>
                <w:rFonts w:ascii="times" w:hAnsi="times"/>
                <w:sz w:val="20"/>
              </w:rPr>
              <w:t>Douglas R. Beaumont</w:t>
            </w:r>
          </w:p>
        </w:tc>
        <w:tc>
          <w:tcPr>
            <w:tcW w:w="315" w:type="dxa"/>
            <w:tcBorders/>
            <w:shd w:fill="auto" w:val="clear"/>
          </w:tcPr>
          <w:p>
            <w:pPr>
              <w:pStyle w:val="TableContents"/>
              <w:spacing w:before="0" w:after="283"/>
              <w:rPr>
                <w:rFonts w:ascii="times" w:hAnsi="times"/>
                <w:sz w:val="20"/>
              </w:rPr>
            </w:pPr>
            <w:r>
              <w:rPr>
                <w:rFonts w:ascii="times" w:hAnsi="times"/>
                <w:sz w:val="20"/>
              </w:rPr>
              <w:br/>
              <w:t> </w:t>
            </w:r>
          </w:p>
        </w:tc>
        <w:tc>
          <w:tcPr>
            <w:tcW w:w="5552" w:type="dxa"/>
            <w:tcBorders/>
            <w:shd w:fill="auto" w:val="clear"/>
          </w:tcPr>
          <w:p>
            <w:pPr>
              <w:pStyle w:val="TableContents"/>
              <w:spacing w:before="0" w:after="283"/>
              <w:rPr>
                <w:rFonts w:ascii="times" w:hAnsi="times"/>
              </w:rPr>
            </w:pPr>
            <w:r>
              <w:rPr>
                <w:rFonts w:ascii="times" w:hAnsi="times"/>
              </w:rPr>
              <w:br/>
            </w:r>
            <w:r>
              <w:rPr>
                <w:rFonts w:ascii="times" w:hAnsi="times"/>
                <w:sz w:val="20"/>
              </w:rPr>
              <w:t>Director</w:t>
            </w:r>
          </w:p>
        </w:tc>
      </w:tr>
      <w:tr>
        <w:trPr/>
        <w:tc>
          <w:tcPr>
            <w:tcW w:w="4338" w:type="dxa"/>
            <w:tcBorders/>
            <w:shd w:fill="auto" w:val="clear"/>
          </w:tcPr>
          <w:p>
            <w:pPr>
              <w:pStyle w:val="TableContents"/>
              <w:spacing w:before="0" w:after="0"/>
              <w:rPr>
                <w:rFonts w:ascii="times" w:hAnsi="times"/>
              </w:rPr>
            </w:pPr>
            <w:r>
              <w:rPr>
                <w:rFonts w:ascii="times" w:hAnsi="times"/>
              </w:rPr>
              <w:br/>
            </w:r>
            <w:r>
              <w:rPr>
                <w:rFonts w:ascii="times" w:hAnsi="times"/>
                <w:sz w:val="20"/>
              </w:rPr>
              <w:t>/s/ BERNARD KRAFT</w:t>
            </w:r>
          </w:p>
          <w:p>
            <w:pPr>
              <w:pStyle w:val="HorizontalLine"/>
              <w:pBdr>
                <w:bottom w:val="single" w:sz="6" w:space="0" w:color="000000"/>
              </w:pBdr>
              <w:rPr/>
            </w:pPr>
            <w:r>
              <w:rPr/>
            </w:r>
          </w:p>
          <w:p>
            <w:pPr>
              <w:pStyle w:val="TableContents"/>
              <w:spacing w:before="0" w:after="283"/>
              <w:rPr>
                <w:rFonts w:ascii="times" w:hAnsi="times"/>
                <w:sz w:val="20"/>
              </w:rPr>
            </w:pPr>
            <w:r>
              <w:rPr>
                <w:rFonts w:ascii="times" w:hAnsi="times"/>
                <w:sz w:val="20"/>
              </w:rPr>
              <w:t>Bernard Kraft</w:t>
            </w:r>
          </w:p>
        </w:tc>
        <w:tc>
          <w:tcPr>
            <w:tcW w:w="315" w:type="dxa"/>
            <w:tcBorders/>
            <w:shd w:fill="auto" w:val="clear"/>
          </w:tcPr>
          <w:p>
            <w:pPr>
              <w:pStyle w:val="TableContents"/>
              <w:spacing w:before="0" w:after="283"/>
              <w:rPr>
                <w:rFonts w:ascii="times" w:hAnsi="times"/>
                <w:sz w:val="20"/>
              </w:rPr>
            </w:pPr>
            <w:r>
              <w:rPr>
                <w:rFonts w:ascii="times" w:hAnsi="times"/>
                <w:sz w:val="20"/>
              </w:rPr>
              <w:br/>
              <w:t> </w:t>
            </w:r>
          </w:p>
        </w:tc>
        <w:tc>
          <w:tcPr>
            <w:tcW w:w="5552" w:type="dxa"/>
            <w:tcBorders/>
            <w:shd w:fill="auto" w:val="clear"/>
          </w:tcPr>
          <w:p>
            <w:pPr>
              <w:pStyle w:val="TableContents"/>
              <w:spacing w:before="0" w:after="283"/>
              <w:rPr>
                <w:rFonts w:ascii="times" w:hAnsi="times"/>
              </w:rPr>
            </w:pPr>
            <w:r>
              <w:rPr>
                <w:rFonts w:ascii="times" w:hAnsi="times"/>
              </w:rPr>
              <w:br/>
            </w:r>
            <w:r>
              <w:rPr>
                <w:rFonts w:ascii="times" w:hAnsi="times"/>
                <w:sz w:val="20"/>
              </w:rPr>
              <w:t>Director</w:t>
            </w:r>
          </w:p>
        </w:tc>
      </w:tr>
      <w:tr>
        <w:trPr/>
        <w:tc>
          <w:tcPr>
            <w:tcW w:w="4338" w:type="dxa"/>
            <w:tcBorders/>
            <w:shd w:fill="auto" w:val="clear"/>
          </w:tcPr>
          <w:p>
            <w:pPr>
              <w:pStyle w:val="TableContents"/>
              <w:spacing w:before="0" w:after="0"/>
              <w:rPr>
                <w:rFonts w:ascii="times" w:hAnsi="times"/>
              </w:rPr>
            </w:pPr>
            <w:r>
              <w:rPr>
                <w:rFonts w:ascii="times" w:hAnsi="times"/>
              </w:rPr>
              <w:br/>
            </w:r>
            <w:r>
              <w:rPr>
                <w:rFonts w:ascii="times" w:hAnsi="times"/>
                <w:sz w:val="20"/>
              </w:rPr>
              <w:t>/s/ MEL LEIDERMAN</w:t>
            </w:r>
          </w:p>
          <w:p>
            <w:pPr>
              <w:pStyle w:val="HorizontalLine"/>
              <w:pBdr>
                <w:bottom w:val="single" w:sz="6" w:space="0" w:color="000000"/>
              </w:pBdr>
              <w:rPr/>
            </w:pPr>
            <w:r>
              <w:rPr/>
            </w:r>
          </w:p>
          <w:p>
            <w:pPr>
              <w:pStyle w:val="TableContents"/>
              <w:spacing w:before="0" w:after="283"/>
              <w:rPr>
                <w:rFonts w:ascii="times" w:hAnsi="times"/>
                <w:sz w:val="20"/>
              </w:rPr>
            </w:pPr>
            <w:r>
              <w:rPr>
                <w:rFonts w:ascii="times" w:hAnsi="times"/>
                <w:sz w:val="20"/>
              </w:rPr>
              <w:t>Mel Leiderman</w:t>
            </w:r>
          </w:p>
        </w:tc>
        <w:tc>
          <w:tcPr>
            <w:tcW w:w="315" w:type="dxa"/>
            <w:tcBorders/>
            <w:shd w:fill="auto" w:val="clear"/>
          </w:tcPr>
          <w:p>
            <w:pPr>
              <w:pStyle w:val="TableContents"/>
              <w:spacing w:before="0" w:after="283"/>
              <w:rPr>
                <w:rFonts w:ascii="times" w:hAnsi="times"/>
                <w:sz w:val="20"/>
              </w:rPr>
            </w:pPr>
            <w:r>
              <w:rPr>
                <w:rFonts w:ascii="times" w:hAnsi="times"/>
                <w:sz w:val="20"/>
              </w:rPr>
              <w:br/>
              <w:t> </w:t>
            </w:r>
          </w:p>
        </w:tc>
        <w:tc>
          <w:tcPr>
            <w:tcW w:w="5552" w:type="dxa"/>
            <w:tcBorders/>
            <w:shd w:fill="auto" w:val="clear"/>
          </w:tcPr>
          <w:p>
            <w:pPr>
              <w:pStyle w:val="TableContents"/>
              <w:spacing w:before="0" w:after="283"/>
              <w:rPr>
                <w:rFonts w:ascii="times" w:hAnsi="times"/>
              </w:rPr>
            </w:pPr>
            <w:r>
              <w:rPr>
                <w:rFonts w:ascii="times" w:hAnsi="times"/>
              </w:rPr>
              <w:br/>
            </w:r>
            <w:r>
              <w:rPr>
                <w:rFonts w:ascii="times" w:hAnsi="times"/>
                <w:sz w:val="20"/>
              </w:rPr>
              <w:t>Director</w:t>
            </w:r>
          </w:p>
        </w:tc>
      </w:tr>
      <w:tr>
        <w:trPr/>
        <w:tc>
          <w:tcPr>
            <w:tcW w:w="4338" w:type="dxa"/>
            <w:tcBorders/>
            <w:shd w:fill="auto" w:val="clear"/>
          </w:tcPr>
          <w:p>
            <w:pPr>
              <w:pStyle w:val="TableContents"/>
              <w:spacing w:before="0" w:after="0"/>
              <w:rPr>
                <w:rFonts w:ascii="times" w:hAnsi="times"/>
              </w:rPr>
            </w:pPr>
            <w:r>
              <w:rPr>
                <w:rFonts w:ascii="times" w:hAnsi="times"/>
              </w:rPr>
              <w:br/>
            </w:r>
            <w:r>
              <w:rPr>
                <w:rFonts w:ascii="times" w:hAnsi="times"/>
                <w:sz w:val="20"/>
              </w:rPr>
              <w:t>/s/ HOWARD R. STOCKFORD</w:t>
            </w:r>
          </w:p>
          <w:p>
            <w:pPr>
              <w:pStyle w:val="HorizontalLine"/>
              <w:pBdr>
                <w:bottom w:val="single" w:sz="6" w:space="0" w:color="000000"/>
              </w:pBdr>
              <w:rPr/>
            </w:pPr>
            <w:r>
              <w:rPr/>
            </w:r>
          </w:p>
          <w:p>
            <w:pPr>
              <w:pStyle w:val="TableContents"/>
              <w:spacing w:before="0" w:after="283"/>
              <w:rPr>
                <w:rFonts w:ascii="times" w:hAnsi="times"/>
                <w:sz w:val="20"/>
              </w:rPr>
            </w:pPr>
            <w:r>
              <w:rPr>
                <w:rFonts w:ascii="times" w:hAnsi="times"/>
                <w:sz w:val="20"/>
              </w:rPr>
              <w:t>Howard R. Stockford</w:t>
            </w:r>
          </w:p>
        </w:tc>
        <w:tc>
          <w:tcPr>
            <w:tcW w:w="315" w:type="dxa"/>
            <w:tcBorders/>
            <w:shd w:fill="auto" w:val="clear"/>
          </w:tcPr>
          <w:p>
            <w:pPr>
              <w:pStyle w:val="TableContents"/>
              <w:spacing w:before="0" w:after="283"/>
              <w:rPr>
                <w:rFonts w:ascii="times" w:hAnsi="times"/>
                <w:sz w:val="20"/>
              </w:rPr>
            </w:pPr>
            <w:r>
              <w:rPr>
                <w:rFonts w:ascii="times" w:hAnsi="times"/>
                <w:sz w:val="20"/>
              </w:rPr>
              <w:br/>
              <w:t> </w:t>
            </w:r>
          </w:p>
        </w:tc>
        <w:tc>
          <w:tcPr>
            <w:tcW w:w="5552" w:type="dxa"/>
            <w:tcBorders/>
            <w:shd w:fill="auto" w:val="clear"/>
          </w:tcPr>
          <w:p>
            <w:pPr>
              <w:pStyle w:val="TableContents"/>
              <w:spacing w:before="0" w:after="283"/>
              <w:rPr>
                <w:rFonts w:ascii="times" w:hAnsi="times"/>
              </w:rPr>
            </w:pPr>
            <w:r>
              <w:rPr>
                <w:rFonts w:ascii="times" w:hAnsi="times"/>
              </w:rPr>
              <w:br/>
            </w:r>
            <w:r>
              <w:rPr>
                <w:rFonts w:ascii="times" w:hAnsi="times"/>
                <w:sz w:val="20"/>
              </w:rPr>
              <w:t>Director</w:t>
            </w:r>
          </w:p>
        </w:tc>
      </w:tr>
      <w:tr>
        <w:trPr/>
        <w:tc>
          <w:tcPr>
            <w:tcW w:w="4338" w:type="dxa"/>
            <w:tcBorders/>
            <w:shd w:fill="auto" w:val="clear"/>
          </w:tcPr>
          <w:p>
            <w:pPr>
              <w:pStyle w:val="TableContents"/>
              <w:spacing w:before="0" w:after="0"/>
              <w:rPr>
                <w:rFonts w:ascii="times" w:hAnsi="times"/>
              </w:rPr>
            </w:pPr>
            <w:r>
              <w:rPr>
                <w:rFonts w:ascii="times" w:hAnsi="times"/>
              </w:rPr>
              <w:br/>
            </w:r>
            <w:r>
              <w:rPr>
                <w:rFonts w:ascii="times" w:hAnsi="times"/>
                <w:sz w:val="20"/>
              </w:rPr>
              <w:t>/s/ PERTTI VOUTILAINEN</w:t>
            </w:r>
          </w:p>
          <w:p>
            <w:pPr>
              <w:pStyle w:val="HorizontalLine"/>
              <w:pBdr>
                <w:bottom w:val="single" w:sz="6" w:space="0" w:color="000000"/>
              </w:pBdr>
              <w:rPr/>
            </w:pPr>
            <w:r>
              <w:rPr/>
            </w:r>
          </w:p>
          <w:p>
            <w:pPr>
              <w:pStyle w:val="TableContents"/>
              <w:spacing w:before="0" w:after="283"/>
              <w:rPr>
                <w:rFonts w:ascii="times" w:hAnsi="times"/>
                <w:sz w:val="20"/>
              </w:rPr>
            </w:pPr>
            <w:r>
              <w:rPr>
                <w:rFonts w:ascii="times" w:hAnsi="times"/>
                <w:sz w:val="20"/>
              </w:rPr>
              <w:t>Pertti Voutilainen</w:t>
            </w:r>
          </w:p>
        </w:tc>
        <w:tc>
          <w:tcPr>
            <w:tcW w:w="315" w:type="dxa"/>
            <w:tcBorders/>
            <w:shd w:fill="auto" w:val="clear"/>
          </w:tcPr>
          <w:p>
            <w:pPr>
              <w:pStyle w:val="TableContents"/>
              <w:spacing w:before="0" w:after="283"/>
              <w:rPr>
                <w:rFonts w:ascii="times" w:hAnsi="times"/>
                <w:sz w:val="20"/>
              </w:rPr>
            </w:pPr>
            <w:r>
              <w:rPr>
                <w:rFonts w:ascii="times" w:hAnsi="times"/>
                <w:sz w:val="20"/>
              </w:rPr>
              <w:br/>
              <w:t> </w:t>
            </w:r>
          </w:p>
        </w:tc>
        <w:tc>
          <w:tcPr>
            <w:tcW w:w="5552" w:type="dxa"/>
            <w:tcBorders/>
            <w:shd w:fill="auto" w:val="clear"/>
          </w:tcPr>
          <w:p>
            <w:pPr>
              <w:pStyle w:val="TableContents"/>
              <w:spacing w:before="0" w:after="283"/>
              <w:rPr>
                <w:rFonts w:ascii="times" w:hAnsi="times"/>
              </w:rPr>
            </w:pPr>
            <w:r>
              <w:rPr>
                <w:rFonts w:ascii="times" w:hAnsi="times"/>
              </w:rPr>
              <w:br/>
            </w:r>
            <w:r>
              <w:rPr>
                <w:rFonts w:ascii="times" w:hAnsi="times"/>
                <w:sz w:val="20"/>
              </w:rPr>
              <w:t>Director</w:t>
            </w:r>
          </w:p>
        </w:tc>
      </w:tr>
      <w:tr>
        <w:trPr/>
        <w:tc>
          <w:tcPr>
            <w:tcW w:w="4338" w:type="dxa"/>
            <w:tcBorders/>
            <w:shd w:fill="auto" w:val="clear"/>
          </w:tcPr>
          <w:p>
            <w:pPr>
              <w:pStyle w:val="TableContents"/>
              <w:spacing w:before="0" w:after="0"/>
              <w:rPr>
                <w:rFonts w:ascii="times" w:hAnsi="times"/>
              </w:rPr>
            </w:pPr>
            <w:r>
              <w:rPr>
                <w:rFonts w:ascii="times" w:hAnsi="times"/>
              </w:rPr>
              <w:br/>
            </w:r>
            <w:r>
              <w:rPr>
                <w:rFonts w:ascii="times" w:hAnsi="times"/>
                <w:sz w:val="20"/>
              </w:rPr>
              <w:t>/s/ J. MERFYN ROBERTS</w:t>
            </w:r>
          </w:p>
          <w:p>
            <w:pPr>
              <w:pStyle w:val="HorizontalLine"/>
              <w:pBdr>
                <w:bottom w:val="single" w:sz="6" w:space="0" w:color="000000"/>
              </w:pBdr>
              <w:rPr/>
            </w:pPr>
            <w:r>
              <w:rPr/>
            </w:r>
          </w:p>
          <w:p>
            <w:pPr>
              <w:pStyle w:val="TableContents"/>
              <w:spacing w:before="0" w:after="283"/>
              <w:rPr>
                <w:rFonts w:ascii="times" w:hAnsi="times"/>
                <w:sz w:val="20"/>
              </w:rPr>
            </w:pPr>
            <w:r>
              <w:rPr>
                <w:rFonts w:ascii="times" w:hAnsi="times"/>
                <w:sz w:val="20"/>
              </w:rPr>
              <w:t>J. Merfyn Roberts</w:t>
            </w:r>
          </w:p>
        </w:tc>
        <w:tc>
          <w:tcPr>
            <w:tcW w:w="315" w:type="dxa"/>
            <w:tcBorders/>
            <w:shd w:fill="auto" w:val="clear"/>
          </w:tcPr>
          <w:p>
            <w:pPr>
              <w:pStyle w:val="TableContents"/>
              <w:spacing w:before="0" w:after="283"/>
              <w:rPr>
                <w:rFonts w:ascii="times" w:hAnsi="times"/>
                <w:sz w:val="20"/>
              </w:rPr>
            </w:pPr>
            <w:r>
              <w:rPr>
                <w:rFonts w:ascii="times" w:hAnsi="times"/>
                <w:sz w:val="20"/>
              </w:rPr>
              <w:br/>
              <w:t> </w:t>
            </w:r>
          </w:p>
        </w:tc>
        <w:tc>
          <w:tcPr>
            <w:tcW w:w="5552" w:type="dxa"/>
            <w:tcBorders/>
            <w:shd w:fill="auto" w:val="clear"/>
          </w:tcPr>
          <w:p>
            <w:pPr>
              <w:pStyle w:val="TableContents"/>
              <w:spacing w:before="0" w:after="283"/>
              <w:rPr>
                <w:rFonts w:ascii="times" w:hAnsi="times"/>
              </w:rPr>
            </w:pPr>
            <w:r>
              <w:rPr>
                <w:rFonts w:ascii="times" w:hAnsi="times"/>
              </w:rPr>
              <w:br/>
            </w:r>
            <w:r>
              <w:rPr>
                <w:rFonts w:ascii="times" w:hAnsi="times"/>
                <w:sz w:val="20"/>
              </w:rPr>
              <w:t>Director</w:t>
            </w:r>
          </w:p>
        </w:tc>
      </w:tr>
      <w:tr>
        <w:trPr/>
        <w:tc>
          <w:tcPr>
            <w:tcW w:w="4338" w:type="dxa"/>
            <w:tcBorders/>
            <w:shd w:fill="auto" w:val="clear"/>
          </w:tcPr>
          <w:p>
            <w:pPr>
              <w:pStyle w:val="TableContents"/>
              <w:spacing w:before="0" w:after="0"/>
              <w:rPr>
                <w:rFonts w:ascii="times" w:hAnsi="times"/>
              </w:rPr>
            </w:pPr>
            <w:r>
              <w:rPr>
                <w:rFonts w:ascii="times" w:hAnsi="times"/>
              </w:rPr>
              <w:br/>
            </w:r>
            <w:r>
              <w:rPr>
                <w:rFonts w:ascii="times" w:hAnsi="times"/>
                <w:sz w:val="20"/>
              </w:rPr>
              <w:t>/s/ MARTINE A. CELEJ</w:t>
            </w:r>
          </w:p>
          <w:p>
            <w:pPr>
              <w:pStyle w:val="HorizontalLine"/>
              <w:pBdr>
                <w:bottom w:val="single" w:sz="6" w:space="0" w:color="000000"/>
              </w:pBdr>
              <w:rPr/>
            </w:pPr>
            <w:r>
              <w:rPr/>
            </w:r>
          </w:p>
          <w:p>
            <w:pPr>
              <w:pStyle w:val="TableContents"/>
              <w:spacing w:before="0" w:after="283"/>
              <w:rPr>
                <w:rFonts w:ascii="times" w:hAnsi="times"/>
                <w:sz w:val="20"/>
              </w:rPr>
            </w:pPr>
            <w:r>
              <w:rPr>
                <w:rFonts w:ascii="times" w:hAnsi="times"/>
                <w:sz w:val="20"/>
              </w:rPr>
              <w:t>Martine A. Celej</w:t>
            </w:r>
          </w:p>
        </w:tc>
        <w:tc>
          <w:tcPr>
            <w:tcW w:w="315" w:type="dxa"/>
            <w:tcBorders/>
            <w:shd w:fill="auto" w:val="clear"/>
          </w:tcPr>
          <w:p>
            <w:pPr>
              <w:pStyle w:val="TableContents"/>
              <w:spacing w:before="0" w:after="283"/>
              <w:rPr>
                <w:rFonts w:ascii="times" w:hAnsi="times"/>
                <w:sz w:val="20"/>
              </w:rPr>
            </w:pPr>
            <w:r>
              <w:rPr>
                <w:rFonts w:ascii="times" w:hAnsi="times"/>
                <w:sz w:val="20"/>
              </w:rPr>
              <w:br/>
              <w:t> </w:t>
            </w:r>
          </w:p>
        </w:tc>
        <w:tc>
          <w:tcPr>
            <w:tcW w:w="5552" w:type="dxa"/>
            <w:tcBorders/>
            <w:shd w:fill="auto" w:val="clear"/>
          </w:tcPr>
          <w:p>
            <w:pPr>
              <w:pStyle w:val="TableContents"/>
              <w:spacing w:before="0" w:after="283"/>
              <w:rPr>
                <w:rFonts w:ascii="times" w:hAnsi="times"/>
              </w:rPr>
            </w:pPr>
            <w:r>
              <w:rPr>
                <w:rFonts w:ascii="times" w:hAnsi="times"/>
              </w:rPr>
              <w:br/>
            </w:r>
            <w:r>
              <w:rPr>
                <w:rFonts w:ascii="times" w:hAnsi="times"/>
                <w:sz w:val="20"/>
              </w:rPr>
              <w:t>Director</w:t>
            </w:r>
          </w:p>
        </w:tc>
      </w:tr>
      <w:tr>
        <w:trPr/>
        <w:tc>
          <w:tcPr>
            <w:tcW w:w="4338" w:type="dxa"/>
            <w:tcBorders/>
            <w:shd w:fill="auto" w:val="clear"/>
          </w:tcPr>
          <w:p>
            <w:pPr>
              <w:pStyle w:val="TableContents"/>
              <w:spacing w:before="0" w:after="0"/>
              <w:rPr>
                <w:rFonts w:ascii="times" w:hAnsi="times"/>
              </w:rPr>
            </w:pPr>
            <w:r>
              <w:rPr>
                <w:rFonts w:ascii="times" w:hAnsi="times"/>
              </w:rPr>
              <w:br/>
            </w:r>
            <w:r>
              <w:rPr>
                <w:rFonts w:ascii="times" w:hAnsi="times"/>
                <w:sz w:val="20"/>
              </w:rPr>
              <w:t>/s/ ROBERT J. GEMMELL</w:t>
            </w:r>
          </w:p>
          <w:p>
            <w:pPr>
              <w:pStyle w:val="HorizontalLine"/>
              <w:pBdr>
                <w:bottom w:val="single" w:sz="6" w:space="0" w:color="000000"/>
              </w:pBdr>
              <w:rPr/>
            </w:pPr>
            <w:r>
              <w:rPr/>
            </w:r>
          </w:p>
          <w:p>
            <w:pPr>
              <w:pStyle w:val="TableContents"/>
              <w:spacing w:before="0" w:after="283"/>
              <w:rPr>
                <w:rFonts w:ascii="times" w:hAnsi="times"/>
                <w:sz w:val="20"/>
              </w:rPr>
            </w:pPr>
            <w:r>
              <w:rPr>
                <w:rFonts w:ascii="times" w:hAnsi="times"/>
                <w:sz w:val="20"/>
              </w:rPr>
              <w:t>Robert J. Gemmell</w:t>
            </w:r>
          </w:p>
        </w:tc>
        <w:tc>
          <w:tcPr>
            <w:tcW w:w="315" w:type="dxa"/>
            <w:tcBorders/>
            <w:shd w:fill="auto" w:val="clear"/>
          </w:tcPr>
          <w:p>
            <w:pPr>
              <w:pStyle w:val="TableContents"/>
              <w:spacing w:before="0" w:after="283"/>
              <w:rPr>
                <w:rFonts w:ascii="times" w:hAnsi="times"/>
                <w:sz w:val="20"/>
              </w:rPr>
            </w:pPr>
            <w:r>
              <w:rPr>
                <w:rFonts w:ascii="times" w:hAnsi="times"/>
                <w:sz w:val="20"/>
              </w:rPr>
              <w:br/>
              <w:t> </w:t>
            </w:r>
          </w:p>
        </w:tc>
        <w:tc>
          <w:tcPr>
            <w:tcW w:w="5552" w:type="dxa"/>
            <w:tcBorders/>
            <w:shd w:fill="auto" w:val="clear"/>
          </w:tcPr>
          <w:p>
            <w:pPr>
              <w:pStyle w:val="TableContents"/>
              <w:spacing w:before="0" w:after="283"/>
              <w:rPr>
                <w:rFonts w:ascii="times" w:hAnsi="times"/>
              </w:rPr>
            </w:pPr>
            <w:r>
              <w:rPr>
                <w:rFonts w:ascii="times" w:hAnsi="times"/>
              </w:rPr>
              <w:br/>
            </w:r>
            <w:r>
              <w:rPr>
                <w:rFonts w:ascii="times" w:hAnsi="times"/>
                <w:sz w:val="20"/>
              </w:rPr>
              <w:t>Director</w:t>
            </w:r>
          </w:p>
        </w:tc>
      </w:tr>
      <w:tr>
        <w:trPr/>
        <w:tc>
          <w:tcPr>
            <w:tcW w:w="4338" w:type="dxa"/>
            <w:tcBorders/>
            <w:shd w:fill="auto" w:val="clear"/>
          </w:tcPr>
          <w:p>
            <w:pPr>
              <w:pStyle w:val="TableContents"/>
              <w:spacing w:before="0" w:after="0"/>
              <w:rPr>
                <w:rFonts w:ascii="times" w:hAnsi="times"/>
              </w:rPr>
            </w:pPr>
            <w:r>
              <w:rPr>
                <w:rFonts w:ascii="times" w:hAnsi="times"/>
              </w:rPr>
              <w:br/>
            </w:r>
            <w:r>
              <w:rPr>
                <w:rFonts w:ascii="times" w:hAnsi="times"/>
                <w:sz w:val="20"/>
              </w:rPr>
              <w:t>/s/ SEAN RILEY</w:t>
            </w:r>
          </w:p>
          <w:p>
            <w:pPr>
              <w:pStyle w:val="HorizontalLine"/>
              <w:pBdr>
                <w:bottom w:val="single" w:sz="6" w:space="0" w:color="000000"/>
              </w:pBdr>
              <w:rPr/>
            </w:pPr>
            <w:r>
              <w:rPr/>
            </w:r>
          </w:p>
          <w:p>
            <w:pPr>
              <w:pStyle w:val="TableContents"/>
              <w:spacing w:before="0" w:after="283"/>
              <w:rPr>
                <w:rFonts w:ascii="times" w:hAnsi="times"/>
                <w:sz w:val="20"/>
              </w:rPr>
            </w:pPr>
            <w:r>
              <w:rPr>
                <w:rFonts w:ascii="times" w:hAnsi="times"/>
                <w:sz w:val="20"/>
              </w:rPr>
              <w:t>Sean Riley</w:t>
            </w:r>
          </w:p>
        </w:tc>
        <w:tc>
          <w:tcPr>
            <w:tcW w:w="315" w:type="dxa"/>
            <w:tcBorders/>
            <w:shd w:fill="auto" w:val="clear"/>
          </w:tcPr>
          <w:p>
            <w:pPr>
              <w:pStyle w:val="TableContents"/>
              <w:spacing w:before="0" w:after="283"/>
              <w:rPr>
                <w:rFonts w:ascii="times" w:hAnsi="times"/>
                <w:sz w:val="20"/>
              </w:rPr>
            </w:pPr>
            <w:r>
              <w:rPr>
                <w:rFonts w:ascii="times" w:hAnsi="times"/>
                <w:sz w:val="20"/>
              </w:rPr>
              <w:br/>
              <w:t> </w:t>
            </w:r>
          </w:p>
        </w:tc>
        <w:tc>
          <w:tcPr>
            <w:tcW w:w="5552" w:type="dxa"/>
            <w:tcBorders/>
            <w:shd w:fill="auto" w:val="clear"/>
          </w:tcPr>
          <w:p>
            <w:pPr>
              <w:pStyle w:val="TableContents"/>
              <w:spacing w:before="0" w:after="283"/>
              <w:rPr>
                <w:rFonts w:ascii="times" w:hAnsi="times"/>
              </w:rPr>
            </w:pPr>
            <w:r>
              <w:rPr>
                <w:rFonts w:ascii="times" w:hAnsi="times"/>
              </w:rPr>
              <w:br/>
            </w:r>
            <w:r>
              <w:rPr>
                <w:rFonts w:ascii="times" w:hAnsi="times"/>
                <w:sz w:val="20"/>
              </w:rPr>
              <w:t>Director</w:t>
            </w:r>
          </w:p>
        </w:tc>
      </w:tr>
      <w:tr>
        <w:trPr/>
        <w:tc>
          <w:tcPr>
            <w:tcW w:w="4338" w:type="dxa"/>
            <w:tcBorders/>
            <w:shd w:fill="auto" w:val="clear"/>
          </w:tcPr>
          <w:p>
            <w:pPr>
              <w:pStyle w:val="TableContents"/>
              <w:spacing w:before="0" w:after="0"/>
              <w:rPr>
                <w:rFonts w:ascii="times" w:hAnsi="times"/>
              </w:rPr>
            </w:pPr>
            <w:r>
              <w:rPr>
                <w:rFonts w:ascii="times" w:hAnsi="times"/>
              </w:rPr>
              <w:br/>
            </w:r>
            <w:r>
              <w:rPr>
                <w:rFonts w:ascii="times" w:hAnsi="times"/>
                <w:sz w:val="20"/>
              </w:rPr>
              <w:t>/s/ CLIFFORD J. DAVIS</w:t>
            </w:r>
          </w:p>
          <w:p>
            <w:pPr>
              <w:pStyle w:val="HorizontalLine"/>
              <w:pBdr>
                <w:bottom w:val="single" w:sz="6" w:space="0" w:color="000000"/>
              </w:pBdr>
              <w:rPr/>
            </w:pPr>
            <w:r>
              <w:rPr/>
            </w:r>
          </w:p>
          <w:p>
            <w:pPr>
              <w:pStyle w:val="TableContents"/>
              <w:spacing w:before="0" w:after="283"/>
              <w:rPr>
                <w:rFonts w:ascii="times" w:hAnsi="times"/>
                <w:sz w:val="20"/>
              </w:rPr>
            </w:pPr>
            <w:r>
              <w:rPr>
                <w:rFonts w:ascii="times" w:hAnsi="times"/>
                <w:sz w:val="20"/>
              </w:rPr>
              <w:t>Clifford J. Davis</w:t>
            </w:r>
          </w:p>
        </w:tc>
        <w:tc>
          <w:tcPr>
            <w:tcW w:w="315" w:type="dxa"/>
            <w:tcBorders/>
            <w:shd w:fill="auto" w:val="clear"/>
          </w:tcPr>
          <w:p>
            <w:pPr>
              <w:pStyle w:val="TableContents"/>
              <w:spacing w:before="0" w:after="283"/>
              <w:rPr>
                <w:rFonts w:ascii="times" w:hAnsi="times"/>
                <w:sz w:val="20"/>
              </w:rPr>
            </w:pPr>
            <w:r>
              <w:rPr>
                <w:rFonts w:ascii="times" w:hAnsi="times"/>
                <w:sz w:val="20"/>
              </w:rPr>
              <w:br/>
              <w:t> </w:t>
            </w:r>
          </w:p>
        </w:tc>
        <w:tc>
          <w:tcPr>
            <w:tcW w:w="5552" w:type="dxa"/>
            <w:tcBorders/>
            <w:shd w:fill="auto" w:val="clear"/>
          </w:tcPr>
          <w:p>
            <w:pPr>
              <w:pStyle w:val="TableContents"/>
              <w:spacing w:before="0" w:after="283"/>
              <w:rPr>
                <w:rFonts w:ascii="times" w:hAnsi="times"/>
              </w:rPr>
            </w:pPr>
            <w:r>
              <w:rPr>
                <w:rFonts w:ascii="times" w:hAnsi="times"/>
              </w:rPr>
              <w:br/>
            </w:r>
            <w:r>
              <w:rPr>
                <w:rFonts w:ascii="times" w:hAnsi="times"/>
                <w:sz w:val="20"/>
              </w:rPr>
              <w:t>Director</w:t>
            </w:r>
          </w:p>
        </w:tc>
      </w:tr>
    </w:tbl>
    <w:p>
      <w:pPr>
        <w:pStyle w:val="HorizontalLine"/>
        <w:pBdr>
          <w:bottom w:val="single" w:sz="20" w:space="0" w:color="808080"/>
        </w:pBdr>
        <w:rPr/>
      </w:pPr>
      <w:r>
        <w:rPr/>
      </w:r>
      <w:r>
        <w:br w:type="page"/>
      </w:r>
    </w:p>
    <w:p>
      <w:pPr>
        <w:pStyle w:val="TextBody"/>
        <w:jc w:val="center"/>
        <w:rPr>
          <w:rFonts w:ascii="times" w:hAnsi="times"/>
        </w:rPr>
      </w:pPr>
      <w:bookmarkStart w:id="106" w:name="toc_je48001_1"/>
      <w:bookmarkStart w:id="107" w:name="je48001_authorized_representative"/>
      <w:bookmarkEnd w:id="106"/>
      <w:bookmarkEnd w:id="107"/>
      <w:r>
        <w:rPr>
          <w:rFonts w:ascii="times" w:hAnsi="times"/>
          <w:sz w:val="20"/>
        </w:rPr>
        <w:br/>
      </w:r>
      <w:r>
        <w:rPr>
          <w:rFonts w:ascii="times" w:hAnsi="times"/>
          <w:b/>
          <w:sz w:val="20"/>
        </w:rPr>
        <w:t xml:space="preserve">AUTHORIZED REPRESENTATIVE </w:t>
      </w:r>
    </w:p>
    <w:p>
      <w:pPr>
        <w:pStyle w:val="TextBody"/>
        <w:rPr/>
      </w:pPr>
      <w:r>
        <w:rPr/>
        <w:t>        </w:t>
      </w:r>
      <w:r>
        <w:rPr>
          <w:rFonts w:ascii="times" w:hAnsi="times"/>
          <w:sz w:val="20"/>
        </w:rPr>
        <w:t xml:space="preserve">Pursuant to the requirements of Section 6(a) of the Securities Act of 1933, the undersigned has signed this Registration Statement, solely in the capacity of the duly authorized representative of Agnico Eagle Mines Limited in the United States, on this 28th day of June, 2013. </w:t>
      </w:r>
    </w:p>
    <w:tbl>
      <w:tblPr>
        <w:tblW w:w="5000" w:type="pct"/>
        <w:jc w:val="center"/>
        <w:tblInd w:w="0" w:type="dxa"/>
        <w:tblCellMar>
          <w:top w:w="0" w:type="dxa"/>
          <w:left w:w="0" w:type="dxa"/>
          <w:bottom w:w="0" w:type="dxa"/>
          <w:right w:w="0" w:type="dxa"/>
        </w:tblCellMar>
      </w:tblPr>
      <w:tblGrid>
        <w:gridCol w:w="6458"/>
        <w:gridCol w:w="251"/>
        <w:gridCol w:w="1163"/>
        <w:gridCol w:w="1163"/>
        <w:gridCol w:w="1170"/>
      </w:tblGrid>
      <w:tr>
        <w:trPr/>
        <w:tc>
          <w:tcPr>
            <w:tcW w:w="6458" w:type="dxa"/>
            <w:tcBorders/>
            <w:shd w:fill="auto" w:val="clear"/>
            <w:vAlign w:val="center"/>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c>
          <w:tcPr>
            <w:tcW w:w="1163" w:type="dxa"/>
            <w:tcBorders/>
            <w:shd w:fill="auto" w:val="clear"/>
            <w:vAlign w:val="center"/>
          </w:tcPr>
          <w:p>
            <w:pPr>
              <w:pStyle w:val="TableContents"/>
              <w:spacing w:before="0" w:after="283"/>
              <w:rPr>
                <w:sz w:val="4"/>
                <w:szCs w:val="4"/>
              </w:rPr>
            </w:pPr>
            <w:r>
              <w:rPr>
                <w:sz w:val="4"/>
                <w:szCs w:val="4"/>
              </w:rPr>
            </w:r>
          </w:p>
        </w:tc>
        <w:tc>
          <w:tcPr>
            <w:tcW w:w="1163" w:type="dxa"/>
            <w:tcBorders/>
            <w:shd w:fill="auto" w:val="clear"/>
            <w:vAlign w:val="center"/>
          </w:tcPr>
          <w:p>
            <w:pPr>
              <w:pStyle w:val="TableContents"/>
              <w:spacing w:before="0" w:after="283"/>
              <w:rPr>
                <w:sz w:val="4"/>
                <w:szCs w:val="4"/>
              </w:rPr>
            </w:pPr>
            <w:r>
              <w:rPr>
                <w:sz w:val="4"/>
                <w:szCs w:val="4"/>
              </w:rPr>
            </w:r>
          </w:p>
        </w:tc>
        <w:tc>
          <w:tcPr>
            <w:tcW w:w="1170" w:type="dxa"/>
            <w:tcBorders/>
            <w:shd w:fill="auto" w:val="clear"/>
            <w:vAlign w:val="center"/>
          </w:tcPr>
          <w:p>
            <w:pPr>
              <w:pStyle w:val="TableContents"/>
              <w:spacing w:before="0" w:after="283"/>
              <w:rPr>
                <w:sz w:val="4"/>
                <w:szCs w:val="4"/>
              </w:rPr>
            </w:pPr>
            <w:r>
              <w:rPr>
                <w:sz w:val="4"/>
                <w:szCs w:val="4"/>
              </w:rPr>
            </w:r>
          </w:p>
        </w:tc>
      </w:tr>
      <w:tr>
        <w:trPr/>
        <w:tc>
          <w:tcPr>
            <w:tcW w:w="6458"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3496" w:type="dxa"/>
            <w:gridSpan w:val="3"/>
            <w:tcBorders/>
            <w:shd w:fill="auto" w:val="clear"/>
          </w:tcPr>
          <w:p>
            <w:pPr>
              <w:pStyle w:val="TableContents"/>
              <w:spacing w:before="0" w:after="0"/>
              <w:rPr>
                <w:rFonts w:ascii="times" w:hAnsi="times"/>
              </w:rPr>
            </w:pPr>
            <w:r>
              <w:rPr>
                <w:rFonts w:ascii="times" w:hAnsi="times"/>
              </w:rPr>
              <w:t>/s/ LEANNE M. BAKER</w:t>
            </w:r>
          </w:p>
          <w:p>
            <w:pPr>
              <w:pStyle w:val="HorizontalLine"/>
              <w:pBdr>
                <w:bottom w:val="single" w:sz="6" w:space="0" w:color="000000"/>
              </w:pBdr>
              <w:rPr/>
            </w:pPr>
            <w:r>
              <w:rPr/>
            </w:r>
          </w:p>
          <w:p>
            <w:pPr>
              <w:pStyle w:val="TableContents"/>
              <w:spacing w:before="0" w:after="283"/>
              <w:rPr>
                <w:rFonts w:ascii="times" w:hAnsi="times"/>
                <w:sz w:val="20"/>
              </w:rPr>
            </w:pPr>
            <w:r>
              <w:rPr>
                <w:rFonts w:ascii="times" w:hAnsi="times"/>
                <w:sz w:val="20"/>
              </w:rPr>
              <w:t>Leanne M. Baker</w:t>
              <w:br/>
              <w:t>Director</w:t>
            </w:r>
          </w:p>
        </w:tc>
      </w:tr>
    </w:tbl>
    <w:p>
      <w:pPr>
        <w:pStyle w:val="HorizontalLine"/>
        <w:pBdr>
          <w:bottom w:val="single" w:sz="20" w:space="0" w:color="808080"/>
        </w:pBdr>
        <w:rPr/>
      </w:pPr>
      <w:r>
        <w:rPr/>
      </w:r>
      <w:r>
        <w:br w:type="page"/>
      </w:r>
    </w:p>
    <w:p>
      <w:pPr>
        <w:pStyle w:val="TextBody"/>
        <w:jc w:val="center"/>
        <w:rPr>
          <w:rFonts w:ascii="times" w:hAnsi="times"/>
        </w:rPr>
      </w:pPr>
      <w:bookmarkStart w:id="108" w:name="toc_jg48001_1"/>
      <w:bookmarkStart w:id="109" w:name="jg48001_exhibit_index"/>
      <w:bookmarkEnd w:id="108"/>
      <w:bookmarkEnd w:id="109"/>
      <w:r>
        <w:rPr>
          <w:rFonts w:ascii="times" w:hAnsi="times"/>
          <w:sz w:val="20"/>
        </w:rPr>
        <w:br/>
      </w:r>
      <w:r>
        <w:rPr>
          <w:rFonts w:ascii="times" w:hAnsi="times"/>
          <w:b/>
          <w:sz w:val="20"/>
        </w:rPr>
        <w:t xml:space="preserve">EXHIBIT INDEX </w:t>
      </w:r>
    </w:p>
    <w:tbl>
      <w:tblPr>
        <w:tblW w:w="5000" w:type="pct"/>
        <w:jc w:val="center"/>
        <w:tblInd w:w="0" w:type="dxa"/>
        <w:tblCellMar>
          <w:top w:w="0" w:type="dxa"/>
          <w:left w:w="0" w:type="dxa"/>
          <w:bottom w:w="0" w:type="dxa"/>
          <w:right w:w="0" w:type="dxa"/>
        </w:tblCellMar>
      </w:tblPr>
      <w:tblGrid>
        <w:gridCol w:w="769"/>
        <w:gridCol w:w="81"/>
        <w:gridCol w:w="9355"/>
      </w:tblGrid>
      <w:tr>
        <w:trPr/>
        <w:tc>
          <w:tcPr>
            <w:tcW w:w="769" w:type="dxa"/>
            <w:tcBorders/>
            <w:shd w:fill="auto" w:val="clear"/>
            <w:vAlign w:val="center"/>
          </w:tcPr>
          <w:p>
            <w:pPr>
              <w:pStyle w:val="TableContents"/>
              <w:spacing w:before="0" w:after="283"/>
              <w:rPr>
                <w:sz w:val="4"/>
                <w:szCs w:val="4"/>
              </w:rPr>
            </w:pPr>
            <w:r>
              <w:rPr>
                <w:sz w:val="4"/>
                <w:szCs w:val="4"/>
              </w:rPr>
            </w:r>
          </w:p>
        </w:tc>
        <w:tc>
          <w:tcPr>
            <w:tcW w:w="81" w:type="dxa"/>
            <w:tcBorders/>
            <w:shd w:fill="auto" w:val="clear"/>
            <w:vAlign w:val="center"/>
          </w:tcPr>
          <w:p>
            <w:pPr>
              <w:pStyle w:val="TableContents"/>
              <w:spacing w:before="0" w:after="283"/>
              <w:rPr>
                <w:sz w:val="4"/>
                <w:szCs w:val="4"/>
              </w:rPr>
            </w:pPr>
            <w:r>
              <w:rPr>
                <w:sz w:val="4"/>
                <w:szCs w:val="4"/>
              </w:rPr>
            </w:r>
          </w:p>
        </w:tc>
        <w:tc>
          <w:tcPr>
            <w:tcW w:w="9355" w:type="dxa"/>
            <w:tcBorders/>
            <w:shd w:fill="auto" w:val="clear"/>
            <w:vAlign w:val="center"/>
          </w:tcPr>
          <w:p>
            <w:pPr>
              <w:pStyle w:val="TableContents"/>
              <w:spacing w:before="0" w:after="283"/>
              <w:rPr>
                <w:sz w:val="4"/>
                <w:szCs w:val="4"/>
              </w:rPr>
            </w:pPr>
            <w:r>
              <w:rPr>
                <w:sz w:val="4"/>
                <w:szCs w:val="4"/>
              </w:rPr>
            </w:r>
          </w:p>
        </w:tc>
      </w:tr>
      <w:tr>
        <w:trPr/>
        <w:tc>
          <w:tcPr>
            <w:tcW w:w="769" w:type="dxa"/>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Exhibit No. </w:t>
            </w:r>
          </w:p>
        </w:tc>
        <w:tc>
          <w:tcPr>
            <w:tcW w:w="81" w:type="dxa"/>
            <w:tcBorders/>
            <w:shd w:fill="auto" w:val="clear"/>
            <w:vAlign w:val="bottom"/>
          </w:tcPr>
          <w:p>
            <w:pPr>
              <w:pStyle w:val="TableHeading"/>
              <w:suppressLineNumbers/>
              <w:spacing w:before="0" w:after="283"/>
              <w:jc w:val="center"/>
              <w:rPr/>
            </w:pPr>
            <w:r>
              <w:rPr/>
              <w:t> </w:t>
            </w:r>
          </w:p>
        </w:tc>
        <w:tc>
          <w:tcPr>
            <w:tcW w:w="9355" w:type="dxa"/>
            <w:tcBorders>
              <w:bottom w:val="single" w:sz="8" w:space="0" w:color="000000"/>
            </w:tcBorders>
            <w:shd w:fill="auto" w:val="clear"/>
            <w:tcMar>
              <w:bottom w:w="28" w:type="dxa"/>
            </w:tcMar>
            <w:vAlign w:val="bottom"/>
          </w:tcPr>
          <w:p>
            <w:pPr>
              <w:pStyle w:val="TableHeading"/>
              <w:spacing w:before="0" w:after="283"/>
              <w:jc w:val="left"/>
              <w:rPr>
                <w:rFonts w:ascii="times" w:hAnsi="times"/>
                <w:b/>
                <w:sz w:val="14"/>
              </w:rPr>
            </w:pPr>
            <w:r>
              <w:rPr>
                <w:rFonts w:ascii="times" w:hAnsi="times"/>
                <w:b/>
                <w:sz w:val="14"/>
              </w:rPr>
              <w:t xml:space="preserve">Description </w:t>
            </w:r>
          </w:p>
        </w:tc>
      </w:tr>
      <w:tr>
        <w:trPr/>
        <w:tc>
          <w:tcPr>
            <w:tcW w:w="769" w:type="dxa"/>
            <w:tcBorders/>
            <w:shd w:fill="auto" w:val="clear"/>
          </w:tcPr>
          <w:p>
            <w:pPr>
              <w:pStyle w:val="TableContents"/>
              <w:spacing w:before="0" w:after="283"/>
              <w:rPr>
                <w:rFonts w:ascii="times" w:hAnsi="times"/>
                <w:sz w:val="20"/>
              </w:rPr>
            </w:pPr>
            <w:r>
              <w:rPr>
                <w:rFonts w:ascii="times" w:hAnsi="times"/>
                <w:sz w:val="20"/>
              </w:rPr>
              <w:t>4.1</w:t>
            </w:r>
          </w:p>
        </w:tc>
        <w:tc>
          <w:tcPr>
            <w:tcW w:w="81" w:type="dxa"/>
            <w:tcBorders/>
            <w:shd w:fill="auto" w:val="clear"/>
          </w:tcPr>
          <w:p>
            <w:pPr>
              <w:pStyle w:val="TableContents"/>
              <w:spacing w:before="0" w:after="283"/>
              <w:rPr/>
            </w:pPr>
            <w:r>
              <w:rPr/>
              <w:t> </w:t>
            </w:r>
          </w:p>
        </w:tc>
        <w:tc>
          <w:tcPr>
            <w:tcW w:w="9355" w:type="dxa"/>
            <w:tcBorders/>
            <w:shd w:fill="auto" w:val="clear"/>
          </w:tcPr>
          <w:p>
            <w:pPr>
              <w:pStyle w:val="TableContents"/>
              <w:spacing w:before="0" w:after="283"/>
              <w:rPr>
                <w:rFonts w:ascii="times" w:hAnsi="times"/>
                <w:sz w:val="20"/>
              </w:rPr>
            </w:pPr>
            <w:r>
              <w:rPr>
                <w:rFonts w:ascii="times" w:hAnsi="times"/>
                <w:sz w:val="20"/>
              </w:rPr>
              <w:t>Registrant's Annual Information Form, consisting of the Registrant's Annual Report on Form 20-F for the fiscal year ended December 31, 2012, incorporated herein by reference to the Registrant's Annual Report on Form 20-F filed with the U.S. Securities and Exchange Commission (the "Commission") on March 28, 2013 (File no. 001-13422), as amended by the Registrant's Annual Report on Form 20-F/A filed with the Commission on April 2, 2013 (the "2012 Annual Report") (File no. 001-13422), excluding the exhibits set out in Item 19 thereof</w:t>
            </w:r>
          </w:p>
        </w:tc>
      </w:tr>
      <w:tr>
        <w:trPr/>
        <w:tc>
          <w:tcPr>
            <w:tcW w:w="769" w:type="dxa"/>
            <w:tcBorders/>
            <w:shd w:fill="auto" w:val="clear"/>
          </w:tcPr>
          <w:p>
            <w:pPr>
              <w:pStyle w:val="TableContents"/>
              <w:spacing w:before="0" w:after="283"/>
              <w:rPr>
                <w:rFonts w:ascii="times" w:hAnsi="times"/>
              </w:rPr>
            </w:pPr>
            <w:r>
              <w:rPr>
                <w:rFonts w:ascii="times" w:hAnsi="times"/>
              </w:rPr>
              <w:br/>
            </w:r>
            <w:r>
              <w:rPr>
                <w:rFonts w:ascii="times" w:hAnsi="times"/>
                <w:sz w:val="20"/>
              </w:rPr>
              <w:t>4.2</w:t>
            </w:r>
          </w:p>
        </w:tc>
        <w:tc>
          <w:tcPr>
            <w:tcW w:w="81" w:type="dxa"/>
            <w:tcBorders/>
            <w:shd w:fill="auto" w:val="clear"/>
          </w:tcPr>
          <w:p>
            <w:pPr>
              <w:pStyle w:val="TableContents"/>
              <w:spacing w:before="0" w:after="283"/>
              <w:rPr>
                <w:rFonts w:ascii="times" w:hAnsi="times"/>
                <w:sz w:val="20"/>
              </w:rPr>
            </w:pPr>
            <w:r>
              <w:rPr>
                <w:rFonts w:ascii="times" w:hAnsi="times"/>
                <w:sz w:val="20"/>
              </w:rPr>
              <w:br/>
              <w:t> </w:t>
            </w:r>
          </w:p>
        </w:tc>
        <w:tc>
          <w:tcPr>
            <w:tcW w:w="9355" w:type="dxa"/>
            <w:tcBorders/>
            <w:shd w:fill="auto" w:val="clear"/>
          </w:tcPr>
          <w:p>
            <w:pPr>
              <w:pStyle w:val="TableContents"/>
              <w:spacing w:before="0" w:after="283"/>
              <w:rPr>
                <w:rFonts w:ascii="times" w:hAnsi="times"/>
              </w:rPr>
            </w:pPr>
            <w:r>
              <w:rPr>
                <w:rFonts w:ascii="times" w:hAnsi="times"/>
              </w:rPr>
              <w:br/>
            </w:r>
            <w:r>
              <w:rPr>
                <w:rFonts w:ascii="times" w:hAnsi="times"/>
                <w:sz w:val="20"/>
              </w:rPr>
              <w:t>Audited consolidated financial statements of the Registrant, including the notes thereto, as at December 31, 2012 and 2011 and for each of the years in the three-year period ended December 31, 2012, together with the auditors' report thereon dated March 26, 2013, incorporated herein by reference to the 2012 Annual Report (File no. 001-13422)</w:t>
            </w:r>
          </w:p>
        </w:tc>
      </w:tr>
      <w:tr>
        <w:trPr/>
        <w:tc>
          <w:tcPr>
            <w:tcW w:w="769" w:type="dxa"/>
            <w:tcBorders/>
            <w:shd w:fill="auto" w:val="clear"/>
          </w:tcPr>
          <w:p>
            <w:pPr>
              <w:pStyle w:val="TableContents"/>
              <w:spacing w:before="0" w:after="283"/>
              <w:rPr>
                <w:rFonts w:ascii="times" w:hAnsi="times"/>
              </w:rPr>
            </w:pPr>
            <w:r>
              <w:rPr>
                <w:rFonts w:ascii="times" w:hAnsi="times"/>
              </w:rPr>
              <w:br/>
            </w:r>
            <w:r>
              <w:rPr>
                <w:rFonts w:ascii="times" w:hAnsi="times"/>
                <w:sz w:val="20"/>
              </w:rPr>
              <w:t>4.3</w:t>
            </w:r>
          </w:p>
        </w:tc>
        <w:tc>
          <w:tcPr>
            <w:tcW w:w="81" w:type="dxa"/>
            <w:tcBorders/>
            <w:shd w:fill="auto" w:val="clear"/>
          </w:tcPr>
          <w:p>
            <w:pPr>
              <w:pStyle w:val="TableContents"/>
              <w:spacing w:before="0" w:after="283"/>
              <w:rPr>
                <w:rFonts w:ascii="times" w:hAnsi="times"/>
                <w:sz w:val="20"/>
              </w:rPr>
            </w:pPr>
            <w:r>
              <w:rPr>
                <w:rFonts w:ascii="times" w:hAnsi="times"/>
                <w:sz w:val="20"/>
              </w:rPr>
              <w:br/>
              <w:t> </w:t>
            </w:r>
          </w:p>
        </w:tc>
        <w:tc>
          <w:tcPr>
            <w:tcW w:w="9355" w:type="dxa"/>
            <w:tcBorders/>
            <w:shd w:fill="auto" w:val="clear"/>
          </w:tcPr>
          <w:p>
            <w:pPr>
              <w:pStyle w:val="TableContents"/>
              <w:spacing w:before="0" w:after="283"/>
              <w:rPr>
                <w:rFonts w:ascii="times" w:hAnsi="times"/>
              </w:rPr>
            </w:pPr>
            <w:r>
              <w:rPr>
                <w:rFonts w:ascii="times" w:hAnsi="times"/>
              </w:rPr>
              <w:br/>
            </w:r>
            <w:r>
              <w:rPr>
                <w:rFonts w:ascii="times" w:hAnsi="times"/>
                <w:sz w:val="20"/>
              </w:rPr>
              <w:t>Management's discussion and analysis of financial condition and results of operation of the Registrant for the year ended December 31, 2012, incorporated herein by reference to the 2012 Annual Report (File no. 001-13422)</w:t>
            </w:r>
          </w:p>
        </w:tc>
      </w:tr>
      <w:tr>
        <w:trPr/>
        <w:tc>
          <w:tcPr>
            <w:tcW w:w="769" w:type="dxa"/>
            <w:tcBorders/>
            <w:shd w:fill="auto" w:val="clear"/>
          </w:tcPr>
          <w:p>
            <w:pPr>
              <w:pStyle w:val="TableContents"/>
              <w:spacing w:before="0" w:after="283"/>
              <w:rPr>
                <w:rFonts w:ascii="times" w:hAnsi="times"/>
              </w:rPr>
            </w:pPr>
            <w:r>
              <w:rPr>
                <w:rFonts w:ascii="times" w:hAnsi="times"/>
              </w:rPr>
              <w:br/>
            </w:r>
            <w:r>
              <w:rPr>
                <w:rFonts w:ascii="times" w:hAnsi="times"/>
                <w:sz w:val="20"/>
              </w:rPr>
              <w:t>4.4</w:t>
            </w:r>
          </w:p>
        </w:tc>
        <w:tc>
          <w:tcPr>
            <w:tcW w:w="81" w:type="dxa"/>
            <w:tcBorders/>
            <w:shd w:fill="auto" w:val="clear"/>
          </w:tcPr>
          <w:p>
            <w:pPr>
              <w:pStyle w:val="TableContents"/>
              <w:spacing w:before="0" w:after="283"/>
              <w:rPr>
                <w:rFonts w:ascii="times" w:hAnsi="times"/>
                <w:sz w:val="20"/>
              </w:rPr>
            </w:pPr>
            <w:r>
              <w:rPr>
                <w:rFonts w:ascii="times" w:hAnsi="times"/>
                <w:sz w:val="20"/>
              </w:rPr>
              <w:br/>
              <w:t> </w:t>
            </w:r>
          </w:p>
        </w:tc>
        <w:tc>
          <w:tcPr>
            <w:tcW w:w="9355" w:type="dxa"/>
            <w:tcBorders/>
            <w:shd w:fill="auto" w:val="clear"/>
          </w:tcPr>
          <w:p>
            <w:pPr>
              <w:pStyle w:val="TableContents"/>
              <w:spacing w:before="0" w:after="283"/>
              <w:rPr>
                <w:rFonts w:ascii="times" w:hAnsi="times"/>
              </w:rPr>
            </w:pPr>
            <w:r>
              <w:rPr>
                <w:rFonts w:ascii="times" w:hAnsi="times"/>
              </w:rPr>
              <w:br/>
            </w:r>
            <w:r>
              <w:rPr>
                <w:rFonts w:ascii="times" w:hAnsi="times"/>
                <w:sz w:val="20"/>
              </w:rPr>
              <w:t>Management Proxy Circular prepared in connection with the Registrant's annual and special meeting of shareholders on April 26, 2013, incorporated herein by reference to the Registrant's Report on Form 6-K furnished to the Commission on March 28, 2013 (File no. 001-13422)</w:t>
            </w:r>
          </w:p>
        </w:tc>
      </w:tr>
      <w:tr>
        <w:trPr/>
        <w:tc>
          <w:tcPr>
            <w:tcW w:w="769" w:type="dxa"/>
            <w:tcBorders/>
            <w:shd w:fill="auto" w:val="clear"/>
          </w:tcPr>
          <w:p>
            <w:pPr>
              <w:pStyle w:val="TableContents"/>
              <w:spacing w:before="0" w:after="283"/>
              <w:rPr>
                <w:rFonts w:ascii="times" w:hAnsi="times"/>
              </w:rPr>
            </w:pPr>
            <w:r>
              <w:rPr>
                <w:rFonts w:ascii="times" w:hAnsi="times"/>
              </w:rPr>
              <w:br/>
            </w:r>
            <w:r>
              <w:rPr>
                <w:rFonts w:ascii="times" w:hAnsi="times"/>
                <w:sz w:val="20"/>
              </w:rPr>
              <w:t>4.5</w:t>
            </w:r>
          </w:p>
        </w:tc>
        <w:tc>
          <w:tcPr>
            <w:tcW w:w="81" w:type="dxa"/>
            <w:tcBorders/>
            <w:shd w:fill="auto" w:val="clear"/>
          </w:tcPr>
          <w:p>
            <w:pPr>
              <w:pStyle w:val="TableContents"/>
              <w:spacing w:before="0" w:after="283"/>
              <w:rPr>
                <w:rFonts w:ascii="times" w:hAnsi="times"/>
                <w:sz w:val="20"/>
              </w:rPr>
            </w:pPr>
            <w:r>
              <w:rPr>
                <w:rFonts w:ascii="times" w:hAnsi="times"/>
                <w:sz w:val="20"/>
              </w:rPr>
              <w:br/>
              <w:t> </w:t>
            </w:r>
          </w:p>
        </w:tc>
        <w:tc>
          <w:tcPr>
            <w:tcW w:w="9355" w:type="dxa"/>
            <w:tcBorders/>
            <w:shd w:fill="auto" w:val="clear"/>
          </w:tcPr>
          <w:p>
            <w:pPr>
              <w:pStyle w:val="TableContents"/>
              <w:spacing w:before="0" w:after="283"/>
              <w:rPr>
                <w:rFonts w:ascii="times" w:hAnsi="times"/>
              </w:rPr>
            </w:pPr>
            <w:r>
              <w:rPr>
                <w:rFonts w:ascii="times" w:hAnsi="times"/>
              </w:rPr>
              <w:br/>
            </w:r>
            <w:r>
              <w:rPr>
                <w:rFonts w:ascii="times" w:hAnsi="times"/>
                <w:sz w:val="20"/>
              </w:rPr>
              <w:t>Unaudited consolidated financial statements of the Registrant as at March 31, 2013 and for the three months ended March 31, 2013 and 2012 and related management's discussion and analysis of results of operations of the Registrant for the three months ended March 31, 2013 and 2012, incorporated herein by reference to the Registrant's Report on Form 6-K furnished to the Commission on May 10, 2013 (File no. 001-13422)</w:t>
            </w:r>
          </w:p>
        </w:tc>
      </w:tr>
      <w:tr>
        <w:trPr/>
        <w:tc>
          <w:tcPr>
            <w:tcW w:w="769" w:type="dxa"/>
            <w:tcBorders/>
            <w:shd w:fill="auto" w:val="clear"/>
          </w:tcPr>
          <w:p>
            <w:pPr>
              <w:pStyle w:val="TableContents"/>
              <w:spacing w:before="0" w:after="283"/>
              <w:rPr>
                <w:rFonts w:ascii="times" w:hAnsi="times"/>
              </w:rPr>
            </w:pPr>
            <w:r>
              <w:rPr>
                <w:rFonts w:ascii="times" w:hAnsi="times"/>
              </w:rPr>
              <w:br/>
            </w:r>
            <w:r>
              <w:rPr>
                <w:rFonts w:ascii="times" w:hAnsi="times"/>
                <w:sz w:val="20"/>
              </w:rPr>
              <w:t>5.1</w:t>
            </w:r>
          </w:p>
        </w:tc>
        <w:tc>
          <w:tcPr>
            <w:tcW w:w="81" w:type="dxa"/>
            <w:tcBorders/>
            <w:shd w:fill="auto" w:val="clear"/>
          </w:tcPr>
          <w:p>
            <w:pPr>
              <w:pStyle w:val="TableContents"/>
              <w:spacing w:before="0" w:after="283"/>
              <w:rPr>
                <w:rFonts w:ascii="times" w:hAnsi="times"/>
                <w:sz w:val="20"/>
              </w:rPr>
            </w:pPr>
            <w:r>
              <w:rPr>
                <w:rFonts w:ascii="times" w:hAnsi="times"/>
                <w:sz w:val="20"/>
              </w:rPr>
              <w:br/>
              <w:t> </w:t>
            </w:r>
          </w:p>
        </w:tc>
        <w:tc>
          <w:tcPr>
            <w:tcW w:w="9355" w:type="dxa"/>
            <w:tcBorders/>
            <w:shd w:fill="auto" w:val="clear"/>
          </w:tcPr>
          <w:p>
            <w:pPr>
              <w:pStyle w:val="TableContents"/>
              <w:spacing w:before="0" w:after="283"/>
              <w:rPr>
                <w:rFonts w:ascii="times" w:hAnsi="times"/>
              </w:rPr>
            </w:pPr>
            <w:r>
              <w:rPr>
                <w:rFonts w:ascii="times" w:hAnsi="times"/>
              </w:rPr>
              <w:br/>
            </w:r>
            <w:r>
              <w:rPr>
                <w:rFonts w:ascii="times" w:hAnsi="times"/>
                <w:sz w:val="20"/>
              </w:rPr>
              <w:t>Consent of Daniel Doucet*</w:t>
            </w:r>
          </w:p>
        </w:tc>
      </w:tr>
      <w:tr>
        <w:trPr/>
        <w:tc>
          <w:tcPr>
            <w:tcW w:w="769" w:type="dxa"/>
            <w:tcBorders/>
            <w:shd w:fill="auto" w:val="clear"/>
          </w:tcPr>
          <w:p>
            <w:pPr>
              <w:pStyle w:val="TableContents"/>
              <w:spacing w:before="0" w:after="283"/>
              <w:rPr>
                <w:rFonts w:ascii="times" w:hAnsi="times"/>
              </w:rPr>
            </w:pPr>
            <w:r>
              <w:rPr>
                <w:rFonts w:ascii="times" w:hAnsi="times"/>
              </w:rPr>
              <w:br/>
            </w:r>
            <w:r>
              <w:rPr>
                <w:rFonts w:ascii="times" w:hAnsi="times"/>
                <w:sz w:val="20"/>
              </w:rPr>
              <w:t>5.2</w:t>
            </w:r>
          </w:p>
        </w:tc>
        <w:tc>
          <w:tcPr>
            <w:tcW w:w="81" w:type="dxa"/>
            <w:tcBorders/>
            <w:shd w:fill="auto" w:val="clear"/>
          </w:tcPr>
          <w:p>
            <w:pPr>
              <w:pStyle w:val="TableContents"/>
              <w:spacing w:before="0" w:after="283"/>
              <w:rPr>
                <w:rFonts w:ascii="times" w:hAnsi="times"/>
                <w:sz w:val="20"/>
              </w:rPr>
            </w:pPr>
            <w:r>
              <w:rPr>
                <w:rFonts w:ascii="times" w:hAnsi="times"/>
                <w:sz w:val="20"/>
              </w:rPr>
              <w:br/>
              <w:t> </w:t>
            </w:r>
          </w:p>
        </w:tc>
        <w:tc>
          <w:tcPr>
            <w:tcW w:w="9355" w:type="dxa"/>
            <w:tcBorders/>
            <w:shd w:fill="auto" w:val="clear"/>
          </w:tcPr>
          <w:p>
            <w:pPr>
              <w:pStyle w:val="TableContents"/>
              <w:spacing w:before="0" w:after="283"/>
              <w:rPr>
                <w:rFonts w:ascii="times" w:hAnsi="times"/>
              </w:rPr>
            </w:pPr>
            <w:r>
              <w:rPr>
                <w:rFonts w:ascii="times" w:hAnsi="times"/>
              </w:rPr>
              <w:br/>
            </w:r>
            <w:r>
              <w:rPr>
                <w:rFonts w:ascii="times" w:hAnsi="times"/>
                <w:sz w:val="20"/>
              </w:rPr>
              <w:t>Consent of Ernst &amp; Young LLP**</w:t>
            </w:r>
          </w:p>
        </w:tc>
      </w:tr>
      <w:tr>
        <w:trPr/>
        <w:tc>
          <w:tcPr>
            <w:tcW w:w="769" w:type="dxa"/>
            <w:tcBorders/>
            <w:shd w:fill="auto" w:val="clear"/>
          </w:tcPr>
          <w:p>
            <w:pPr>
              <w:pStyle w:val="TableContents"/>
              <w:spacing w:before="0" w:after="283"/>
              <w:rPr>
                <w:rFonts w:ascii="times" w:hAnsi="times"/>
              </w:rPr>
            </w:pPr>
            <w:r>
              <w:rPr>
                <w:rFonts w:ascii="times" w:hAnsi="times"/>
              </w:rPr>
              <w:br/>
            </w:r>
            <w:r>
              <w:rPr>
                <w:rFonts w:ascii="times" w:hAnsi="times"/>
                <w:sz w:val="20"/>
              </w:rPr>
              <w:t>6.1</w:t>
            </w:r>
          </w:p>
        </w:tc>
        <w:tc>
          <w:tcPr>
            <w:tcW w:w="81" w:type="dxa"/>
            <w:tcBorders/>
            <w:shd w:fill="auto" w:val="clear"/>
          </w:tcPr>
          <w:p>
            <w:pPr>
              <w:pStyle w:val="TableContents"/>
              <w:spacing w:before="0" w:after="283"/>
              <w:rPr>
                <w:rFonts w:ascii="times" w:hAnsi="times"/>
                <w:sz w:val="20"/>
              </w:rPr>
            </w:pPr>
            <w:r>
              <w:rPr>
                <w:rFonts w:ascii="times" w:hAnsi="times"/>
                <w:sz w:val="20"/>
              </w:rPr>
              <w:br/>
              <w:t> </w:t>
            </w:r>
          </w:p>
        </w:tc>
        <w:tc>
          <w:tcPr>
            <w:tcW w:w="9355" w:type="dxa"/>
            <w:tcBorders/>
            <w:shd w:fill="auto" w:val="clear"/>
          </w:tcPr>
          <w:p>
            <w:pPr>
              <w:pStyle w:val="TableContents"/>
              <w:spacing w:before="0" w:after="283"/>
              <w:rPr>
                <w:rFonts w:ascii="times" w:hAnsi="times"/>
              </w:rPr>
            </w:pPr>
            <w:r>
              <w:rPr>
                <w:rFonts w:ascii="times" w:hAnsi="times"/>
              </w:rPr>
              <w:br/>
            </w:r>
            <w:r>
              <w:rPr>
                <w:rFonts w:ascii="times" w:hAnsi="times"/>
                <w:sz w:val="20"/>
              </w:rPr>
              <w:t>Powers of Attorney, included on the signature page of this Registration Statement</w:t>
            </w:r>
          </w:p>
        </w:tc>
      </w:tr>
      <w:tr>
        <w:trPr/>
        <w:tc>
          <w:tcPr>
            <w:tcW w:w="769" w:type="dxa"/>
            <w:tcBorders/>
            <w:shd w:fill="auto" w:val="clear"/>
          </w:tcPr>
          <w:p>
            <w:pPr>
              <w:pStyle w:val="TableContents"/>
              <w:spacing w:before="0" w:after="283"/>
              <w:rPr>
                <w:rFonts w:ascii="times" w:hAnsi="times"/>
              </w:rPr>
            </w:pPr>
            <w:r>
              <w:rPr>
                <w:rFonts w:ascii="times" w:hAnsi="times"/>
              </w:rPr>
              <w:br/>
            </w:r>
            <w:r>
              <w:rPr>
                <w:rFonts w:ascii="times" w:hAnsi="times"/>
                <w:sz w:val="20"/>
              </w:rPr>
              <w:t>7.1</w:t>
            </w:r>
          </w:p>
        </w:tc>
        <w:tc>
          <w:tcPr>
            <w:tcW w:w="81" w:type="dxa"/>
            <w:tcBorders/>
            <w:shd w:fill="auto" w:val="clear"/>
          </w:tcPr>
          <w:p>
            <w:pPr>
              <w:pStyle w:val="TableContents"/>
              <w:spacing w:before="0" w:after="283"/>
              <w:rPr>
                <w:rFonts w:ascii="times" w:hAnsi="times"/>
                <w:sz w:val="20"/>
              </w:rPr>
            </w:pPr>
            <w:r>
              <w:rPr>
                <w:rFonts w:ascii="times" w:hAnsi="times"/>
                <w:sz w:val="20"/>
              </w:rPr>
              <w:br/>
              <w:t> </w:t>
            </w:r>
          </w:p>
        </w:tc>
        <w:tc>
          <w:tcPr>
            <w:tcW w:w="9355" w:type="dxa"/>
            <w:tcBorders/>
            <w:shd w:fill="auto" w:val="clear"/>
          </w:tcPr>
          <w:p>
            <w:pPr>
              <w:pStyle w:val="TableContents"/>
              <w:spacing w:before="0" w:after="283"/>
              <w:rPr>
                <w:rFonts w:ascii="times" w:hAnsi="times"/>
              </w:rPr>
            </w:pPr>
            <w:r>
              <w:rPr>
                <w:rFonts w:ascii="times" w:hAnsi="times"/>
              </w:rPr>
              <w:br/>
            </w:r>
            <w:r>
              <w:rPr>
                <w:rFonts w:ascii="times" w:hAnsi="times"/>
                <w:sz w:val="20"/>
              </w:rPr>
              <w:t>Form of Indenture, incorporated herein by reference to Exhibit 7.1 to Amendment No. 1 to the Registrant's Registration Statement on Form F-10 filed with the Commission on November 8, 2002 (File no. 333-100902)</w:t>
            </w:r>
          </w:p>
        </w:tc>
      </w:tr>
    </w:tbl>
    <w:p>
      <w:pPr>
        <w:pStyle w:val="HorizontalLine"/>
        <w:pBdr>
          <w:bottom w:val="single" w:sz="6" w:space="0" w:color="000000"/>
        </w:pBdr>
        <w:ind w:left="0" w:right="9083" w:hanging="0"/>
        <w:jc w:val="left"/>
        <w:rPr/>
      </w:pPr>
      <w:r>
        <w:rPr/>
      </w:r>
    </w:p>
    <w:p>
      <w:pPr>
        <w:pStyle w:val="ListHeading"/>
        <w:spacing w:before="0" w:after="0"/>
        <w:jc w:val="left"/>
        <w:rPr>
          <w:rFonts w:ascii="times" w:hAnsi="times"/>
          <w:sz w:val="14"/>
        </w:rPr>
      </w:pPr>
      <w:r>
        <w:rPr>
          <w:rFonts w:ascii="times" w:hAnsi="times"/>
          <w:sz w:val="14"/>
        </w:rPr>
        <w:t>*</w:t>
      </w:r>
    </w:p>
    <w:p>
      <w:pPr>
        <w:pStyle w:val="ListContents"/>
        <w:spacing w:before="0" w:after="283"/>
        <w:jc w:val="left"/>
        <w:rPr>
          <w:rFonts w:ascii="times" w:hAnsi="times"/>
          <w:sz w:val="14"/>
        </w:rPr>
      </w:pPr>
      <w:r>
        <w:rPr>
          <w:rFonts w:ascii="times" w:hAnsi="times"/>
          <w:sz w:val="14"/>
        </w:rPr>
        <w:t xml:space="preserve">To be filed by amendment </w:t>
      </w:r>
    </w:p>
    <w:p>
      <w:pPr>
        <w:pStyle w:val="ListHeading"/>
        <w:spacing w:before="0" w:after="0"/>
        <w:jc w:val="left"/>
        <w:rPr>
          <w:rFonts w:ascii="times" w:hAnsi="times"/>
          <w:sz w:val="14"/>
        </w:rPr>
      </w:pPr>
      <w:r>
        <w:rPr>
          <w:rFonts w:ascii="times" w:hAnsi="times"/>
          <w:sz w:val="14"/>
        </w:rPr>
        <w:t>**</w:t>
      </w:r>
    </w:p>
    <w:p>
      <w:pPr>
        <w:pStyle w:val="ListContents"/>
        <w:spacing w:before="0" w:after="283"/>
        <w:jc w:val="left"/>
        <w:rPr>
          <w:rFonts w:ascii="times" w:hAnsi="times"/>
          <w:sz w:val="14"/>
        </w:rPr>
      </w:pPr>
      <w:r>
        <w:rPr>
          <w:rFonts w:ascii="times" w:hAnsi="times"/>
          <w:sz w:val="14"/>
        </w:rPr>
        <w:t xml:space="preserve">Filed herewith </w:t>
      </w:r>
    </w:p>
    <w:p>
      <w:pPr>
        <w:pStyle w:val="HorizontalLine"/>
        <w:pBdr>
          <w:bottom w:val="single" w:sz="20" w:space="0" w:color="808080"/>
        </w:pBdr>
        <w:rPr/>
      </w:pPr>
      <w:r>
        <w:rPr/>
      </w:r>
      <w:r>
        <w:br w:type="page"/>
      </w:r>
    </w:p>
    <w:p>
      <w:pPr>
        <w:pStyle w:val="TextBody"/>
        <w:rPr/>
      </w:pPr>
      <w:r>
        <w:rPr/>
      </w:r>
    </w:p>
    <w:p>
      <w:pPr>
        <w:pStyle w:val="TextBody"/>
        <w:rPr/>
      </w:pPr>
      <w:r>
        <w:rPr/>
        <w:br/>
      </w:r>
      <w:bookmarkStart w:id="110" w:name="13ZBV48001_1"/>
      <w:bookmarkEnd w:id="110"/>
      <w:r>
        <w:rPr/>
        <w:t>QuickLinks</w:t>
      </w:r>
    </w:p>
    <w:p>
      <w:pPr>
        <w:pStyle w:val="TextBody"/>
        <w:rPr/>
      </w:pPr>
      <w:hyperlink w:anchor="toc_da48001_1">
        <w:r>
          <w:rPr>
            <w:rStyle w:val="InternetLink"/>
            <w:rFonts w:ascii="times" w:hAnsi="times"/>
            <w:sz w:val="20"/>
          </w:rPr>
          <w:t>PART I INFORMATION REQUIRED TO BE DELIVERED TO OFFEREES OR PURCHASERS</w:t>
        </w:r>
      </w:hyperlink>
      <w:r>
        <w:rPr/>
        <w:br/>
      </w:r>
      <w:hyperlink w:anchor="toc_bg48003_1">
        <w:r>
          <w:rPr>
            <w:rStyle w:val="InternetLink"/>
            <w:rFonts w:ascii="times" w:hAnsi="times"/>
            <w:sz w:val="20"/>
          </w:rPr>
          <w:t>TABLE OF CONTENTS</w:t>
        </w:r>
      </w:hyperlink>
      <w:r>
        <w:rPr/>
        <w:br/>
      </w:r>
      <w:hyperlink w:anchor="toc_bi48002_1">
        <w:r>
          <w:rPr>
            <w:rStyle w:val="InternetLink"/>
            <w:rFonts w:ascii="times" w:hAnsi="times"/>
            <w:sz w:val="20"/>
          </w:rPr>
          <w:t>ABOUT THIS PROSPECTUS</w:t>
        </w:r>
      </w:hyperlink>
      <w:r>
        <w:rPr/>
        <w:br/>
      </w:r>
      <w:hyperlink w:anchor="toc_bi48002_2">
        <w:r>
          <w:rPr>
            <w:rStyle w:val="InternetLink"/>
            <w:rFonts w:ascii="times" w:hAnsi="times"/>
            <w:sz w:val="20"/>
          </w:rPr>
          <w:t>NOTE TO INVESTORS CONCERNING ESTIMATES OF MINERAL RESERVES AND MINERAL RESOURCES</w:t>
        </w:r>
      </w:hyperlink>
      <w:r>
        <w:rPr/>
        <w:br/>
      </w:r>
      <w:hyperlink w:anchor="toc_bi48002_3">
        <w:r>
          <w:rPr>
            <w:rStyle w:val="InternetLink"/>
            <w:rFonts w:ascii="times" w:hAnsi="times"/>
            <w:sz w:val="20"/>
          </w:rPr>
          <w:t>NOTE TO INVESTORS CONCERNING CERTAIN MEASURES OF PERFORMANCE</w:t>
        </w:r>
      </w:hyperlink>
      <w:r>
        <w:rPr/>
        <w:br/>
      </w:r>
      <w:hyperlink w:anchor="toc_ca48002_1">
        <w:r>
          <w:rPr>
            <w:rStyle w:val="InternetLink"/>
            <w:rFonts w:ascii="times" w:hAnsi="times"/>
            <w:sz w:val="20"/>
          </w:rPr>
          <w:t>PROSPECTUS SUMMARY</w:t>
        </w:r>
      </w:hyperlink>
      <w:r>
        <w:rPr/>
        <w:br/>
      </w:r>
      <w:hyperlink w:anchor="toc_ca48002_2">
        <w:r>
          <w:rPr>
            <w:rStyle w:val="InternetLink"/>
            <w:rFonts w:ascii="times" w:hAnsi="times"/>
            <w:sz w:val="20"/>
          </w:rPr>
          <w:t>The Company</w:t>
        </w:r>
      </w:hyperlink>
      <w:r>
        <w:rPr/>
        <w:br/>
      </w:r>
      <w:hyperlink w:anchor="toc_ca48002_3">
        <w:r>
          <w:rPr>
            <w:rStyle w:val="InternetLink"/>
            <w:rFonts w:ascii="times" w:hAnsi="times"/>
            <w:sz w:val="20"/>
          </w:rPr>
          <w:t>Recent Developments</w:t>
        </w:r>
      </w:hyperlink>
      <w:r>
        <w:rPr/>
        <w:br/>
      </w:r>
      <w:hyperlink w:anchor="toc_ca48002_4">
        <w:r>
          <w:rPr>
            <w:rStyle w:val="InternetLink"/>
            <w:rFonts w:ascii="times" w:hAnsi="times"/>
            <w:sz w:val="20"/>
          </w:rPr>
          <w:t>FORWARD-LOOKING STATEMENTS</w:t>
        </w:r>
      </w:hyperlink>
      <w:r>
        <w:rPr/>
        <w:br/>
      </w:r>
      <w:hyperlink w:anchor="toc_ca48002_5">
        <w:r>
          <w:rPr>
            <w:rStyle w:val="InternetLink"/>
            <w:rFonts w:ascii="times" w:hAnsi="times"/>
            <w:sz w:val="20"/>
          </w:rPr>
          <w:t>RISK FACTORS</w:t>
        </w:r>
      </w:hyperlink>
      <w:r>
        <w:rPr/>
        <w:br/>
      </w:r>
      <w:hyperlink w:anchor="toc_di48002_1">
        <w:r>
          <w:rPr>
            <w:rStyle w:val="InternetLink"/>
            <w:rFonts w:ascii="times" w:hAnsi="times"/>
            <w:sz w:val="20"/>
          </w:rPr>
          <w:t>THE COMPANY</w:t>
        </w:r>
      </w:hyperlink>
      <w:r>
        <w:rPr/>
        <w:br/>
      </w:r>
      <w:hyperlink w:anchor="toc_di48002_2">
        <w:r>
          <w:rPr>
            <w:rStyle w:val="InternetLink"/>
            <w:rFonts w:ascii="times" w:hAnsi="times"/>
            <w:sz w:val="20"/>
          </w:rPr>
          <w:t>CONSOLIDATED CAPITALIZATION</w:t>
        </w:r>
      </w:hyperlink>
      <w:r>
        <w:rPr/>
        <w:br/>
      </w:r>
      <w:hyperlink w:anchor="toc_di48002_3">
        <w:r>
          <w:rPr>
            <w:rStyle w:val="InternetLink"/>
            <w:rFonts w:ascii="times" w:hAnsi="times"/>
            <w:sz w:val="20"/>
          </w:rPr>
          <w:t>USE OF PROCEEDS</w:t>
        </w:r>
      </w:hyperlink>
      <w:r>
        <w:rPr/>
        <w:br/>
      </w:r>
      <w:hyperlink w:anchor="toc_di48002_4">
        <w:r>
          <w:rPr>
            <w:rStyle w:val="InternetLink"/>
            <w:rFonts w:ascii="times" w:hAnsi="times"/>
            <w:sz w:val="20"/>
          </w:rPr>
          <w:t>PRIOR SALES</w:t>
        </w:r>
      </w:hyperlink>
      <w:r>
        <w:rPr/>
        <w:br/>
      </w:r>
      <w:hyperlink w:anchor="toc_di48002_5">
        <w:r>
          <w:rPr>
            <w:rStyle w:val="InternetLink"/>
            <w:rFonts w:ascii="times" w:hAnsi="times"/>
            <w:sz w:val="20"/>
          </w:rPr>
          <w:t>TRADING PRICE AND VOLUME OF COMMON SHARES AND WARRANTS</w:t>
        </w:r>
      </w:hyperlink>
      <w:r>
        <w:rPr/>
        <w:br/>
      </w:r>
      <w:hyperlink w:anchor="toc_dk48002_1">
        <w:r>
          <w:rPr>
            <w:rStyle w:val="InternetLink"/>
            <w:rFonts w:ascii="times" w:hAnsi="times"/>
            <w:sz w:val="20"/>
          </w:rPr>
          <w:t>EARNINGS COVERAGE</w:t>
        </w:r>
      </w:hyperlink>
      <w:r>
        <w:rPr/>
        <w:br/>
      </w:r>
      <w:hyperlink w:anchor="toc_dk48002_2">
        <w:r>
          <w:rPr>
            <w:rStyle w:val="InternetLink"/>
            <w:rFonts w:ascii="times" w:hAnsi="times"/>
            <w:sz w:val="20"/>
          </w:rPr>
          <w:t>DESCRIPTION OF SHARE CAPITAL</w:t>
        </w:r>
      </w:hyperlink>
      <w:r>
        <w:rPr/>
        <w:br/>
      </w:r>
      <w:hyperlink w:anchor="toc_dk48002_3">
        <w:r>
          <w:rPr>
            <w:rStyle w:val="InternetLink"/>
            <w:rFonts w:ascii="times" w:hAnsi="times"/>
            <w:sz w:val="20"/>
          </w:rPr>
          <w:t>DIVIDEND POLICY</w:t>
        </w:r>
      </w:hyperlink>
      <w:r>
        <w:rPr/>
        <w:br/>
      </w:r>
      <w:hyperlink w:anchor="toc_dk48002_4">
        <w:r>
          <w:rPr>
            <w:rStyle w:val="InternetLink"/>
            <w:rFonts w:ascii="times" w:hAnsi="times"/>
            <w:sz w:val="20"/>
          </w:rPr>
          <w:t>DESCRIPTION OF DEBT SECURITIES</w:t>
        </w:r>
      </w:hyperlink>
      <w:r>
        <w:rPr/>
        <w:br/>
      </w:r>
      <w:hyperlink w:anchor="toc_dm48002_1">
        <w:r>
          <w:rPr>
            <w:rStyle w:val="InternetLink"/>
            <w:rFonts w:ascii="times" w:hAnsi="times"/>
            <w:sz w:val="20"/>
          </w:rPr>
          <w:t>DESCRIPTION OF WARRANTS</w:t>
        </w:r>
      </w:hyperlink>
      <w:r>
        <w:rPr/>
        <w:br/>
      </w:r>
      <w:hyperlink w:anchor="toc_dm48002_2">
        <w:r>
          <w:rPr>
            <w:rStyle w:val="InternetLink"/>
            <w:rFonts w:ascii="times" w:hAnsi="times"/>
            <w:sz w:val="20"/>
          </w:rPr>
          <w:t>PLAN OF DISTRIBUTION</w:t>
        </w:r>
      </w:hyperlink>
      <w:r>
        <w:rPr/>
        <w:br/>
      </w:r>
      <w:hyperlink w:anchor="toc_dm48002_3">
        <w:r>
          <w:rPr>
            <w:rStyle w:val="InternetLink"/>
            <w:rFonts w:ascii="times" w:hAnsi="times"/>
            <w:sz w:val="20"/>
          </w:rPr>
          <w:t>EXPERTS</w:t>
        </w:r>
      </w:hyperlink>
      <w:r>
        <w:rPr/>
        <w:br/>
      </w:r>
      <w:hyperlink w:anchor="toc_dm48002_4">
        <w:r>
          <w:rPr>
            <w:rStyle w:val="InternetLink"/>
            <w:rFonts w:ascii="times" w:hAnsi="times"/>
            <w:sz w:val="20"/>
          </w:rPr>
          <w:t>LEGAL MATTERS</w:t>
        </w:r>
      </w:hyperlink>
      <w:r>
        <w:rPr/>
        <w:br/>
      </w:r>
      <w:hyperlink w:anchor="toc_dm48002_5">
        <w:r>
          <w:rPr>
            <w:rStyle w:val="InternetLink"/>
            <w:rFonts w:ascii="times" w:hAnsi="times"/>
            <w:sz w:val="20"/>
          </w:rPr>
          <w:t>AUDITORS, TRANSFER AGENT AND REGISTRAR</w:t>
        </w:r>
      </w:hyperlink>
      <w:r>
        <w:rPr/>
        <w:br/>
      </w:r>
      <w:hyperlink w:anchor="toc_dm48002_6">
        <w:r>
          <w:rPr>
            <w:rStyle w:val="InternetLink"/>
            <w:rFonts w:ascii="times" w:hAnsi="times"/>
            <w:sz w:val="20"/>
          </w:rPr>
          <w:t>EXEMPTIONS</w:t>
        </w:r>
      </w:hyperlink>
      <w:r>
        <w:rPr/>
        <w:br/>
      </w:r>
      <w:hyperlink w:anchor="toc_dm48002_7">
        <w:r>
          <w:rPr>
            <w:rStyle w:val="InternetLink"/>
            <w:rFonts w:ascii="times" w:hAnsi="times"/>
            <w:sz w:val="20"/>
          </w:rPr>
          <w:t>DOCUMENTS INCORPORATED BY REFERENCE</w:t>
        </w:r>
      </w:hyperlink>
      <w:r>
        <w:rPr/>
        <w:br/>
      </w:r>
      <w:hyperlink w:anchor="toc_dm48002_8">
        <w:r>
          <w:rPr>
            <w:rStyle w:val="InternetLink"/>
            <w:rFonts w:ascii="times" w:hAnsi="times"/>
            <w:sz w:val="20"/>
          </w:rPr>
          <w:t>AVAILABLE INFORMATION</w:t>
        </w:r>
      </w:hyperlink>
      <w:r>
        <w:rPr/>
        <w:br/>
      </w:r>
      <w:hyperlink w:anchor="toc_dm48002_9">
        <w:r>
          <w:rPr>
            <w:rStyle w:val="InternetLink"/>
            <w:rFonts w:ascii="times" w:hAnsi="times"/>
            <w:sz w:val="20"/>
          </w:rPr>
          <w:t>ENFORCEABILITY OF CERTAIN CIVIL LIABILITIES</w:t>
        </w:r>
      </w:hyperlink>
      <w:r>
        <w:rPr/>
        <w:br/>
      </w:r>
      <w:hyperlink w:anchor="toc_dm48002_10">
        <w:r>
          <w:rPr>
            <w:rStyle w:val="InternetLink"/>
            <w:rFonts w:ascii="times" w:hAnsi="times"/>
            <w:sz w:val="20"/>
          </w:rPr>
          <w:t>STATUTORY RIGHTS OF WITHDRAWAL AND RESCISSION</w:t>
        </w:r>
      </w:hyperlink>
      <w:r>
        <w:rPr/>
        <w:br/>
      </w:r>
      <w:hyperlink w:anchor="toc_dm48002_11">
        <w:r>
          <w:rPr>
            <w:rStyle w:val="InternetLink"/>
            <w:rFonts w:ascii="times" w:hAnsi="times"/>
            <w:sz w:val="20"/>
          </w:rPr>
          <w:t>DOCUMENTS FILED AS PART OF THE REGISTRATION STATEMENT</w:t>
        </w:r>
      </w:hyperlink>
      <w:r>
        <w:rPr/>
        <w:br/>
      </w:r>
      <w:hyperlink w:anchor="toc_dc48001_1">
        <w:r>
          <w:rPr>
            <w:rStyle w:val="InternetLink"/>
            <w:rFonts w:ascii="times" w:hAnsi="times"/>
            <w:sz w:val="20"/>
          </w:rPr>
          <w:t>PART II INFORMATION NOT REQUIRED TO BE DELIVERED TO OFFEREES OR PURCHASERS</w:t>
        </w:r>
      </w:hyperlink>
      <w:r>
        <w:rPr/>
        <w:br/>
      </w:r>
      <w:hyperlink w:anchor="toc_de48001_1">
        <w:r>
          <w:rPr>
            <w:rStyle w:val="InternetLink"/>
            <w:rFonts w:ascii="times" w:hAnsi="times"/>
            <w:sz w:val="20"/>
          </w:rPr>
          <w:t>PART III UNDERTAKING AND CONSENT TO SERVICE OF PROCESS</w:t>
        </w:r>
      </w:hyperlink>
    </w:p>
    <w:p>
      <w:pPr>
        <w:pStyle w:val="TextBody"/>
        <w:numPr>
          <w:ilvl w:val="0"/>
          <w:numId w:val="0"/>
        </w:numPr>
        <w:ind w:left="707" w:hanging="0"/>
        <w:rPr/>
      </w:pPr>
      <w:hyperlink w:anchor="toc_de48001_2">
        <w:r>
          <w:rPr>
            <w:rStyle w:val="InternetLink"/>
            <w:rFonts w:ascii="times" w:hAnsi="times"/>
            <w:sz w:val="20"/>
          </w:rPr>
          <w:t>Item 1. Undertaking</w:t>
        </w:r>
      </w:hyperlink>
      <w:r>
        <w:rPr/>
        <w:br/>
      </w:r>
      <w:hyperlink w:anchor="toc_de48001_3">
        <w:r>
          <w:rPr>
            <w:rStyle w:val="InternetLink"/>
            <w:rFonts w:ascii="times" w:hAnsi="times"/>
            <w:sz w:val="20"/>
          </w:rPr>
          <w:t>Item 2. Consent to Service of Process</w:t>
        </w:r>
      </w:hyperlink>
    </w:p>
    <w:p>
      <w:pPr>
        <w:pStyle w:val="TextBody"/>
        <w:rPr/>
      </w:pPr>
      <w:hyperlink w:anchor="toc_jc48001_1">
        <w:r>
          <w:rPr>
            <w:rStyle w:val="InternetLink"/>
            <w:rFonts w:ascii="times" w:hAnsi="times"/>
            <w:sz w:val="20"/>
          </w:rPr>
          <w:t>SIGNATURES</w:t>
        </w:r>
      </w:hyperlink>
      <w:r>
        <w:rPr/>
        <w:br/>
      </w:r>
      <w:hyperlink w:anchor="toc_je48001_1">
        <w:r>
          <w:rPr>
            <w:rStyle w:val="InternetLink"/>
            <w:rFonts w:ascii="times" w:hAnsi="times"/>
            <w:sz w:val="20"/>
          </w:rPr>
          <w:t>AUTHORIZED REPRESENTATIVE</w:t>
        </w:r>
      </w:hyperlink>
      <w:r>
        <w:rPr/>
        <w:br/>
      </w:r>
      <w:hyperlink w:anchor="toc_jg48001_1">
        <w:r>
          <w:rPr>
            <w:rStyle w:val="InternetLink"/>
            <w:rFonts w:ascii="times" w:hAnsi="times"/>
            <w:sz w:val="20"/>
          </w:rPr>
          <w:t>EXHIBIT INDEX</w:t>
        </w:r>
      </w:hyperlink>
      <w:r>
        <w:br w:type="page"/>
      </w:r>
    </w:p>
    <w:p>
      <w:pPr>
        <w:pStyle w:val="TextBody"/>
        <w:rPr/>
      </w:pPr>
      <w:bookmarkStart w:id="111" w:name="a2215759zex-5_2.htm"/>
      <w:bookmarkStart w:id="112" w:name="ksa2215759zex5_2"/>
      <w:bookmarkEnd w:id="111"/>
      <w:bookmarkEnd w:id="112"/>
      <w:r>
        <w:rPr/>
        <w:br/>
      </w:r>
      <w:hyperlink w:anchor="13ZBV48001_2">
        <w:r>
          <w:rPr>
            <w:rStyle w:val="InternetLink"/>
            <w:sz w:val="24"/>
          </w:rPr>
          <w:t>QuickLinks</w:t>
        </w:r>
      </w:hyperlink>
      <w:r>
        <w:rPr/>
        <w:t xml:space="preserve"> </w:t>
      </w:r>
      <w:r>
        <w:rPr>
          <w:sz w:val="24"/>
        </w:rPr>
        <w:t>-- Click here to rapidly navigate through this document</w:t>
      </w:r>
      <w:r>
        <w:rPr/>
        <w:t xml:space="preserve"> </w:t>
      </w:r>
    </w:p>
    <w:p>
      <w:pPr>
        <w:pStyle w:val="TextBody"/>
        <w:jc w:val="right"/>
        <w:rPr>
          <w:rFonts w:ascii="times" w:hAnsi="times"/>
        </w:rPr>
      </w:pPr>
      <w:bookmarkStart w:id="113" w:name="toc_ji48001_1"/>
      <w:bookmarkStart w:id="114" w:name="ji48001_exhibit_5.2"/>
      <w:bookmarkEnd w:id="113"/>
      <w:bookmarkEnd w:id="114"/>
      <w:r>
        <w:rPr>
          <w:rFonts w:ascii="times" w:hAnsi="times"/>
          <w:sz w:val="20"/>
        </w:rPr>
        <w:br/>
      </w:r>
      <w:r>
        <w:rPr>
          <w:rFonts w:ascii="times" w:hAnsi="times"/>
          <w:b/>
          <w:sz w:val="20"/>
        </w:rPr>
        <w:t xml:space="preserve">Exhibit 5.2 </w:t>
      </w:r>
    </w:p>
    <w:p>
      <w:pPr>
        <w:pStyle w:val="TextBody"/>
        <w:jc w:val="center"/>
        <w:rPr>
          <w:rFonts w:ascii="times" w:hAnsi="times"/>
        </w:rPr>
      </w:pPr>
      <w:bookmarkStart w:id="115" w:name="toc_ji48001_2"/>
      <w:bookmarkStart w:id="116" w:name="ji48001_consent_of_independent__ji402316"/>
      <w:bookmarkEnd w:id="115"/>
      <w:bookmarkEnd w:id="116"/>
      <w:r>
        <w:rPr>
          <w:rFonts w:ascii="times" w:hAnsi="times"/>
          <w:sz w:val="20"/>
        </w:rPr>
        <w:br/>
      </w:r>
      <w:r>
        <w:rPr>
          <w:rFonts w:ascii="times" w:hAnsi="times"/>
          <w:b/>
          <w:sz w:val="20"/>
        </w:rPr>
        <w:t xml:space="preserve">Consent of Independent Registered Public Accounting Firm </w:t>
      </w:r>
    </w:p>
    <w:p>
      <w:pPr>
        <w:pStyle w:val="TextBody"/>
        <w:rPr/>
      </w:pPr>
      <w:r>
        <w:rPr/>
        <w:t>        </w:t>
      </w:r>
      <w:r>
        <w:rPr>
          <w:rFonts w:ascii="times" w:hAnsi="times"/>
          <w:sz w:val="20"/>
        </w:rPr>
        <w:t xml:space="preserve">We consent to the incorporation by reference in the Registration Statement on Form F-10 of Agnico Eagle Mines Limited for the registration of its debt securities, common shares and warrants to purchase debt securities or common shares (the "Registration Statement") of our reports dated March 26, 2013, with respect to the consolidated financial statements of Agnico Eagle Mines Limited and the effectiveness of internal control over financial reporting of Agnico Eagle Mines Limited, which reports appear in the Annual Report on Form 20-F of Agnico Eagle Mines Limited for the fiscal year ended December 31, 2012, filed with the Securities and Exchange Commission (the "Commission") on March 28, 2013, as amended by Amendment No. 1 thereto on Form 20-F/A filed with the Commission on April 2, 2013. </w:t>
      </w:r>
    </w:p>
    <w:p>
      <w:pPr>
        <w:pStyle w:val="TextBody"/>
        <w:rPr/>
      </w:pPr>
      <w:r>
        <w:rPr/>
        <w:t>        </w:t>
      </w:r>
      <w:r>
        <w:rPr>
          <w:rFonts w:ascii="times" w:hAnsi="times"/>
          <w:sz w:val="20"/>
        </w:rPr>
        <w:t xml:space="preserve">We also consent to the reference to our firm under the headings "Experts" and "Auditors, Transfer Agent and Registrar" in the prospectus included in the Registration Statement. </w:t>
      </w:r>
    </w:p>
    <w:tbl>
      <w:tblPr>
        <w:tblW w:w="5000" w:type="pct"/>
        <w:jc w:val="center"/>
        <w:tblInd w:w="0" w:type="dxa"/>
        <w:tblCellMar>
          <w:top w:w="0" w:type="dxa"/>
          <w:left w:w="0" w:type="dxa"/>
          <w:bottom w:w="0" w:type="dxa"/>
          <w:right w:w="0" w:type="dxa"/>
        </w:tblCellMar>
      </w:tblPr>
      <w:tblGrid>
        <w:gridCol w:w="5079"/>
        <w:gridCol w:w="46"/>
        <w:gridCol w:w="5080"/>
      </w:tblGrid>
      <w:tr>
        <w:trPr/>
        <w:tc>
          <w:tcPr>
            <w:tcW w:w="5079" w:type="dxa"/>
            <w:tcBorders/>
            <w:shd w:fill="auto" w:val="clear"/>
            <w:vAlign w:val="center"/>
          </w:tcPr>
          <w:p>
            <w:pPr>
              <w:pStyle w:val="TableContents"/>
              <w:spacing w:before="0" w:after="283"/>
              <w:rPr>
                <w:sz w:val="4"/>
                <w:szCs w:val="4"/>
              </w:rPr>
            </w:pPr>
            <w:r>
              <w:rPr>
                <w:sz w:val="4"/>
                <w:szCs w:val="4"/>
              </w:rPr>
            </w:r>
          </w:p>
        </w:tc>
        <w:tc>
          <w:tcPr>
            <w:tcW w:w="46" w:type="dxa"/>
            <w:tcBorders/>
            <w:shd w:fill="auto" w:val="clear"/>
            <w:vAlign w:val="center"/>
          </w:tcPr>
          <w:p>
            <w:pPr>
              <w:pStyle w:val="TableContents"/>
              <w:spacing w:before="0" w:after="283"/>
              <w:rPr>
                <w:sz w:val="4"/>
                <w:szCs w:val="4"/>
              </w:rPr>
            </w:pPr>
            <w:r>
              <w:rPr>
                <w:sz w:val="4"/>
                <w:szCs w:val="4"/>
              </w:rPr>
            </w:r>
          </w:p>
        </w:tc>
        <w:tc>
          <w:tcPr>
            <w:tcW w:w="5080" w:type="dxa"/>
            <w:tcBorders/>
            <w:shd w:fill="auto" w:val="clear"/>
            <w:vAlign w:val="center"/>
          </w:tcPr>
          <w:p>
            <w:pPr>
              <w:pStyle w:val="TableContents"/>
              <w:spacing w:before="0" w:after="283"/>
              <w:rPr>
                <w:sz w:val="4"/>
                <w:szCs w:val="4"/>
              </w:rPr>
            </w:pPr>
            <w:r>
              <w:rPr>
                <w:sz w:val="4"/>
                <w:szCs w:val="4"/>
              </w:rPr>
            </w:r>
          </w:p>
        </w:tc>
      </w:tr>
      <w:tr>
        <w:trPr/>
        <w:tc>
          <w:tcPr>
            <w:tcW w:w="5079" w:type="dxa"/>
            <w:tcBorders/>
            <w:shd w:fill="auto" w:val="clear"/>
          </w:tcPr>
          <w:p>
            <w:pPr>
              <w:pStyle w:val="TableContents"/>
              <w:spacing w:before="0" w:after="283"/>
              <w:rPr>
                <w:rFonts w:ascii="times" w:hAnsi="times"/>
              </w:rPr>
            </w:pPr>
            <w:r>
              <w:rPr>
                <w:rFonts w:ascii="times" w:hAnsi="times"/>
              </w:rPr>
              <w:br/>
            </w:r>
            <w:r>
              <w:rPr>
                <w:rFonts w:ascii="times" w:hAnsi="times"/>
                <w:sz w:val="20"/>
              </w:rPr>
              <w:t>Toronto, Canada</w:t>
              <w:br/>
              <w:t>June 28, 2013</w:t>
            </w:r>
          </w:p>
        </w:tc>
        <w:tc>
          <w:tcPr>
            <w:tcW w:w="46" w:type="dxa"/>
            <w:tcBorders/>
            <w:shd w:fill="auto" w:val="clear"/>
          </w:tcPr>
          <w:p>
            <w:pPr>
              <w:pStyle w:val="TableContents"/>
              <w:spacing w:before="0" w:after="283"/>
              <w:rPr>
                <w:rFonts w:ascii="times" w:hAnsi="times"/>
                <w:sz w:val="20"/>
              </w:rPr>
            </w:pPr>
            <w:r>
              <w:rPr>
                <w:rFonts w:ascii="times" w:hAnsi="times"/>
                <w:sz w:val="20"/>
              </w:rPr>
              <w:br/>
              <w:t> </w:t>
            </w:r>
          </w:p>
        </w:tc>
        <w:tc>
          <w:tcPr>
            <w:tcW w:w="5080" w:type="dxa"/>
            <w:tcBorders/>
            <w:shd w:fill="auto" w:val="clear"/>
          </w:tcPr>
          <w:p>
            <w:pPr>
              <w:pStyle w:val="TableContents"/>
              <w:spacing w:before="0" w:after="0"/>
              <w:rPr>
                <w:rFonts w:ascii="times" w:hAnsi="times"/>
              </w:rPr>
            </w:pPr>
            <w:r>
              <w:rPr>
                <w:rFonts w:ascii="times" w:hAnsi="times"/>
              </w:rPr>
              <w:br/>
            </w:r>
            <w:r>
              <w:rPr>
                <w:rFonts w:ascii="times" w:hAnsi="times"/>
                <w:sz w:val="20"/>
              </w:rPr>
              <w:t>/s/ ERNST &amp; YOUNG LLP</w:t>
            </w:r>
          </w:p>
          <w:p>
            <w:pPr>
              <w:pStyle w:val="HorizontalLine"/>
              <w:pBdr>
                <w:bottom w:val="single" w:sz="6" w:space="0" w:color="000000"/>
              </w:pBdr>
              <w:rPr/>
            </w:pPr>
            <w:r>
              <w:rPr/>
            </w:r>
          </w:p>
          <w:p>
            <w:pPr>
              <w:pStyle w:val="TableContents"/>
              <w:spacing w:before="0" w:after="283"/>
              <w:rPr>
                <w:rFonts w:ascii="times" w:hAnsi="times"/>
                <w:sz w:val="20"/>
              </w:rPr>
            </w:pPr>
            <w:r>
              <w:rPr>
                <w:rFonts w:ascii="times" w:hAnsi="times"/>
                <w:sz w:val="20"/>
              </w:rPr>
              <w:t>ERNST &amp; YOUNG LLP</w:t>
              <w:br/>
              <w:t>Chartered Accountants</w:t>
              <w:br/>
              <w:t>Licensed Public Accountants</w:t>
            </w:r>
          </w:p>
        </w:tc>
      </w:tr>
    </w:tbl>
    <w:p>
      <w:pPr>
        <w:pStyle w:val="HorizontalLine"/>
        <w:pBdr>
          <w:bottom w:val="single" w:sz="20" w:space="0" w:color="808080"/>
        </w:pBdr>
        <w:rPr/>
      </w:pPr>
      <w:r>
        <w:rPr/>
      </w:r>
      <w:r>
        <w:br w:type="page"/>
      </w:r>
    </w:p>
    <w:p>
      <w:pPr>
        <w:pStyle w:val="TextBody"/>
        <w:rPr/>
      </w:pPr>
      <w:r>
        <w:rPr/>
      </w:r>
    </w:p>
    <w:p>
      <w:pPr>
        <w:pStyle w:val="TextBody"/>
        <w:rPr/>
      </w:pPr>
      <w:r>
        <w:rPr/>
        <w:br/>
      </w:r>
      <w:bookmarkStart w:id="117" w:name="13ZBV48001_2"/>
      <w:bookmarkEnd w:id="117"/>
      <w:r>
        <w:rPr/>
        <w:t>QuickLinks</w:t>
      </w:r>
    </w:p>
    <w:p>
      <w:pPr>
        <w:pStyle w:val="TextBody"/>
        <w:numPr>
          <w:ilvl w:val="0"/>
          <w:numId w:val="0"/>
        </w:numPr>
        <w:ind w:left="707" w:hanging="0"/>
        <w:rPr/>
      </w:pPr>
      <w:hyperlink w:anchor="toc_ji48001_1">
        <w:r>
          <w:rPr>
            <w:rStyle w:val="InternetLink"/>
            <w:rFonts w:ascii="times" w:hAnsi="times"/>
            <w:sz w:val="20"/>
          </w:rPr>
          <w:t>Exhibit 5.2</w:t>
        </w:r>
      </w:hyperlink>
    </w:p>
    <w:p>
      <w:pPr>
        <w:pStyle w:val="TextBody"/>
        <w:spacing w:before="0" w:after="283"/>
        <w:rPr/>
      </w:pPr>
      <w:hyperlink w:anchor="toc_ji48001_2">
        <w:r>
          <w:rPr>
            <w:rStyle w:val="InternetLink"/>
            <w:rFonts w:ascii="times" w:hAnsi="times"/>
            <w:sz w:val="20"/>
          </w:rPr>
          <w:t>Consent of Independent Registered Public Accounting Firm</w:t>
        </w:r>
      </w:hyperlink>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OpenSymbol">
    <w:altName w:val="Arial Unicode MS"/>
    <w:charset w:val="02"/>
    <w:family w:val="auto"/>
    <w:pitch w:val="default"/>
  </w:font>
  <w:font w:name="Liberation Sans">
    <w:altName w:val="Arial"/>
    <w:charset w:val="00"/>
    <w:family w:val="swiss"/>
    <w:pitch w:val="variable"/>
  </w:font>
  <w:font w:name="times">
    <w:altName w:val="Times New Roman"/>
    <w:charset w:val="00"/>
    <w:family w:val="auto"/>
    <w:pitch w:val="default"/>
  </w:font>
  <w:font w:name="WINGDINGS">
    <w:charset w:val="00"/>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 w:type="paragraph" w:styleId="ListHeading">
    <w:name w:val="List Heading"/>
    <w:basedOn w:val="Normal"/>
    <w:next w:val="ListContents"/>
    <w:qFormat/>
    <w:pPr>
      <w:ind w:left="0" w:right="0" w:hanging="0"/>
    </w:pPr>
    <w:rPr/>
  </w:style>
  <w:style w:type="paragraph" w:styleId="ListContents">
    <w:name w:val="List Contents"/>
    <w:basedOn w:val="Normal"/>
    <w:qFormat/>
    <w:pPr>
      <w:ind w:left="567"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42</Pages>
  <Words>20641</Words>
  <CharactersWithSpaces>132094</CharactersWithSpaces>
  <Paragraphs>2136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