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215629z6-k.htm"/>
      <w:bookmarkStart w:id="1" w:name="ksa2215629z6k"/>
      <w:bookmarkEnd w:id="0"/>
      <w:bookmarkEnd w:id="1"/>
      <w:r>
        <w:rPr/>
        <w:br/>
      </w:r>
      <w:hyperlink w:anchor="13ZBT72202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rPr>
      </w:pPr>
      <w:r>
        <w:rPr>
          <w:rFonts w:ascii="times" w:hAnsi="times"/>
          <w:b/>
          <w:sz w:val="36"/>
        </w:rPr>
        <w:t>UNITED STATES</w:t>
        <w:br/>
        <w:t>SECURITIES AND EXCHANGE COMMISSION</w:t>
        <w:br/>
      </w:r>
      <w:r>
        <w:rPr>
          <w:rFonts w:ascii="times" w:hAnsi="times"/>
          <w:b/>
          <w:sz w:val="20"/>
        </w:rPr>
        <w:t xml:space="preserve">Washington, D.C. 20549 </w:t>
      </w:r>
    </w:p>
    <w:p>
      <w:pPr>
        <w:pStyle w:val="TextBody"/>
        <w:rPr/>
      </w:pPr>
      <w:r>
        <w:rPr/>
      </w:r>
    </w:p>
    <w:p>
      <w:pPr>
        <w:pStyle w:val="TextBody"/>
        <w:jc w:val="center"/>
        <w:rPr>
          <w:rFonts w:ascii="times" w:hAnsi="times"/>
          <w:b/>
          <w:sz w:val="36"/>
        </w:rPr>
      </w:pPr>
      <w:r>
        <w:rPr>
          <w:rFonts w:ascii="times" w:hAnsi="times"/>
          <w:b/>
          <w:sz w:val="36"/>
        </w:rPr>
        <w:t xml:space="preserve">FORM 6-K </w:t>
      </w:r>
    </w:p>
    <w:p>
      <w:pPr>
        <w:pStyle w:val="TextBody"/>
        <w:jc w:val="center"/>
        <w:rPr>
          <w:rFonts w:ascii="times" w:hAnsi="times"/>
          <w:b/>
          <w:sz w:val="24"/>
        </w:rPr>
      </w:pPr>
      <w:r>
        <w:rPr>
          <w:rFonts w:ascii="times" w:hAnsi="times"/>
          <w:b/>
          <w:sz w:val="24"/>
        </w:rPr>
        <w:t xml:space="preserve">REPORT OF FOREIGN PRIVATE ISSUER PURSUANT TO RULE 13a-16 OR 15d-16 UNDER THE SECURITIES EXCHANGE ACT OF 1934 </w:t>
      </w:r>
    </w:p>
    <w:p>
      <w:pPr>
        <w:pStyle w:val="TextBody"/>
        <w:jc w:val="center"/>
        <w:rPr>
          <w:rFonts w:ascii="times" w:hAnsi="times"/>
          <w:sz w:val="20"/>
        </w:rPr>
      </w:pPr>
      <w:r>
        <w:rPr>
          <w:rFonts w:ascii="times" w:hAnsi="times"/>
          <w:sz w:val="20"/>
        </w:rPr>
        <w:t xml:space="preserve">For the month of August, 2013. </w:t>
      </w:r>
    </w:p>
    <w:p>
      <w:pPr>
        <w:pStyle w:val="TextBody"/>
        <w:jc w:val="center"/>
        <w:rPr>
          <w:rFonts w:ascii="times" w:hAnsi="times"/>
          <w:sz w:val="20"/>
        </w:rPr>
      </w:pPr>
      <w:r>
        <w:rPr>
          <w:rFonts w:ascii="times" w:hAnsi="times"/>
          <w:sz w:val="20"/>
        </w:rPr>
        <w:t xml:space="preserve">Commission File Number </w:t>
      </w:r>
    </w:p>
    <w:p>
      <w:pPr>
        <w:pStyle w:val="TextBody"/>
        <w:spacing w:before="0" w:after="0"/>
        <w:jc w:val="center"/>
        <w:rPr>
          <w:rFonts w:ascii="times" w:hAnsi="times"/>
          <w:b/>
        </w:rPr>
      </w:pPr>
      <w:r>
        <w:rPr>
          <w:rFonts w:ascii="times" w:hAnsi="times"/>
          <w:b/>
        </w:rPr>
        <w:t>AGNICO-EAGLE MINES LIMITED</w:t>
      </w:r>
    </w:p>
    <w:p>
      <w:pPr>
        <w:pStyle w:val="HorizontalLine"/>
        <w:pBdr>
          <w:bottom w:val="single" w:sz="6" w:space="0" w:color="000000"/>
        </w:pBdr>
        <w:rPr/>
      </w:pPr>
      <w:r>
        <w:rPr/>
      </w:r>
    </w:p>
    <w:p>
      <w:pPr>
        <w:pStyle w:val="TextBody"/>
        <w:rPr/>
      </w:pPr>
      <w:r>
        <w:rPr>
          <w:b/>
          <w:sz w:val="36"/>
        </w:rPr>
        <w:br/>
      </w:r>
      <w:r>
        <w:rPr>
          <w:sz w:val="20"/>
        </w:rPr>
        <w:t xml:space="preserve">(Translation of registrant's name into English) </w:t>
      </w:r>
    </w:p>
    <w:p>
      <w:pPr>
        <w:pStyle w:val="TextBody"/>
        <w:spacing w:before="0" w:after="0"/>
        <w:jc w:val="center"/>
        <w:rPr>
          <w:rFonts w:ascii="times" w:hAnsi="times"/>
        </w:rPr>
      </w:pPr>
      <w:r>
        <w:rPr>
          <w:rFonts w:ascii="times" w:hAnsi="times"/>
        </w:rPr>
        <w:t>145 King Street East, Suite 400, Toronto, Ontario M5C 2Y7</w:t>
      </w:r>
    </w:p>
    <w:p>
      <w:pPr>
        <w:pStyle w:val="HorizontalLine"/>
        <w:pBdr>
          <w:bottom w:val="single" w:sz="6" w:space="0" w:color="000000"/>
        </w:pBdr>
        <w:rPr/>
      </w:pPr>
      <w:r>
        <w:rPr/>
      </w:r>
    </w:p>
    <w:p>
      <w:pPr>
        <w:pStyle w:val="TextBody"/>
        <w:rPr>
          <w:sz w:val="20"/>
        </w:rPr>
      </w:pPr>
      <w:r>
        <w:rPr>
          <w:sz w:val="20"/>
        </w:rPr>
        <w:br/>
        <w:t xml:space="preserve">(Address of principal executive office) </w:t>
      </w:r>
    </w:p>
    <w:p>
      <w:pPr>
        <w:pStyle w:val="TextBody"/>
        <w:rPr>
          <w:rFonts w:ascii="times" w:hAnsi="times"/>
          <w:sz w:val="20"/>
        </w:rPr>
      </w:pPr>
      <w:r>
        <w:rPr>
          <w:rFonts w:ascii="times" w:hAnsi="times"/>
          <w:sz w:val="20"/>
        </w:rPr>
        <w:t xml:space="preserve">Indicate by check mark whether the registrant files or will file annual reports under cover of Form 20-F or Form 40-F.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ind w:left="200" w:right="0" w:hanging="200"/>
              <w:jc w:val="right"/>
              <w:rPr>
                <w:rFonts w:ascii="times" w:hAnsi="times"/>
                <w:sz w:val="20"/>
              </w:rPr>
            </w:pPr>
            <w:r>
              <w:rPr>
                <w:rFonts w:ascii="times" w:hAnsi="times"/>
                <w:sz w:val="20"/>
              </w:rPr>
              <w:t>Form 20-F</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pPr>
            <w:r>
              <w:rPr/>
              <w:t>☒</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Form 40-F</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rFonts w:ascii="WINGDINGS" w:hAnsi="WINGDINGS"/>
                <w:sz w:val="20"/>
              </w:rPr>
            </w:pPr>
            <w:r>
              <w:rPr>
                <w:rFonts w:ascii="WINGDINGS" w:hAnsi="WINGDINGS"/>
                <w:sz w:val="20"/>
              </w:rPr>
              <w:t>o</w:t>
            </w:r>
          </w:p>
        </w:tc>
      </w:tr>
    </w:tbl>
    <w:p>
      <w:pPr>
        <w:pStyle w:val="TextBody"/>
        <w:rPr>
          <w:rFonts w:ascii="times" w:hAnsi="times"/>
          <w:sz w:val="20"/>
        </w:rPr>
      </w:pPr>
      <w:r>
        <w:rPr>
          <w:rFonts w:ascii="times" w:hAnsi="times"/>
          <w:sz w:val="20"/>
        </w:rPr>
        <w:t xml:space="preserve">Indicate by check mark if the registrant is submitting the Form 6-K in paper as permitted by Regulation S-T Rule 101 (b)(1): </w:t>
      </w:r>
    </w:p>
    <w:p>
      <w:pPr>
        <w:pStyle w:val="TextBody"/>
        <w:rPr>
          <w:rFonts w:ascii="times" w:hAnsi="times"/>
        </w:rPr>
      </w:pPr>
      <w:r>
        <w:rPr>
          <w:rFonts w:ascii="times" w:hAnsi="times"/>
          <w:b/>
          <w:sz w:val="20"/>
        </w:rPr>
        <w:t>Note:</w:t>
      </w:r>
      <w:r>
        <w:rPr>
          <w:rFonts w:ascii="times" w:hAnsi="times"/>
        </w:rPr>
        <w:t xml:space="preserve"> </w:t>
      </w:r>
      <w:r>
        <w:rPr>
          <w:rFonts w:ascii="times" w:hAnsi="times"/>
          <w:sz w:val="20"/>
        </w:rPr>
        <w:t xml:space="preserve">Regulation S-T Rule 101 (b)(1) only permits the submission in paper of a Form 6-K if submitted solely to provide an attached annual report to security holders. </w:t>
      </w:r>
    </w:p>
    <w:p>
      <w:pPr>
        <w:pStyle w:val="TextBody"/>
        <w:rPr>
          <w:rFonts w:ascii="times" w:hAnsi="times"/>
          <w:sz w:val="20"/>
        </w:rPr>
      </w:pPr>
      <w:r>
        <w:rPr>
          <w:rFonts w:ascii="times" w:hAnsi="times"/>
          <w:sz w:val="20"/>
        </w:rPr>
        <w:t xml:space="preserve">Indicate by check mark if the registrant is submitting the Form 6-K in paper as permitted by Regulation S-T Rule 101 (b)(7): </w:t>
      </w:r>
    </w:p>
    <w:p>
      <w:pPr>
        <w:pStyle w:val="TextBody"/>
        <w:rPr>
          <w:rFonts w:ascii="times" w:hAnsi="times"/>
        </w:rPr>
      </w:pPr>
      <w:r>
        <w:rPr>
          <w:rFonts w:ascii="times" w:hAnsi="times"/>
          <w:b/>
          <w:sz w:val="20"/>
        </w:rPr>
        <w:t>Note:</w:t>
      </w:r>
      <w:r>
        <w:rPr>
          <w:rFonts w:ascii="times" w:hAnsi="times"/>
        </w:rPr>
        <w:t xml:space="preserve"> </w:t>
      </w:r>
      <w:r>
        <w:rPr>
          <w:rFonts w:ascii="times" w:hAnsi="times"/>
          <w:sz w:val="20"/>
        </w:rPr>
        <w:t xml:space="preserve">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 </w:t>
      </w:r>
    </w:p>
    <w:p>
      <w:pPr>
        <w:pStyle w:val="TextBody"/>
        <w:rPr>
          <w:rFonts w:ascii="times" w:hAnsi="times"/>
          <w:sz w:val="20"/>
        </w:rPr>
      </w:pPr>
      <w:r>
        <w:rPr>
          <w:rFonts w:ascii="times" w:hAnsi="times"/>
          <w:sz w:val="20"/>
        </w:rPr>
        <w:t xml:space="preserve">Indicate by check mark whether the registrant by furnishing the information contained in this Form is also thereby furnishing the information to the Commission pursuant to Rule 12g3-2(b) under the Securities Exchange Act of 1934.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ind w:left="200" w:right="0" w:hanging="200"/>
              <w:jc w:val="right"/>
              <w:rPr>
                <w:rFonts w:ascii="times" w:hAnsi="times"/>
                <w:sz w:val="20"/>
              </w:rPr>
            </w:pPr>
            <w:r>
              <w:rPr>
                <w:rFonts w:ascii="times" w:hAnsi="times"/>
                <w:sz w:val="20"/>
              </w:rPr>
              <w:t>Yes</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rFonts w:ascii="WINGDINGS" w:hAnsi="WINGDINGS"/>
                <w:sz w:val="20"/>
              </w:rPr>
            </w:pPr>
            <w:r>
              <w:rPr>
                <w:rFonts w:ascii="WINGDINGS" w:hAnsi="WINGDINGS"/>
                <w:sz w:val="20"/>
              </w:rPr>
              <w:t>o</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No</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pPr>
            <w:r>
              <w:rPr/>
              <w:t>☒</w:t>
            </w:r>
          </w:p>
        </w:tc>
      </w:tr>
    </w:tbl>
    <w:p>
      <w:pPr>
        <w:pStyle w:val="TextBody"/>
        <w:rPr>
          <w:rFonts w:ascii="times" w:hAnsi="times"/>
          <w:sz w:val="20"/>
        </w:rPr>
      </w:pPr>
      <w:r>
        <w:rPr>
          <w:rFonts w:ascii="times" w:hAnsi="times"/>
          <w:sz w:val="20"/>
        </w:rPr>
        <w:t>If "Yes" is marked, indicate below the file number assigned to the registrant in connection with Rule 12g3-2(b) : 82-</w:t>
      </w:r>
      <w:r>
        <w:rPr>
          <w:rFonts w:ascii="times" w:hAnsi="times"/>
          <w:sz w:val="20"/>
          <w:u w:val="single"/>
        </w:rPr>
        <w:t>                             </w:t>
      </w:r>
      <w:r>
        <w:rPr>
          <w:rFonts w:ascii="times" w:hAnsi="times"/>
          <w:sz w:val="20"/>
        </w:rPr>
        <w:t xml:space="preserve">. </w:t>
      </w:r>
    </w:p>
    <w:p>
      <w:pPr>
        <w:pStyle w:val="TextBody"/>
        <w:spacing w:lineRule="atLeast" w:line="141"/>
        <w:ind w:left="360" w:right="0" w:hanging="0"/>
        <w:rPr/>
      </w:pPr>
      <w:r>
        <w:rPr/>
        <w:t xml:space="preserve">    </w:t>
      </w:r>
    </w:p>
    <w:p>
      <w:pPr>
        <w:pStyle w:val="HorizontalLine"/>
        <w:pBdr>
          <w:bottom w:val="single" w:sz="20" w:space="0" w:color="808080"/>
        </w:pBdr>
        <w:rPr/>
      </w:pPr>
      <w:r>
        <w:rPr/>
      </w:r>
      <w:r>
        <w:br w:type="page"/>
      </w:r>
    </w:p>
    <w:p>
      <w:pPr>
        <w:pStyle w:val="TextBody"/>
        <w:jc w:val="center"/>
        <w:rPr>
          <w:rFonts w:ascii="times" w:hAnsi="times"/>
        </w:rPr>
      </w:pPr>
      <w:bookmarkStart w:id="2" w:name="toc_bg72202_1"/>
      <w:bookmarkStart w:id="3" w:name="bg72202_exhibits"/>
      <w:bookmarkEnd w:id="2"/>
      <w:bookmarkEnd w:id="3"/>
      <w:r>
        <w:rPr>
          <w:rFonts w:ascii="times" w:hAnsi="times"/>
          <w:sz w:val="20"/>
        </w:rPr>
        <w:br/>
      </w:r>
      <w:r>
        <w:rPr>
          <w:rFonts w:ascii="times" w:hAnsi="times"/>
          <w:b/>
          <w:sz w:val="20"/>
        </w:rPr>
        <w:t xml:space="preserve">EXHIBITS </w:t>
      </w:r>
    </w:p>
    <w:tbl>
      <w:tblPr>
        <w:tblW w:w="5000" w:type="pct"/>
        <w:jc w:val="center"/>
        <w:tblInd w:w="0" w:type="dxa"/>
        <w:tblCellMar>
          <w:top w:w="0" w:type="dxa"/>
          <w:left w:w="0" w:type="dxa"/>
          <w:bottom w:w="0" w:type="dxa"/>
          <w:right w:w="0" w:type="dxa"/>
        </w:tblCellMar>
      </w:tblPr>
      <w:tblGrid>
        <w:gridCol w:w="3558"/>
        <w:gridCol w:w="585"/>
        <w:gridCol w:w="6062"/>
      </w:tblGrid>
      <w:tr>
        <w:trPr/>
        <w:tc>
          <w:tcPr>
            <w:tcW w:w="3558" w:type="dxa"/>
            <w:tcBorders/>
            <w:shd w:fill="auto" w:val="clear"/>
            <w:vAlign w:val="center"/>
          </w:tcPr>
          <w:p>
            <w:pPr>
              <w:pStyle w:val="TableContents"/>
              <w:spacing w:before="0" w:after="283"/>
              <w:rPr>
                <w:sz w:val="4"/>
                <w:szCs w:val="4"/>
              </w:rPr>
            </w:pPr>
            <w:r>
              <w:rPr>
                <w:sz w:val="4"/>
                <w:szCs w:val="4"/>
              </w:rPr>
            </w:r>
          </w:p>
        </w:tc>
        <w:tc>
          <w:tcPr>
            <w:tcW w:w="585" w:type="dxa"/>
            <w:tcBorders/>
            <w:shd w:fill="auto" w:val="clear"/>
            <w:vAlign w:val="center"/>
          </w:tcPr>
          <w:p>
            <w:pPr>
              <w:pStyle w:val="TableContents"/>
              <w:spacing w:before="0" w:after="283"/>
              <w:rPr>
                <w:sz w:val="4"/>
                <w:szCs w:val="4"/>
              </w:rPr>
            </w:pPr>
            <w:r>
              <w:rPr>
                <w:sz w:val="4"/>
                <w:szCs w:val="4"/>
              </w:rPr>
            </w:r>
          </w:p>
        </w:tc>
        <w:tc>
          <w:tcPr>
            <w:tcW w:w="6062" w:type="dxa"/>
            <w:tcBorders/>
            <w:shd w:fill="auto" w:val="clear"/>
            <w:vAlign w:val="center"/>
          </w:tcPr>
          <w:p>
            <w:pPr>
              <w:pStyle w:val="TableContents"/>
              <w:spacing w:before="0" w:after="283"/>
              <w:rPr>
                <w:sz w:val="4"/>
                <w:szCs w:val="4"/>
              </w:rPr>
            </w:pPr>
            <w:r>
              <w:rPr>
                <w:sz w:val="4"/>
                <w:szCs w:val="4"/>
              </w:rPr>
            </w:r>
          </w:p>
        </w:tc>
      </w:tr>
      <w:tr>
        <w:trPr/>
        <w:tc>
          <w:tcPr>
            <w:tcW w:w="3558"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585" w:type="dxa"/>
            <w:tcBorders/>
            <w:shd w:fill="auto" w:val="clear"/>
            <w:vAlign w:val="bottom"/>
          </w:tcPr>
          <w:p>
            <w:pPr>
              <w:pStyle w:val="TableHeading"/>
              <w:suppressLineNumbers/>
              <w:spacing w:before="0" w:after="283"/>
              <w:jc w:val="center"/>
              <w:rPr/>
            </w:pPr>
            <w:r>
              <w:rPr/>
              <w:t> </w:t>
            </w:r>
          </w:p>
        </w:tc>
        <w:tc>
          <w:tcPr>
            <w:tcW w:w="606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Description </w:t>
            </w:r>
          </w:p>
        </w:tc>
      </w:tr>
      <w:tr>
        <w:trPr/>
        <w:tc>
          <w:tcPr>
            <w:tcW w:w="3558" w:type="dxa"/>
            <w:tcBorders/>
            <w:shd w:fill="auto" w:val="clear"/>
          </w:tcPr>
          <w:p>
            <w:pPr>
              <w:pStyle w:val="TableContents"/>
              <w:spacing w:before="0" w:after="283"/>
              <w:ind w:left="200" w:right="0" w:hanging="200"/>
              <w:rPr>
                <w:rFonts w:ascii="times" w:hAnsi="times"/>
                <w:sz w:val="20"/>
              </w:rPr>
            </w:pPr>
            <w:r>
              <w:rPr>
                <w:rFonts w:ascii="times" w:hAnsi="times"/>
                <w:sz w:val="20"/>
              </w:rPr>
              <w:t>99.1</w:t>
            </w:r>
          </w:p>
        </w:tc>
        <w:tc>
          <w:tcPr>
            <w:tcW w:w="585" w:type="dxa"/>
            <w:tcBorders/>
            <w:shd w:fill="auto" w:val="clear"/>
          </w:tcPr>
          <w:p>
            <w:pPr>
              <w:pStyle w:val="TableContents"/>
              <w:spacing w:before="0" w:after="283"/>
              <w:rPr/>
            </w:pPr>
            <w:r>
              <w:rPr/>
              <w:t> </w:t>
            </w:r>
          </w:p>
        </w:tc>
        <w:tc>
          <w:tcPr>
            <w:tcW w:w="6062" w:type="dxa"/>
            <w:tcBorders/>
            <w:shd w:fill="auto" w:val="clear"/>
          </w:tcPr>
          <w:p>
            <w:pPr>
              <w:pStyle w:val="TableContents"/>
              <w:spacing w:before="0" w:after="283"/>
              <w:rPr>
                <w:rFonts w:ascii="times" w:hAnsi="times"/>
                <w:sz w:val="20"/>
              </w:rPr>
            </w:pPr>
            <w:r>
              <w:rPr>
                <w:rFonts w:ascii="times" w:hAnsi="times"/>
                <w:sz w:val="20"/>
              </w:rPr>
              <w:t>Second Quarter Report</w:t>
            </w:r>
          </w:p>
        </w:tc>
      </w:tr>
    </w:tbl>
    <w:p>
      <w:pPr>
        <w:pStyle w:val="HorizontalLine"/>
        <w:pBdr>
          <w:bottom w:val="single" w:sz="20" w:space="0" w:color="808080"/>
        </w:pBdr>
        <w:rPr/>
      </w:pPr>
      <w:r>
        <w:rPr/>
      </w:r>
      <w:r>
        <w:br w:type="page"/>
      </w:r>
    </w:p>
    <w:p>
      <w:pPr>
        <w:pStyle w:val="TextBody"/>
        <w:jc w:val="center"/>
        <w:rPr>
          <w:rFonts w:ascii="times" w:hAnsi="times"/>
        </w:rPr>
      </w:pPr>
      <w:bookmarkStart w:id="4" w:name="toc_jc72202_1"/>
      <w:bookmarkStart w:id="5" w:name="jc72202_signatures"/>
      <w:bookmarkEnd w:id="4"/>
      <w:bookmarkEnd w:id="5"/>
      <w:r>
        <w:rPr>
          <w:rFonts w:ascii="times" w:hAnsi="times"/>
          <w:sz w:val="20"/>
        </w:rPr>
        <w:br/>
      </w:r>
      <w:r>
        <w:rPr>
          <w:rFonts w:ascii="times" w:hAnsi="times"/>
          <w:b/>
          <w:sz w:val="20"/>
        </w:rPr>
        <w:t xml:space="preserve">SIGNATURES </w:t>
      </w:r>
    </w:p>
    <w:p>
      <w:pPr>
        <w:pStyle w:val="TextBody"/>
        <w:rPr/>
      </w:pPr>
      <w:r>
        <w:rPr/>
        <w:t>        </w:t>
      </w:r>
      <w:r>
        <w:rPr>
          <w:rFonts w:ascii="times" w:hAnsi="times"/>
          <w:sz w:val="20"/>
        </w:rPr>
        <w:t xml:space="preserve">Pursuant to the requirements of the Securities Exchange Act of 1934, the registrant has duly caused this report to be signed on its behalf by the undersigned, thereunto duly authorized. </w:t>
      </w:r>
    </w:p>
    <w:tbl>
      <w:tblPr>
        <w:tblW w:w="5000" w:type="pct"/>
        <w:jc w:val="left"/>
        <w:tblInd w:w="0" w:type="dxa"/>
        <w:tblCellMar>
          <w:top w:w="0" w:type="dxa"/>
          <w:left w:w="0" w:type="dxa"/>
          <w:bottom w:w="0" w:type="dxa"/>
          <w:right w:w="0" w:type="dxa"/>
        </w:tblCellMar>
      </w:tblPr>
      <w:tblGrid>
        <w:gridCol w:w="5341"/>
        <w:gridCol w:w="208"/>
        <w:gridCol w:w="484"/>
        <w:gridCol w:w="207"/>
        <w:gridCol w:w="3965"/>
      </w:tblGrid>
      <w:tr>
        <w:trPr/>
        <w:tc>
          <w:tcPr>
            <w:tcW w:w="5341"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3965" w:type="dxa"/>
            <w:tcBorders/>
            <w:shd w:fill="auto" w:val="clear"/>
            <w:vAlign w:val="center"/>
          </w:tcPr>
          <w:p>
            <w:pPr>
              <w:pStyle w:val="TableContents"/>
              <w:spacing w:before="0" w:after="283"/>
              <w:rPr>
                <w:sz w:val="4"/>
                <w:szCs w:val="4"/>
              </w:rPr>
            </w:pPr>
            <w:r>
              <w:rPr>
                <w:sz w:val="4"/>
                <w:szCs w:val="4"/>
              </w:rPr>
            </w:r>
          </w:p>
        </w:tc>
      </w:tr>
      <w:tr>
        <w:trPr/>
        <w:tc>
          <w:tcPr>
            <w:tcW w:w="5341" w:type="dxa"/>
            <w:tcBorders/>
            <w:shd w:fill="auto" w:val="clear"/>
          </w:tcPr>
          <w:p>
            <w:pPr>
              <w:pStyle w:val="TableContents"/>
              <w:spacing w:before="0" w:after="283"/>
              <w:ind w:left="200" w:right="0" w:hanging="200"/>
              <w:rPr>
                <w:sz w:val="4"/>
                <w:szCs w:val="4"/>
              </w:rPr>
            </w:pPr>
            <w:r>
              <w:rPr>
                <w:sz w:val="4"/>
                <w:szCs w:val="4"/>
              </w:rPr>
            </w:r>
          </w:p>
        </w:tc>
        <w:tc>
          <w:tcPr>
            <w:tcW w:w="208" w:type="dxa"/>
            <w:tcBorders/>
            <w:shd w:fill="auto" w:val="clear"/>
          </w:tcPr>
          <w:p>
            <w:pPr>
              <w:pStyle w:val="TableContents"/>
              <w:spacing w:before="0" w:after="283"/>
              <w:rPr/>
            </w:pPr>
            <w:r>
              <w:rPr/>
              <w:t> </w:t>
            </w:r>
          </w:p>
        </w:tc>
        <w:tc>
          <w:tcPr>
            <w:tcW w:w="4656" w:type="dxa"/>
            <w:gridSpan w:val="3"/>
            <w:tcBorders/>
            <w:shd w:fill="auto" w:val="clear"/>
          </w:tcPr>
          <w:p>
            <w:pPr>
              <w:pStyle w:val="TableContents"/>
              <w:spacing w:before="0" w:after="283"/>
              <w:rPr>
                <w:rFonts w:ascii="times" w:hAnsi="times"/>
                <w:sz w:val="20"/>
              </w:rPr>
            </w:pPr>
            <w:r>
              <w:rPr>
                <w:rFonts w:ascii="times" w:hAnsi="times"/>
                <w:sz w:val="20"/>
              </w:rPr>
              <w:t>AGNICO EAGLE MINES LIMITED</w:t>
              <w:br/>
              <w:t>                        (Registrant)</w:t>
            </w:r>
          </w:p>
        </w:tc>
      </w:tr>
      <w:tr>
        <w:trPr/>
        <w:tc>
          <w:tcPr>
            <w:tcW w:w="5341" w:type="dxa"/>
            <w:tcBorders/>
            <w:shd w:fill="auto" w:val="clear"/>
          </w:tcPr>
          <w:p>
            <w:pPr>
              <w:pStyle w:val="TableContents"/>
              <w:spacing w:before="240" w:after="283"/>
              <w:ind w:left="200" w:right="0" w:hanging="200"/>
              <w:rPr>
                <w:rFonts w:ascii="times" w:hAnsi="times"/>
                <w:sz w:val="20"/>
              </w:rPr>
            </w:pPr>
            <w:r>
              <w:rPr>
                <w:rFonts w:ascii="times" w:hAnsi="times"/>
                <w:sz w:val="20"/>
              </w:rPr>
              <w:t>Date: August 9, 2013</w:t>
            </w:r>
          </w:p>
        </w:tc>
        <w:tc>
          <w:tcPr>
            <w:tcW w:w="208" w:type="dxa"/>
            <w:tcBorders/>
            <w:shd w:fill="auto" w:val="clear"/>
          </w:tcPr>
          <w:p>
            <w:pPr>
              <w:pStyle w:val="TableContents"/>
              <w:spacing w:before="0" w:after="283"/>
              <w:rPr/>
            </w:pPr>
            <w:r>
              <w:rPr/>
              <w:t> </w:t>
            </w:r>
          </w:p>
        </w:tc>
        <w:tc>
          <w:tcPr>
            <w:tcW w:w="484" w:type="dxa"/>
            <w:tcBorders/>
            <w:shd w:fill="auto" w:val="clear"/>
          </w:tcPr>
          <w:p>
            <w:pPr>
              <w:pStyle w:val="TableContents"/>
              <w:spacing w:before="240" w:after="283"/>
              <w:ind w:left="0" w:right="0" w:hanging="0"/>
              <w:jc w:val="left"/>
              <w:rPr>
                <w:rFonts w:ascii="times" w:hAnsi="times"/>
                <w:sz w:val="20"/>
              </w:rPr>
            </w:pPr>
            <w:r>
              <w:rPr>
                <w:rFonts w:ascii="times" w:hAnsi="times"/>
                <w:sz w:val="20"/>
              </w:rPr>
              <w:t>By:</w:t>
            </w:r>
          </w:p>
        </w:tc>
        <w:tc>
          <w:tcPr>
            <w:tcW w:w="207" w:type="dxa"/>
            <w:tcBorders/>
            <w:shd w:fill="auto" w:val="clear"/>
          </w:tcPr>
          <w:p>
            <w:pPr>
              <w:pStyle w:val="TableContents"/>
              <w:spacing w:before="0" w:after="283"/>
              <w:rPr/>
            </w:pPr>
            <w:r>
              <w:rPr/>
              <w:t> </w:t>
            </w:r>
          </w:p>
        </w:tc>
        <w:tc>
          <w:tcPr>
            <w:tcW w:w="3965" w:type="dxa"/>
            <w:tcBorders/>
            <w:shd w:fill="auto" w:val="clear"/>
            <w:vAlign w:val="bottom"/>
          </w:tcPr>
          <w:p>
            <w:pPr>
              <w:pStyle w:val="TableContents"/>
              <w:spacing w:before="240" w:after="283"/>
              <w:ind w:left="0" w:right="0" w:hanging="0"/>
              <w:jc w:val="left"/>
              <w:rPr>
                <w:rFonts w:ascii="times" w:hAnsi="times"/>
              </w:rPr>
            </w:pPr>
            <w:r>
              <w:rPr>
                <w:rFonts w:ascii="times" w:hAnsi="times"/>
              </w:rPr>
              <w:t>/s/ R. GREGORY LAING</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R. Gregory Laing</w:t>
              <w:br/>
              <w:t>General Counsel, Sr. Vice President, Legal</w:t>
              <w:br/>
              <w:t>and Corporate Secretary</w:t>
            </w:r>
          </w:p>
        </w:tc>
      </w:tr>
    </w:tbl>
    <w:p>
      <w:pPr>
        <w:pStyle w:val="TextBody"/>
        <w:rPr>
          <w:rFonts w:ascii="times" w:hAnsi="times"/>
          <w:sz w:val="20"/>
        </w:rPr>
      </w:pPr>
      <w:r>
        <w:rPr>
          <w:rFonts w:ascii="times" w:hAnsi="times"/>
          <w:sz w:val="20"/>
        </w:rPr>
        <w:t xml:space="preserve">Exhibit Number 99.1 submitted with this Form 6-K is hereby incorporated by reference into Agnico Eagle Mines Limited's registration statements on Form F-10 (Reg. No. 333-174751), Form S-8 (Reg. Nos. 333-130339 and 333-152004) and Form F-3D (Reg. No. 333-183723). </w:t>
      </w:r>
    </w:p>
    <w:p>
      <w:pPr>
        <w:pStyle w:val="HorizontalLine"/>
        <w:pBdr>
          <w:bottom w:val="single" w:sz="20" w:space="0" w:color="808080"/>
        </w:pBdr>
        <w:rPr/>
      </w:pPr>
      <w:r>
        <w:rPr/>
      </w:r>
      <w:r>
        <w:br w:type="page"/>
      </w:r>
    </w:p>
    <w:p>
      <w:pPr>
        <w:pStyle w:val="TextBody"/>
        <w:rPr/>
      </w:pPr>
      <w:r>
        <w:rPr/>
      </w:r>
    </w:p>
    <w:p>
      <w:pPr>
        <w:pStyle w:val="TextBody"/>
        <w:rPr/>
      </w:pPr>
      <w:r>
        <w:rPr/>
        <w:br/>
      </w:r>
      <w:bookmarkStart w:id="6" w:name="13ZBT72202_1"/>
      <w:bookmarkEnd w:id="6"/>
      <w:r>
        <w:rPr/>
        <w:t>QuickLinks</w:t>
      </w:r>
    </w:p>
    <w:p>
      <w:pPr>
        <w:pStyle w:val="TextBody"/>
        <w:rPr/>
      </w:pPr>
      <w:hyperlink w:anchor="toc_bg72202_1">
        <w:r>
          <w:rPr>
            <w:rStyle w:val="InternetLink"/>
            <w:rFonts w:ascii="times" w:hAnsi="times"/>
            <w:sz w:val="20"/>
          </w:rPr>
          <w:t>EXHIBITS</w:t>
        </w:r>
      </w:hyperlink>
      <w:r>
        <w:rPr/>
        <w:br/>
      </w:r>
      <w:hyperlink w:anchor="toc_jc72202_1">
        <w:r>
          <w:rPr>
            <w:rStyle w:val="InternetLink"/>
            <w:rFonts w:ascii="times" w:hAnsi="times"/>
            <w:sz w:val="20"/>
          </w:rPr>
          <w:t>SIGNATURES</w:t>
        </w:r>
      </w:hyperlink>
      <w:r>
        <w:br w:type="page"/>
      </w:r>
    </w:p>
    <w:p>
      <w:pPr>
        <w:pStyle w:val="TextBody"/>
        <w:rPr/>
      </w:pPr>
      <w:bookmarkStart w:id="7" w:name="a2215629zex-99_1.htm"/>
      <w:bookmarkStart w:id="8" w:name="ksa2215629zex99_1"/>
      <w:bookmarkEnd w:id="7"/>
      <w:bookmarkEnd w:id="8"/>
      <w:r>
        <w:rPr/>
        <w:br/>
      </w:r>
      <w:hyperlink w:anchor="13ZBT72202_2">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pPr>
      <w:r>
        <w:rPr/>
        <w:drawing>
          <wp:inline distT="0" distB="0" distL="0" distR="0">
            <wp:extent cx="258127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81275" cy="1238250"/>
                    </a:xfrm>
                    <a:prstGeom prst="rect">
                      <a:avLst/>
                    </a:prstGeom>
                  </pic:spPr>
                </pic:pic>
              </a:graphicData>
            </a:graphic>
          </wp:inline>
        </w:drawing>
      </w:r>
      <w:r>
        <w:rPr/>
        <w:t xml:space="preserve"> </w:t>
      </w:r>
    </w:p>
    <w:p>
      <w:pPr>
        <w:pStyle w:val="TextBody"/>
        <w:jc w:val="center"/>
        <w:rPr>
          <w:rFonts w:ascii="times" w:hAnsi="times"/>
        </w:rPr>
      </w:pPr>
      <w:bookmarkStart w:id="9" w:name="toc_be72201_1"/>
      <w:bookmarkStart w:id="10" w:name="be72201_second_quarter_report_2013"/>
      <w:bookmarkEnd w:id="9"/>
      <w:bookmarkEnd w:id="10"/>
      <w:r>
        <w:rPr>
          <w:rFonts w:ascii="times" w:hAnsi="times"/>
          <w:sz w:val="20"/>
        </w:rPr>
        <w:br/>
      </w:r>
      <w:r>
        <w:rPr>
          <w:rFonts w:ascii="times" w:hAnsi="times"/>
          <w:b/>
          <w:sz w:val="36"/>
        </w:rPr>
        <w:t xml:space="preserve">Second Quarter Report 2013 </w:t>
      </w:r>
    </w:p>
    <w:p>
      <w:pPr>
        <w:pStyle w:val="HorizontalLine"/>
        <w:pBdr>
          <w:bottom w:val="single" w:sz="20" w:space="0" w:color="808080"/>
        </w:pBdr>
        <w:rPr/>
      </w:pPr>
      <w:r>
        <w:rPr/>
      </w:r>
      <w:r>
        <w:br w:type="page"/>
      </w:r>
    </w:p>
    <w:p>
      <w:pPr>
        <w:pStyle w:val="TextBody"/>
        <w:jc w:val="center"/>
        <w:rPr>
          <w:rFonts w:ascii="times" w:hAnsi="times"/>
        </w:rPr>
      </w:pPr>
      <w:bookmarkStart w:id="11" w:name="toc_de72201_1"/>
      <w:bookmarkStart w:id="12" w:name="de72201_agnico_eagle_mines_limited_man__"/>
      <w:bookmarkStart w:id="13" w:name="page_de72201_1_1"/>
      <w:bookmarkEnd w:id="11"/>
      <w:bookmarkEnd w:id="12"/>
      <w:bookmarkEnd w:id="13"/>
      <w:r>
        <w:rPr>
          <w:rFonts w:ascii="times" w:hAnsi="times"/>
          <w:sz w:val="20"/>
        </w:rPr>
        <w:br/>
      </w:r>
      <w:r>
        <w:rPr>
          <w:rFonts w:ascii="times" w:hAnsi="times"/>
          <w:b/>
          <w:sz w:val="20"/>
        </w:rPr>
        <w:t>AGNICO EAGLE MINES LIMITED</w:t>
        <w:br/>
        <w:br/>
        <w:t>MANAGEMENT'S DISCUSSION AND ANALYSIS</w:t>
        <w:br/>
        <w:br/>
        <w:t>(Prepared in accordance with United States GAAP)</w:t>
        <w:br/>
        <w:t xml:space="preserve">for the three and six months ended June 30, 2013 </w:t>
      </w:r>
    </w:p>
    <w:p>
      <w:pPr>
        <w:pStyle w:val="TextBody"/>
        <w:rPr/>
      </w:pPr>
      <w:r>
        <w:rPr/>
        <w:t>        </w:t>
      </w:r>
      <w:r>
        <w:rPr>
          <w:rFonts w:ascii="times" w:hAnsi="times"/>
          <w:sz w:val="20"/>
        </w:rPr>
        <w:t xml:space="preserve">This Management's Discussion and Analysis ("MD&amp;A") dated August 9, 2013 of Agnico Eagle Mines Limited ("Agnico Eagle" or the "Company") should be read in conjunction with the Company's interim unaudited consolidated financial statements for the three and six months ended June 30, 2013, prepared in accordance with United States generally accepted accounting principles ("US GAAP"). This MD&amp;A should also be read in conjunction with the MD&amp;A and consolidated financial statements included in the Company's Annual Report on Form 20-F for the year ended December 31, 2012 (the "Form 20-F"). The interim unaudited consolidated financial statements and MD&amp;A are presented in United States dollars ("US dollars", "$" or "US$") and all units of measurement are expressed in metric, unless otherwise specified. Certain information in this MD&amp;A is presented in Canadian dollars ("C$") or European Union euros ("Euro" or "€"). Additional information relating to the Company, including critical accounting estimates and risk factors in the Form 20-F, is available on the Canadian Securities Administrators' (the "CSA") SEDAR website at www.sedar.com. </w:t>
      </w:r>
    </w:p>
    <w:p>
      <w:pPr>
        <w:pStyle w:val="TextBody"/>
        <w:rPr>
          <w:rFonts w:ascii="times" w:hAnsi="times"/>
          <w:b/>
          <w:sz w:val="20"/>
        </w:rPr>
      </w:pPr>
      <w:r>
        <w:rPr>
          <w:rFonts w:ascii="times" w:hAnsi="times"/>
          <w:b/>
          <w:sz w:val="20"/>
        </w:rPr>
        <w:t xml:space="preserve">Business Overview </w:t>
      </w:r>
    </w:p>
    <w:p>
      <w:pPr>
        <w:pStyle w:val="TextBody"/>
        <w:rPr/>
      </w:pPr>
      <w:r>
        <w:rPr/>
        <w:t>        </w:t>
      </w:r>
      <w:r>
        <w:rPr>
          <w:rFonts w:ascii="times" w:hAnsi="times"/>
          <w:sz w:val="20"/>
        </w:rPr>
        <w:t xml:space="preserve">Agnico Eagle is a gold mining company with mining operations in Canada, Mexico and Finland, and exploration activities in Canada, Europe, Latin America and the United States. Agnico Eagle's LaRonde mine in Quebec is one of Canada's largest operating gold mines by gold reserves and has served as the Company's foundation for domestic and international expansion. Agnico Eagle earns a significant proportion of its revenue and cash flow from the production and sale of gold in both dore bar and concentrate form. The remainder of revenue and cash flow is generated by the production and sale of byproduct metals, including silver, zinc, copper and lead. Throughout its 41-year history, Agnico Eagle's policy has been not to sell forward its future gold production. </w:t>
      </w:r>
    </w:p>
    <w:p>
      <w:pPr>
        <w:pStyle w:val="TextBody"/>
        <w:rPr/>
      </w:pPr>
      <w:r>
        <w:rPr/>
        <w:t>        </w:t>
      </w:r>
      <w:r>
        <w:rPr>
          <w:rFonts w:ascii="times" w:hAnsi="times"/>
          <w:sz w:val="20"/>
        </w:rPr>
        <w:t xml:space="preserve">Over the past four years, Agnico Eagle has evolved from operating two gold mines in Canada to being an international gold mining company operating five gold mines in the second quarter of 2013. Each mine is located in what the Company believes to be a politically stable country that is supportive of the mining industry. The political stability of the regions in which Agnico Eagle operates helps to provide confidence in its current and future prospects and profitability. This is important for Agnico Eagle as it believes that many of its new mines and recently acquired mining projects have long-term mining potential. </w:t>
      </w:r>
    </w:p>
    <w:p>
      <w:pPr>
        <w:pStyle w:val="TextBody"/>
        <w:rPr>
          <w:rFonts w:ascii="times" w:hAnsi="times"/>
          <w:b/>
          <w:sz w:val="20"/>
        </w:rPr>
      </w:pPr>
      <w:r>
        <w:rPr>
          <w:rFonts w:ascii="times" w:hAnsi="times"/>
          <w:b/>
          <w:sz w:val="20"/>
        </w:rPr>
        <w:t xml:space="preserve">Financial and Operating Results </w:t>
      </w:r>
    </w:p>
    <w:p>
      <w:pPr>
        <w:pStyle w:val="TextBody"/>
        <w:rPr>
          <w:rFonts w:ascii="times" w:hAnsi="times"/>
          <w:b/>
          <w:i/>
          <w:sz w:val="20"/>
        </w:rPr>
      </w:pPr>
      <w:r>
        <w:rPr>
          <w:rFonts w:ascii="times" w:hAnsi="times"/>
          <w:b/>
          <w:i/>
          <w:sz w:val="20"/>
        </w:rPr>
        <w:t xml:space="preserve">Balance Sheet Review </w:t>
      </w:r>
    </w:p>
    <w:p>
      <w:pPr>
        <w:pStyle w:val="TextBody"/>
        <w:rPr/>
      </w:pPr>
      <w:r>
        <w:rPr/>
        <w:t>        </w:t>
      </w:r>
      <w:r>
        <w:rPr>
          <w:rFonts w:ascii="times" w:hAnsi="times"/>
          <w:sz w:val="20"/>
        </w:rPr>
        <w:t xml:space="preserve">Total assets at June 30, 2013 of $5,250.8 million were comparable with December 31, 2012 total assets of $5,255.8 million. Cash and cash equivalents amounted to $107.4 million at June 30, 2013, down from $298.1 million at December 31, 2012 due primarily to lower average realized gold prices during the period. Available-for-sale securities increased from $44.7 million at December 31, 2012 to $68.8 million at June 30, 2013 due primarily to $45.1 million in new investments, offset partially by $28.3 million in impairments recorded during the period. Long-term ore in stockpile declined by 32.5% to $22.1 million at June 30, 2013 compared with December 31, 2012 due primarily to stockpile drawdowns at the Meadowbank mine. Goodwill increased by $6.1 million between December 31, 2012 and June 30, 2013 due to the acquisition of Urastar Gold Corp. on May 16, 2013. Property, plant and mine development increased by $173.7 million to $4,241.1 million at June 30, 2013 compared with December 31, 2012 due primarily to increases in construction in progress at the La India project, Goldex mine M and E Zones and Meliadine project. </w:t>
      </w:r>
    </w:p>
    <w:p>
      <w:pPr>
        <w:pStyle w:val="TextBody"/>
        <w:rPr/>
      </w:pPr>
      <w:r>
        <w:rPr/>
        <w:t>        </w:t>
      </w:r>
      <w:r>
        <w:rPr>
          <w:rFonts w:ascii="times" w:hAnsi="times"/>
          <w:sz w:val="20"/>
        </w:rPr>
        <w:t xml:space="preserve">The Company has analysed its operating mines and development projects for impairment as of June 30, 2013 and concluded no impairment charges were required. In the circumstance where the spot price of gold remains persistently low and the expectations of future realizable gold prices are lowered from current expectations, there is a possibility of future impairment charges to the Company's mining assets. </w:t>
      </w:r>
    </w:p>
    <w:p>
      <w:pPr>
        <w:pStyle w:val="TextBody"/>
        <w:jc w:val="center"/>
        <w:rPr>
          <w:rFonts w:ascii="times" w:hAnsi="times"/>
          <w:sz w:val="20"/>
        </w:rPr>
      </w:pPr>
      <w:r>
        <w:rPr>
          <w:rFonts w:ascii="times" w:hAnsi="times"/>
          <w:sz w:val="20"/>
        </w:rPr>
        <w:t>1</w:t>
      </w:r>
    </w:p>
    <w:p>
      <w:pPr>
        <w:pStyle w:val="HorizontalLine"/>
        <w:pBdr>
          <w:bottom w:val="single" w:sz="20" w:space="0" w:color="808080"/>
        </w:pBdr>
        <w:rPr/>
      </w:pPr>
      <w:r>
        <w:rPr/>
      </w:r>
      <w:r>
        <w:br w:type="page"/>
      </w:r>
    </w:p>
    <w:p>
      <w:pPr>
        <w:pStyle w:val="TextBody"/>
        <w:rPr/>
      </w:pPr>
      <w:bookmarkStart w:id="14" w:name="page_de72201_1_2"/>
      <w:bookmarkEnd w:id="14"/>
      <w:r>
        <w:rPr/>
        <w:t>        </w:t>
      </w:r>
      <w:r>
        <w:rPr>
          <w:rFonts w:ascii="times" w:hAnsi="times"/>
          <w:sz w:val="20"/>
        </w:rPr>
        <w:t xml:space="preserve">Total liabilities decreased to $1,834.0 million at June 30, 2013 from $1,845.6 million at December 31, 2012 due primarily to the payment of $37.9 million recorded as dividends payable at December 31, 2012 and to an increase in the outstanding balance under the Credit Facility from $30.0 million at December 31, 2012 to $50.0 million at June 30, 2013. </w:t>
      </w:r>
    </w:p>
    <w:p>
      <w:pPr>
        <w:pStyle w:val="TextBody"/>
        <w:rPr>
          <w:rFonts w:ascii="times" w:hAnsi="times"/>
          <w:i/>
          <w:sz w:val="20"/>
        </w:rPr>
      </w:pPr>
      <w:r>
        <w:rPr>
          <w:rFonts w:ascii="times" w:hAnsi="times"/>
          <w:i/>
          <w:sz w:val="20"/>
        </w:rPr>
        <w:t xml:space="preserve">Fair Value of Derivative Financial Instruments </w:t>
      </w:r>
    </w:p>
    <w:p>
      <w:pPr>
        <w:pStyle w:val="TextBody"/>
        <w:rPr/>
      </w:pPr>
      <w:r>
        <w:rPr/>
        <w:t>        </w:t>
      </w:r>
      <w:r>
        <w:rPr>
          <w:rFonts w:ascii="times" w:hAnsi="times"/>
          <w:sz w:val="20"/>
        </w:rPr>
        <w:t xml:space="preserve">The Company enters into contracts to limit the risk associated with decreased byproduct metal prices, increased foreign currency costs (including capital expenditures) and input costs. The contracts act as economic hedges of underlying exposures and are not held for speculative purposes. Agnico Eagle does not use complex derivative contracts to hedge exposures. The fair value of the Company's derivative financial instruments is outlined in the financial instruments note to the interim unaudited consolidated financial statements. </w:t>
      </w:r>
    </w:p>
    <w:p>
      <w:pPr>
        <w:pStyle w:val="TextBody"/>
        <w:rPr>
          <w:rFonts w:ascii="times" w:hAnsi="times"/>
          <w:b/>
          <w:i/>
          <w:sz w:val="20"/>
        </w:rPr>
      </w:pPr>
      <w:r>
        <w:rPr>
          <w:rFonts w:ascii="times" w:hAnsi="times"/>
          <w:b/>
          <w:i/>
          <w:sz w:val="20"/>
        </w:rPr>
        <w:t xml:space="preserve">Results of Operations </w:t>
      </w:r>
    </w:p>
    <w:p>
      <w:pPr>
        <w:pStyle w:val="TextBody"/>
        <w:rPr/>
      </w:pPr>
      <w:r>
        <w:rPr/>
        <w:t>        </w:t>
      </w:r>
      <w:r>
        <w:rPr>
          <w:rFonts w:ascii="times" w:hAnsi="times"/>
          <w:sz w:val="20"/>
        </w:rPr>
        <w:t xml:space="preserve">Agnico Eagle reported a net loss of $24.4 million, or $0.14 per share, in the second quarter of 2013 compared with net income of $43.3 million, or $0.25 per share, in the second quarter of 2012. In the second quarter of 2013, the operating margin (revenue from mining operations less production costs) decreased to $110.5 million from $239.7 million in the second quarter of 2012 due primarily to a 16.6% decrease in the average realized price of gold, a 15.5% decrease in gold production and a 2.7% increase in production costs. Gold production decreased to 224,089 ounces in the second quarter of 2013 compared with 265,350 ounces in the second quarter of 2012 due primarily to the Kittila mine's extended mill shutdown to facilitate the relining of its autoclave during the second quarter of 2013. Cash provided by operating activities amounted to $75.3 million in the second quarter of 2013 compared with $194.1 million in the second quarter of 2012. Total weighted average cash costs per ounce of gold produced amounted to $785 in the second quarter of 2013 compared with $660 in the second quarter of 2012. </w:t>
      </w:r>
    </w:p>
    <w:p>
      <w:pPr>
        <w:pStyle w:val="TextBody"/>
        <w:rPr/>
      </w:pPr>
      <w:r>
        <w:rPr/>
        <w:t>        </w:t>
      </w:r>
      <w:r>
        <w:rPr>
          <w:rFonts w:ascii="times" w:hAnsi="times"/>
          <w:sz w:val="20"/>
        </w:rPr>
        <w:t xml:space="preserve">In the first six months of 2013, Agnico Eagle reported a net loss of $0.5 million, or $0.00 per share compared with net income of $121.8 million, or $0.71 per share, in the first six months of 2012. The operating margin (revenue from mining operations less production costs) decreased to $300.8 million in the first six months of 2013 from $497.6 million in the first six months of 2012 due primarily to an 11.4% decrease in gold production, a 10.2% decrease in the average realized price of gold and a 4.8% increase in production costs. Gold production decreased to 461,064 ounces in the first six months of 2013 compared with 520,305 ounces in the first six months of 2012 due primarily to the Kittila mine's extended mill shutdown to facilitate the relining of its autoclave during the second quarter of 2013 and the temporary suspension of active leaching at the Creston Mascota deposit at Pinos Altos during the first quarter of 2013. Cash provided by operating activities amounted to $221.4 million in the first six months of 2013 compared with $390.6 million in the first six months of 2012. Total weighted average cash costs per ounce of gold produced amounted to $762 in the first six months of 2013 compared with $628 in the first six months of 2012. </w:t>
      </w:r>
    </w:p>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rPr/>
      </w:pPr>
      <w:bookmarkStart w:id="15" w:name="page_de72201_1_3"/>
      <w:bookmarkEnd w:id="15"/>
      <w:r>
        <w:rPr/>
        <w:t>        </w:t>
      </w:r>
      <w:r>
        <w:rPr>
          <w:rFonts w:ascii="times" w:hAnsi="times"/>
          <w:sz w:val="20"/>
        </w:rPr>
        <w:t xml:space="preserve">The table below summarizes variances in the key drivers of net income for the three and six months ended June 30, 2013 compared with the three and six months ended June 30, 2012: </w:t>
      </w:r>
    </w:p>
    <w:tbl>
      <w:tblPr>
        <w:tblW w:w="5000" w:type="pct"/>
        <w:jc w:val="center"/>
        <w:tblInd w:w="0" w:type="dxa"/>
        <w:tblCellMar>
          <w:top w:w="0" w:type="dxa"/>
          <w:left w:w="0" w:type="dxa"/>
          <w:bottom w:w="0" w:type="dxa"/>
          <w:right w:w="0" w:type="dxa"/>
        </w:tblCellMar>
      </w:tblPr>
      <w:tblGrid>
        <w:gridCol w:w="5478"/>
        <w:gridCol w:w="185"/>
        <w:gridCol w:w="147"/>
        <w:gridCol w:w="2016"/>
        <w:gridCol w:w="185"/>
        <w:gridCol w:w="151"/>
        <w:gridCol w:w="1857"/>
        <w:gridCol w:w="186"/>
      </w:tblGrid>
      <w:tr>
        <w:trPr/>
        <w:tc>
          <w:tcPr>
            <w:tcW w:w="5478"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2016"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1857"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r>
      <w:tr>
        <w:trPr/>
        <w:tc>
          <w:tcPr>
            <w:tcW w:w="5478"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(millions of United States dollars) </w:t>
            </w:r>
          </w:p>
        </w:tc>
        <w:tc>
          <w:tcPr>
            <w:tcW w:w="185" w:type="dxa"/>
            <w:tcBorders/>
            <w:shd w:fill="auto" w:val="clear"/>
            <w:vAlign w:val="bottom"/>
          </w:tcPr>
          <w:p>
            <w:pPr>
              <w:pStyle w:val="TableHeading"/>
              <w:suppressLineNumbers/>
              <w:spacing w:before="0" w:after="283"/>
              <w:jc w:val="center"/>
              <w:rPr/>
            </w:pPr>
            <w:r>
              <w:rPr/>
              <w:t> </w:t>
            </w:r>
          </w:p>
        </w:tc>
        <w:tc>
          <w:tcPr>
            <w:tcW w:w="216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 June 30, 2013</w:t>
              <w:br/>
              <w:t>vs. Three Months Ended</w:t>
              <w:br/>
              <w:t xml:space="preserve">June 30, 2012 </w:t>
            </w:r>
          </w:p>
        </w:tc>
        <w:tc>
          <w:tcPr>
            <w:tcW w:w="185" w:type="dxa"/>
            <w:tcBorders/>
            <w:shd w:fill="auto" w:val="clear"/>
            <w:vAlign w:val="bottom"/>
          </w:tcPr>
          <w:p>
            <w:pPr>
              <w:pStyle w:val="TableHeading"/>
              <w:suppressLineNumbers/>
              <w:spacing w:before="0" w:after="283"/>
              <w:jc w:val="center"/>
              <w:rPr/>
            </w:pPr>
            <w:r>
              <w:rPr/>
              <w:t> </w:t>
            </w:r>
          </w:p>
        </w:tc>
        <w:tc>
          <w:tcPr>
            <w:tcW w:w="200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 June 30, 2013</w:t>
              <w:br/>
              <w:t>vs. Six Months Ended</w:t>
              <w:br/>
              <w:t xml:space="preserve">June 30, 2012 </w:t>
            </w:r>
          </w:p>
        </w:tc>
        <w:tc>
          <w:tcPr>
            <w:tcW w:w="186" w:type="dxa"/>
            <w:tcBorders/>
            <w:shd w:fill="auto" w:val="clear"/>
            <w:vAlign w:val="bottom"/>
          </w:tcPr>
          <w:p>
            <w:pPr>
              <w:pStyle w:val="TableHeading"/>
              <w:suppressLineNumbers/>
              <w:spacing w:before="0" w:after="283"/>
              <w:jc w:val="center"/>
              <w:rPr/>
            </w:pPr>
            <w:r>
              <w:rPr/>
              <w:t> </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gold revenue</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(112.2</w:t>
            </w:r>
          </w:p>
        </w:tc>
        <w:tc>
          <w:tcPr>
            <w:tcW w:w="18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1"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(145.5</w:t>
            </w:r>
          </w:p>
        </w:tc>
        <w:tc>
          <w:tcPr>
            <w:tcW w:w="186"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 in silver revenue</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(5.7</w:t>
            </w:r>
          </w:p>
        </w:tc>
        <w:tc>
          <w:tcPr>
            <w:tcW w:w="18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1" w:type="dxa"/>
            <w:tcBorders/>
            <w:shd w:fill="FFFFFF" w:val="clear"/>
            <w:vAlign w:val="bottom"/>
          </w:tcPr>
          <w:p>
            <w:pPr>
              <w:pStyle w:val="TableContents"/>
              <w:spacing w:before="0" w:after="283"/>
              <w:rPr/>
            </w:pPr>
            <w:r>
              <w:rPr/>
              <w:t> </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(13.4</w:t>
            </w:r>
          </w:p>
        </w:tc>
        <w:tc>
          <w:tcPr>
            <w:tcW w:w="186"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zinc revenue</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(7.5</w:t>
            </w:r>
          </w:p>
        </w:tc>
        <w:tc>
          <w:tcPr>
            <w:tcW w:w="18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1" w:type="dxa"/>
            <w:tcBorders/>
            <w:shd w:fill="CCEEFF" w:val="clear"/>
            <w:vAlign w:val="bottom"/>
          </w:tcPr>
          <w:p>
            <w:pPr>
              <w:pStyle w:val="TableContents"/>
              <w:spacing w:before="0" w:after="283"/>
              <w:rPr/>
            </w:pPr>
            <w:r>
              <w:rPr/>
              <w:t> </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(16.3</w:t>
            </w:r>
          </w:p>
        </w:tc>
        <w:tc>
          <w:tcPr>
            <w:tcW w:w="186"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(decrease) in copper and lead revenue</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2.3</w:t>
            </w:r>
          </w:p>
        </w:tc>
        <w:tc>
          <w:tcPr>
            <w:tcW w:w="185"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(0.4</w:t>
            </w:r>
          </w:p>
        </w:tc>
        <w:tc>
          <w:tcPr>
            <w:tcW w:w="186"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production costs due to weaker Canadian dollar</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2.0</w:t>
            </w:r>
          </w:p>
        </w:tc>
        <w:tc>
          <w:tcPr>
            <w:tcW w:w="18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3.6</w:t>
            </w:r>
          </w:p>
        </w:tc>
        <w:tc>
          <w:tcPr>
            <w:tcW w:w="186" w:type="dxa"/>
            <w:tcBorders/>
            <w:shd w:fill="CCEEFF" w:val="clear"/>
            <w:vAlign w:val="bottom"/>
          </w:tcPr>
          <w:p>
            <w:pPr>
              <w:pStyle w:val="TableContents"/>
              <w:spacing w:before="0" w:after="283"/>
              <w:rPr/>
            </w:pPr>
            <w:r>
              <w:rPr/>
              <w:t> </w:t>
            </w:r>
          </w:p>
        </w:tc>
      </w:tr>
      <w:tr>
        <w:trPr/>
        <w:tc>
          <w:tcPr>
            <w:tcW w:w="54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in production costs</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(8.0</w:t>
            </w:r>
          </w:p>
        </w:tc>
        <w:tc>
          <w:tcPr>
            <w:tcW w:w="18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1" w:type="dxa"/>
            <w:tcBorders/>
            <w:shd w:fill="FFFFFF" w:val="clear"/>
            <w:vAlign w:val="bottom"/>
          </w:tcPr>
          <w:p>
            <w:pPr>
              <w:pStyle w:val="TableContents"/>
              <w:spacing w:before="0" w:after="283"/>
              <w:rPr/>
            </w:pPr>
            <w:r>
              <w:rPr/>
              <w:t> </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(24.6</w:t>
            </w:r>
          </w:p>
        </w:tc>
        <w:tc>
          <w:tcPr>
            <w:tcW w:w="186"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amortization of property, plant and mine development</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(3.8</w:t>
            </w:r>
          </w:p>
        </w:tc>
        <w:tc>
          <w:tcPr>
            <w:tcW w:w="18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1" w:type="dxa"/>
            <w:tcBorders/>
            <w:shd w:fill="CCEEFF" w:val="clear"/>
            <w:vAlign w:val="bottom"/>
          </w:tcPr>
          <w:p>
            <w:pPr>
              <w:pStyle w:val="TableContents"/>
              <w:spacing w:before="0" w:after="283"/>
              <w:rPr/>
            </w:pPr>
            <w:r>
              <w:rPr/>
              <w:t> </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(9.3</w:t>
            </w:r>
          </w:p>
        </w:tc>
        <w:tc>
          <w:tcPr>
            <w:tcW w:w="186"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Change in non cash foreign currency translation</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0.1</w:t>
            </w:r>
          </w:p>
        </w:tc>
        <w:tc>
          <w:tcPr>
            <w:tcW w:w="185"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12.0</w:t>
            </w:r>
          </w:p>
        </w:tc>
        <w:tc>
          <w:tcPr>
            <w:tcW w:w="186" w:type="dxa"/>
            <w:tcBorders/>
            <w:shd w:fill="FFFFFF" w:val="clear"/>
            <w:vAlign w:val="bottom"/>
          </w:tcPr>
          <w:p>
            <w:pPr>
              <w:pStyle w:val="TableContents"/>
              <w:spacing w:before="0" w:after="283"/>
              <w:rPr/>
            </w:pPr>
            <w:r>
              <w:rPr/>
              <w:t> </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income and mining taxes</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33.0</w:t>
            </w:r>
          </w:p>
        </w:tc>
        <w:tc>
          <w:tcPr>
            <w:tcW w:w="18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37.2</w:t>
            </w:r>
          </w:p>
        </w:tc>
        <w:tc>
          <w:tcPr>
            <w:tcW w:w="186" w:type="dxa"/>
            <w:tcBorders/>
            <w:shd w:fill="CCEEFF" w:val="clear"/>
            <w:vAlign w:val="bottom"/>
          </w:tcPr>
          <w:p>
            <w:pPr>
              <w:pStyle w:val="TableContents"/>
              <w:spacing w:before="0" w:after="283"/>
              <w:rPr/>
            </w:pPr>
            <w:r>
              <w:rPr/>
              <w:t> </w:t>
            </w:r>
          </w:p>
        </w:tc>
      </w:tr>
      <w:tr>
        <w:trPr/>
        <w:tc>
          <w:tcPr>
            <w:tcW w:w="54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 in interest expense</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0.5</w:t>
            </w:r>
          </w:p>
        </w:tc>
        <w:tc>
          <w:tcPr>
            <w:tcW w:w="185"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1.0</w:t>
            </w:r>
          </w:p>
        </w:tc>
        <w:tc>
          <w:tcPr>
            <w:tcW w:w="186" w:type="dxa"/>
            <w:tcBorders/>
            <w:shd w:fill="FFFFFF" w:val="clear"/>
            <w:vAlign w:val="bottom"/>
          </w:tcPr>
          <w:p>
            <w:pPr>
              <w:pStyle w:val="TableContents"/>
              <w:spacing w:before="0" w:after="283"/>
              <w:rPr/>
            </w:pPr>
            <w:r>
              <w:rPr/>
              <w:t> </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general and administrative expense</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3.6</w:t>
            </w:r>
          </w:p>
        </w:tc>
        <w:tc>
          <w:tcPr>
            <w:tcW w:w="18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0.2</w:t>
            </w:r>
          </w:p>
        </w:tc>
        <w:tc>
          <w:tcPr>
            <w:tcW w:w="186" w:type="dxa"/>
            <w:tcBorders/>
            <w:shd w:fill="CCEEFF" w:val="clear"/>
            <w:vAlign w:val="bottom"/>
          </w:tcPr>
          <w:p>
            <w:pPr>
              <w:pStyle w:val="TableContents"/>
              <w:spacing w:before="0" w:after="283"/>
              <w:rPr/>
            </w:pPr>
            <w:r>
              <w:rPr/>
              <w:t> </w:t>
            </w:r>
          </w:p>
        </w:tc>
      </w:tr>
      <w:tr>
        <w:trPr/>
        <w:tc>
          <w:tcPr>
            <w:tcW w:w="54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 in exploration and corporate development expenses</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23.0</w:t>
            </w:r>
          </w:p>
        </w:tc>
        <w:tc>
          <w:tcPr>
            <w:tcW w:w="185"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37.5</w:t>
            </w:r>
          </w:p>
        </w:tc>
        <w:tc>
          <w:tcPr>
            <w:tcW w:w="186" w:type="dxa"/>
            <w:tcBorders/>
            <w:shd w:fill="FFFFFF" w:val="clear"/>
            <w:vAlign w:val="bottom"/>
          </w:tcPr>
          <w:p>
            <w:pPr>
              <w:pStyle w:val="TableContents"/>
              <w:spacing w:before="0" w:after="283"/>
              <w:rPr/>
            </w:pPr>
            <w:r>
              <w:rPr/>
              <w:t> </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impairment loss on available-for-sale securities</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(5.7</w:t>
            </w:r>
          </w:p>
        </w:tc>
        <w:tc>
          <w:tcPr>
            <w:tcW w:w="18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1" w:type="dxa"/>
            <w:tcBorders/>
            <w:shd w:fill="CCEEFF" w:val="clear"/>
            <w:vAlign w:val="bottom"/>
          </w:tcPr>
          <w:p>
            <w:pPr>
              <w:pStyle w:val="TableContents"/>
              <w:spacing w:before="0" w:after="283"/>
              <w:rPr/>
            </w:pPr>
            <w:r>
              <w:rPr/>
              <w:t> </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(16.7</w:t>
            </w:r>
          </w:p>
        </w:tc>
        <w:tc>
          <w:tcPr>
            <w:tcW w:w="186"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Change in loss on sale of available-for-sale securities</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6.7</w:t>
            </w:r>
          </w:p>
        </w:tc>
        <w:tc>
          <w:tcPr>
            <w:tcW w:w="185"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6.7</w:t>
            </w:r>
          </w:p>
        </w:tc>
        <w:tc>
          <w:tcPr>
            <w:tcW w:w="186" w:type="dxa"/>
            <w:tcBorders/>
            <w:shd w:fill="FFFFFF" w:val="clear"/>
            <w:vAlign w:val="bottom"/>
          </w:tcPr>
          <w:p>
            <w:pPr>
              <w:pStyle w:val="TableContents"/>
              <w:spacing w:before="0" w:after="283"/>
              <w:rPr/>
            </w:pPr>
            <w:r>
              <w:rPr/>
              <w:t> </w:t>
            </w:r>
          </w:p>
        </w:tc>
      </w:tr>
      <w:tr>
        <w:trPr/>
        <w:tc>
          <w:tcPr>
            <w:tcW w:w="547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w:t>
            </w:r>
          </w:p>
        </w:tc>
        <w:tc>
          <w:tcPr>
            <w:tcW w:w="18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283"/>
              <w:jc w:val="right"/>
              <w:rPr>
                <w:rFonts w:ascii="times" w:hAnsi="times"/>
                <w:sz w:val="20"/>
              </w:rPr>
            </w:pPr>
            <w:r>
              <w:rPr>
                <w:rFonts w:ascii="times" w:hAnsi="times"/>
                <w:sz w:val="20"/>
              </w:rPr>
              <w:t>4.0</w:t>
            </w:r>
          </w:p>
        </w:tc>
        <w:tc>
          <w:tcPr>
            <w:tcW w:w="18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857" w:type="dxa"/>
            <w:tcBorders/>
            <w:shd w:fill="CCEEFF" w:val="clear"/>
            <w:vAlign w:val="bottom"/>
          </w:tcPr>
          <w:p>
            <w:pPr>
              <w:pStyle w:val="TableContents"/>
              <w:spacing w:before="0" w:after="283"/>
              <w:jc w:val="right"/>
              <w:rPr>
                <w:rFonts w:ascii="times" w:hAnsi="times"/>
                <w:sz w:val="20"/>
              </w:rPr>
            </w:pPr>
            <w:r>
              <w:rPr>
                <w:rFonts w:ascii="times" w:hAnsi="times"/>
                <w:sz w:val="20"/>
              </w:rPr>
              <w:t>5.7</w:t>
            </w:r>
          </w:p>
        </w:tc>
        <w:tc>
          <w:tcPr>
            <w:tcW w:w="186" w:type="dxa"/>
            <w:tcBorders/>
            <w:shd w:fill="CCEEFF" w:val="clear"/>
            <w:vAlign w:val="bottom"/>
          </w:tcPr>
          <w:p>
            <w:pPr>
              <w:pStyle w:val="TableContents"/>
              <w:spacing w:before="0" w:after="283"/>
              <w:rPr/>
            </w:pPr>
            <w:r>
              <w:rPr/>
              <w:t> </w:t>
            </w:r>
          </w:p>
        </w:tc>
      </w:tr>
      <w:tr>
        <w:trPr/>
        <w:tc>
          <w:tcPr>
            <w:tcW w:w="5478"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16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5" w:type="dxa"/>
            <w:tcBorders/>
            <w:shd w:fill="auto" w:val="clear"/>
            <w:vAlign w:val="bottom"/>
          </w:tcPr>
          <w:p>
            <w:pPr>
              <w:pStyle w:val="TableContents"/>
              <w:spacing w:before="0" w:after="283"/>
              <w:rPr/>
            </w:pPr>
            <w:r>
              <w:rPr/>
              <w:t> </w:t>
            </w:r>
          </w:p>
        </w:tc>
        <w:tc>
          <w:tcPr>
            <w:tcW w:w="200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6" w:type="dxa"/>
            <w:tcBorders/>
            <w:shd w:fill="auto" w:val="clear"/>
            <w:vAlign w:val="bottom"/>
          </w:tcPr>
          <w:p>
            <w:pPr>
              <w:pStyle w:val="TableContents"/>
              <w:spacing w:before="0" w:after="283"/>
              <w:rPr/>
            </w:pPr>
            <w:r>
              <w:rPr/>
              <w:t> </w:t>
            </w:r>
          </w:p>
        </w:tc>
      </w:tr>
      <w:tr>
        <w:trPr/>
        <w:tc>
          <w:tcPr>
            <w:tcW w:w="5478" w:type="dxa"/>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Total net income (loss) variance</w:t>
            </w:r>
          </w:p>
        </w:tc>
        <w:tc>
          <w:tcPr>
            <w:tcW w:w="185"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2016" w:type="dxa"/>
            <w:tcBorders/>
            <w:shd w:fill="FFFFFF" w:val="clear"/>
            <w:vAlign w:val="bottom"/>
          </w:tcPr>
          <w:p>
            <w:pPr>
              <w:pStyle w:val="TableContents"/>
              <w:spacing w:before="0" w:after="283"/>
              <w:jc w:val="right"/>
              <w:rPr>
                <w:rFonts w:ascii="times" w:hAnsi="times"/>
                <w:sz w:val="20"/>
              </w:rPr>
            </w:pPr>
            <w:r>
              <w:rPr>
                <w:rFonts w:ascii="times" w:hAnsi="times"/>
                <w:sz w:val="20"/>
              </w:rPr>
              <w:t>(67.7</w:t>
            </w:r>
          </w:p>
        </w:tc>
        <w:tc>
          <w:tcPr>
            <w:tcW w:w="18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1"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57" w:type="dxa"/>
            <w:tcBorders/>
            <w:shd w:fill="FFFFFF" w:val="clear"/>
            <w:vAlign w:val="bottom"/>
          </w:tcPr>
          <w:p>
            <w:pPr>
              <w:pStyle w:val="TableContents"/>
              <w:spacing w:before="0" w:after="283"/>
              <w:jc w:val="right"/>
              <w:rPr>
                <w:rFonts w:ascii="times" w:hAnsi="times"/>
                <w:sz w:val="20"/>
              </w:rPr>
            </w:pPr>
            <w:r>
              <w:rPr>
                <w:rFonts w:ascii="times" w:hAnsi="times"/>
                <w:sz w:val="20"/>
              </w:rPr>
              <w:t>(122.3</w:t>
            </w:r>
          </w:p>
        </w:tc>
        <w:tc>
          <w:tcPr>
            <w:tcW w:w="186"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478"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16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5" w:type="dxa"/>
            <w:tcBorders/>
            <w:shd w:fill="auto" w:val="clear"/>
            <w:vAlign w:val="bottom"/>
          </w:tcPr>
          <w:p>
            <w:pPr>
              <w:pStyle w:val="TableContents"/>
              <w:spacing w:before="0" w:after="283"/>
              <w:rPr/>
            </w:pPr>
            <w:r>
              <w:rPr/>
              <w:t> </w:t>
            </w:r>
          </w:p>
        </w:tc>
        <w:tc>
          <w:tcPr>
            <w:tcW w:w="200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6" w:type="dxa"/>
            <w:tcBorders/>
            <w:shd w:fill="auto" w:val="clear"/>
            <w:vAlign w:val="bottom"/>
          </w:tcPr>
          <w:p>
            <w:pPr>
              <w:pStyle w:val="TableContents"/>
              <w:spacing w:before="0" w:after="283"/>
              <w:rPr/>
            </w:pPr>
            <w:r>
              <w:rPr/>
              <w:t> </w:t>
            </w:r>
          </w:p>
        </w:tc>
      </w:tr>
    </w:tbl>
    <w:p>
      <w:pPr>
        <w:pStyle w:val="TextBody"/>
        <w:rPr>
          <w:rFonts w:ascii="times" w:hAnsi="times"/>
          <w:i/>
          <w:sz w:val="20"/>
        </w:rPr>
      </w:pPr>
      <w:r>
        <w:rPr>
          <w:rFonts w:ascii="times" w:hAnsi="times"/>
          <w:i/>
          <w:sz w:val="20"/>
        </w:rPr>
        <w:t xml:space="preserve">Three Months Ended June 30, 2013 vs. Three Months Ended June 30, 2012 </w:t>
      </w:r>
    </w:p>
    <w:p>
      <w:pPr>
        <w:pStyle w:val="TextBody"/>
        <w:rPr/>
      </w:pPr>
      <w:r>
        <w:rPr/>
        <w:t>        </w:t>
      </w:r>
      <w:r>
        <w:rPr>
          <w:rFonts w:ascii="times" w:hAnsi="times"/>
          <w:sz w:val="20"/>
        </w:rPr>
        <w:t xml:space="preserve">In the second quarter of 2013, revenues from mining operations decreased to $336.4 million from $459.6 million in the second quarter of 2012 due primarily to decreases in the average realized price of gold, gold sales volume and negative settlement adjustments for byproduct metals at the LaRonde mine and the Pinos Altos mine. Gold production decreased by 15.5% in the second quarter of 2013 compared with the second quarter of 2012 due primarily to the extended mill shutdown at the Kittila mine. </w:t>
      </w:r>
    </w:p>
    <w:p>
      <w:pPr>
        <w:pStyle w:val="TextBody"/>
        <w:rPr/>
      </w:pPr>
      <w:r>
        <w:rPr/>
        <w:t>        </w:t>
      </w:r>
      <w:r>
        <w:rPr>
          <w:rFonts w:ascii="times" w:hAnsi="times"/>
          <w:sz w:val="20"/>
        </w:rPr>
        <w:t xml:space="preserve">In the second quarter of 2013, total weighted average cash costs per ounce of gold produced increased to $785 from $660 in the second quarter of 2012 and production costs increased to $226.0 million in the second quarter of 2013 from $219.9 million in the second quarter of 2012. The increase in total weighted average cash costs per ounce of gold produced in the second quarter of 2013 was largely attributable to lower net byproduct revenue credits at the LaRonde and Pinos Altos mines and decreased production at the Meadowbank and Lapa mines and at the Creston Mascota deposit at Pinos Altos. </w:t>
      </w:r>
    </w:p>
    <w:p>
      <w:pPr>
        <w:pStyle w:val="TextBody"/>
        <w:rPr/>
      </w:pPr>
      <w:r>
        <w:rPr/>
        <w:t>        </w:t>
      </w:r>
      <w:r>
        <w:rPr>
          <w:rFonts w:ascii="times" w:hAnsi="times"/>
          <w:sz w:val="20"/>
        </w:rPr>
        <w:t xml:space="preserve">Exploration and corporate development expenses amounted to $11.3 million in the second quarter of 2013 compared with $34.3 million in the second quarter of 2012 due primarily to exploration expenditures associated with the La India project and the Goldex mine M and E zones meeting the criteria for capitalization in 2013. Exploration expenditures associated with the La India project and the Goldex mine M and E Zones were expensed in the second quarter of 2012. </w:t>
      </w:r>
    </w:p>
    <w:p>
      <w:pPr>
        <w:pStyle w:val="TextBody"/>
        <w:rPr/>
      </w:pPr>
      <w:r>
        <w:rPr/>
        <w:t>        </w:t>
      </w:r>
      <w:r>
        <w:rPr>
          <w:rFonts w:ascii="times" w:hAnsi="times"/>
          <w:sz w:val="20"/>
        </w:rPr>
        <w:t xml:space="preserve">An impairment loss on certain available-for-sale securities of $17.3 million was recorded as at June 30, 2013 compared with $11.6 million as at June 30, 2012. Impairment loss evaluations of available-for-sale securities are based on the severity and duration of their individual unrealized loss positions. </w:t>
      </w:r>
    </w:p>
    <w:p>
      <w:pPr>
        <w:pStyle w:val="TextBody"/>
        <w:rPr/>
      </w:pPr>
      <w:r>
        <w:rPr/>
        <w:t>        </w:t>
      </w:r>
      <w:r>
        <w:rPr>
          <w:rFonts w:ascii="times" w:hAnsi="times"/>
          <w:sz w:val="20"/>
        </w:rPr>
        <w:t xml:space="preserve">During the second quarter of 2013, there was a non-cash foreign currency translation gain of $11.1 million mainly attributable to the weakening of the Canadian dollar and Mexican peso versus the US dollar at June 30, 2013 relative to March 31, 2013. A non-cash foreign currency translation gain of $11.0 million was recorded during the comparative second quarter of 2012. </w:t>
      </w:r>
    </w:p>
    <w:p>
      <w:pPr>
        <w:pStyle w:val="TextBody"/>
        <w:rPr/>
      </w:pPr>
      <w:r>
        <w:rPr/>
        <w:t>        </w:t>
      </w:r>
      <w:r>
        <w:rPr>
          <w:rFonts w:ascii="times" w:hAnsi="times"/>
          <w:sz w:val="20"/>
        </w:rPr>
        <w:t xml:space="preserve">Although the Company recorded a loss before income and mining taxes of $23.5 million in the second quarter of 2013, income and mining taxes amounted to $0.9 million due to the consideration of non-deductible </w:t>
      </w:r>
    </w:p>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TextBody"/>
        <w:rPr>
          <w:rFonts w:ascii="times" w:hAnsi="times"/>
          <w:sz w:val="20"/>
        </w:rPr>
      </w:pPr>
      <w:bookmarkStart w:id="16" w:name="page_de72201_1_4"/>
      <w:bookmarkEnd w:id="16"/>
      <w:r>
        <w:rPr>
          <w:rFonts w:ascii="times" w:hAnsi="times"/>
          <w:sz w:val="20"/>
        </w:rPr>
        <w:t xml:space="preserve">expenses such as stock-based compensation. In the second quarter of 2012, the Company's effective tax rate was 43.9%. </w:t>
      </w:r>
    </w:p>
    <w:p>
      <w:pPr>
        <w:pStyle w:val="TextBody"/>
        <w:rPr>
          <w:rFonts w:ascii="times" w:hAnsi="times"/>
          <w:i/>
          <w:sz w:val="20"/>
        </w:rPr>
      </w:pPr>
      <w:r>
        <w:rPr>
          <w:rFonts w:ascii="times" w:hAnsi="times"/>
          <w:i/>
          <w:sz w:val="20"/>
        </w:rPr>
        <w:t xml:space="preserve">Six Months Ended June 30, 2013 vs. Six Months Ended June 30, 2012 </w:t>
      </w:r>
    </w:p>
    <w:p>
      <w:pPr>
        <w:pStyle w:val="TextBody"/>
        <w:rPr/>
      </w:pPr>
      <w:r>
        <w:rPr/>
        <w:t>        </w:t>
      </w:r>
      <w:r>
        <w:rPr>
          <w:rFonts w:ascii="times" w:hAnsi="times"/>
          <w:sz w:val="20"/>
        </w:rPr>
        <w:t xml:space="preserve">In the first six months of 2013, revenues from mining operations decreased to $756.8 million from $932.5 million in the first six months of 2012 due primarily to decreases in the average realized price of gold, gold sales volume and negative settlement adjustments for byproduct metals at the LaRonde mine and the Pinos Altos mine. Gold production decreased by 11.4% in the first six months of 2013 compared with the first six months of 2012 due primarily to the extended mill shutdown at the Kittila mine in the second quarter of 2013 and the suspension of active leaching at the Creston Mascota deposit at Pinos Altos in the first quarter of 2013. </w:t>
      </w:r>
    </w:p>
    <w:p>
      <w:pPr>
        <w:pStyle w:val="TextBody"/>
        <w:rPr/>
      </w:pPr>
      <w:r>
        <w:rPr/>
        <w:t>        </w:t>
      </w:r>
      <w:r>
        <w:rPr>
          <w:rFonts w:ascii="times" w:hAnsi="times"/>
          <w:sz w:val="20"/>
        </w:rPr>
        <w:t xml:space="preserve">In the first six months of 2013, total weighted average cash costs per ounce of gold produced increased to $762 from $628 in the first six months of 2012 and production costs increased to $456.0 million in first six months of 2013 from $434.9 million in the first six months of 2012. The increase in total weighted average cash costs per ounce of gold produced in the first six months of 2013 was largely attributable to lower net byproduct revenue credits at the LaRonde and Pinos Altos mines and decreased production at the Lapa and Meadowbank mines and at the Creston Mascota deposit at Pinos Altos. </w:t>
      </w:r>
    </w:p>
    <w:p>
      <w:pPr>
        <w:pStyle w:val="TextBody"/>
        <w:rPr/>
      </w:pPr>
      <w:r>
        <w:rPr/>
        <w:t>        </w:t>
      </w:r>
      <w:r>
        <w:rPr>
          <w:rFonts w:ascii="times" w:hAnsi="times"/>
          <w:sz w:val="20"/>
        </w:rPr>
        <w:t xml:space="preserve">Exploration and corporate development expenses amounted to $19.9 million in the first six months of 2013 compared with $57.4 million in the first six months of 2012 due primarily to exploration expenditures associated with the La India project and the Goldex mine M and E zones meeting the criteria for capitalization in 2013. Exploration expenditures associated with the La India project and the Goldex mine M and E Zones were expensed in the first six months of 2012. </w:t>
      </w:r>
    </w:p>
    <w:p>
      <w:pPr>
        <w:pStyle w:val="TextBody"/>
        <w:rPr/>
      </w:pPr>
      <w:r>
        <w:rPr/>
        <w:t>        </w:t>
      </w:r>
      <w:r>
        <w:rPr>
          <w:rFonts w:ascii="times" w:hAnsi="times"/>
          <w:sz w:val="20"/>
        </w:rPr>
        <w:t xml:space="preserve">Impairment losses on certain available-for-sale securities of $28.3 million were recorded in the first six months of 2013 compared with $11.6 million in the first six months of 2012. </w:t>
      </w:r>
    </w:p>
    <w:p>
      <w:pPr>
        <w:pStyle w:val="TextBody"/>
        <w:rPr/>
      </w:pPr>
      <w:r>
        <w:rPr/>
        <w:t>        </w:t>
      </w:r>
      <w:r>
        <w:rPr>
          <w:rFonts w:ascii="times" w:hAnsi="times"/>
          <w:sz w:val="20"/>
        </w:rPr>
        <w:t xml:space="preserve">During the first six months of 2013, there was a non-cash foreign currency translation gain of $7.5 million mainly attributable to the weakening of the Canadian dollar and Mexican peso versus the US dollar at June 30, 2013 relative to December 31, 2012. A non-cash foreign currency translation loss of $4.5 million was recorded during the comparative first six months of 2012. </w:t>
      </w:r>
    </w:p>
    <w:p>
      <w:pPr>
        <w:pStyle w:val="TextBody"/>
        <w:rPr/>
      </w:pPr>
      <w:r>
        <w:rPr/>
        <w:t>        </w:t>
      </w:r>
      <w:r>
        <w:rPr>
          <w:rFonts w:ascii="times" w:hAnsi="times"/>
          <w:sz w:val="20"/>
        </w:rPr>
        <w:t xml:space="preserve">In the first six months of 2013, the Company recorded income before income and mining taxes of $25.1 million. Income and mining taxes of $25.7 million were incurred in the first six months of 2013 due to the consideration of non-deductible expenses such as stock-based compensation. In the first six months of 2012, the Company's effective tax rate was 34.0%. </w:t>
      </w:r>
    </w:p>
    <w:p>
      <w:pPr>
        <w:pStyle w:val="TextBody"/>
        <w:rPr>
          <w:rFonts w:ascii="times" w:hAnsi="times"/>
          <w:i/>
          <w:sz w:val="20"/>
        </w:rPr>
      </w:pPr>
      <w:r>
        <w:rPr>
          <w:rFonts w:ascii="times" w:hAnsi="times"/>
          <w:i/>
          <w:sz w:val="20"/>
        </w:rPr>
        <w:t xml:space="preserve">Canada  LaRonde mine </w:t>
      </w:r>
    </w:p>
    <w:p>
      <w:pPr>
        <w:pStyle w:val="TextBody"/>
        <w:rPr/>
      </w:pPr>
      <w:r>
        <w:rPr/>
        <w:t>        </w:t>
      </w:r>
      <w:r>
        <w:rPr>
          <w:rFonts w:ascii="times" w:hAnsi="times"/>
          <w:sz w:val="20"/>
        </w:rPr>
        <w:t xml:space="preserve">At the LaRonde mine, gold production increased 14.7% to 46,119 ounces in the second quarter of 2013 compared with 40,206 ounces in the second quarter of 2012 due primarily to higher gold grade and improved mill recoveries. Production costs at the LaRonde mine were $60.6 million in the second quarter of 2013, an increase of 9.3% compared with production costs of $55.5 million in the second quarter of 2012 driven primarily by increased gold production. </w:t>
      </w:r>
    </w:p>
    <w:p>
      <w:pPr>
        <w:pStyle w:val="TextBody"/>
        <w:rPr/>
      </w:pPr>
      <w:r>
        <w:rPr/>
        <w:t>        </w:t>
      </w:r>
      <w:r>
        <w:rPr>
          <w:rFonts w:ascii="times" w:hAnsi="times"/>
          <w:sz w:val="20"/>
        </w:rPr>
        <w:t xml:space="preserve">Gold production increased 2.0% to 85,192 ounces in the first six months of 2013 compared with 83,487 ounces in the first six months of 2012 due primarily to higher gold grade and improved mill recoveries. Production costs at the LaRonde mine were $118.5 million in the first six months of 2013, an increase of 4.3% compared with production costs of $113.7 million in the first six months of 2012 driven primarily by increased gold production and underground development, underground maintenance and mining expenses. </w:t>
      </w:r>
    </w:p>
    <w:p>
      <w:pPr>
        <w:pStyle w:val="TextBody"/>
        <w:rPr>
          <w:rFonts w:ascii="times" w:hAnsi="times"/>
          <w:i/>
          <w:sz w:val="20"/>
        </w:rPr>
      </w:pPr>
      <w:r>
        <w:rPr>
          <w:rFonts w:ascii="times" w:hAnsi="times"/>
          <w:i/>
          <w:sz w:val="20"/>
        </w:rPr>
        <w:t xml:space="preserve">Canada  Goldex mine </w:t>
      </w:r>
    </w:p>
    <w:p>
      <w:pPr>
        <w:pStyle w:val="TextBody"/>
        <w:rPr/>
      </w:pPr>
      <w:r>
        <w:rPr/>
        <w:t>        </w:t>
      </w:r>
      <w:r>
        <w:rPr>
          <w:rFonts w:ascii="times" w:hAnsi="times"/>
          <w:sz w:val="20"/>
        </w:rPr>
        <w:t xml:space="preserve">On October 19, 2011, the Company suspended mining operations and gold production at the Goldex mine due to geotechnical concerns with the rock above the mining horizon of the Goldex Extension Zone ("GEZ"). As of September 30, 2011, Agnico Eagle wrote down its investment in the Goldex mine (net of expected residual value) and its underground ore stockpile. All of the remaining 1.6 million ounces of proven and probable </w:t>
      </w:r>
    </w:p>
    <w:p>
      <w:pPr>
        <w:pStyle w:val="TextBody"/>
        <w:jc w:val="center"/>
        <w:rPr>
          <w:rFonts w:ascii="times" w:hAnsi="times"/>
          <w:sz w:val="20"/>
        </w:rPr>
      </w:pPr>
      <w:r>
        <w:rPr>
          <w:rFonts w:ascii="times" w:hAnsi="times"/>
          <w:sz w:val="20"/>
        </w:rPr>
        <w:t>4</w:t>
      </w:r>
    </w:p>
    <w:p>
      <w:pPr>
        <w:pStyle w:val="HorizontalLine"/>
        <w:pBdr>
          <w:bottom w:val="single" w:sz="20" w:space="0" w:color="808080"/>
        </w:pBdr>
        <w:rPr/>
      </w:pPr>
      <w:r>
        <w:rPr/>
      </w:r>
      <w:r>
        <w:br w:type="page"/>
      </w:r>
    </w:p>
    <w:p>
      <w:pPr>
        <w:pStyle w:val="TextBody"/>
        <w:rPr>
          <w:rFonts w:ascii="times" w:hAnsi="times"/>
          <w:sz w:val="20"/>
        </w:rPr>
      </w:pPr>
      <w:bookmarkStart w:id="17" w:name="page_de72201_1_5"/>
      <w:bookmarkEnd w:id="17"/>
      <w:r>
        <w:rPr>
          <w:rFonts w:ascii="times" w:hAnsi="times"/>
          <w:sz w:val="20"/>
        </w:rPr>
        <w:t xml:space="preserve">reserves at the Goldex mine, other than ore stockpiled on surface, were reclassified as mineral resources. An environmental remediation liability was recorded as of September 30, 2011 reflecting anticipated costs of remediation. The Goldex mill completed processing feed from the remaining surface stockpile in October of 2011. </w:t>
      </w:r>
    </w:p>
    <w:p>
      <w:pPr>
        <w:pStyle w:val="TextBody"/>
        <w:rPr/>
      </w:pPr>
      <w:r>
        <w:rPr/>
        <w:t>        </w:t>
      </w:r>
      <w:r>
        <w:rPr>
          <w:rFonts w:ascii="times" w:hAnsi="times"/>
          <w:sz w:val="20"/>
        </w:rPr>
        <w:t xml:space="preserve">During the three and six months ended June 30, 2013, the Company incurred $2.9 million and $5.5 million in remediation costs, respectively, that were applied against the environmental remediation liability recognized in 2011. During the three and six months ended June 30, 2012, the Company incurred $6.1 million and $12.3 million in remediation costs, respectively, that were applied against the environmental remediation liability recognized in 2011. </w:t>
      </w:r>
    </w:p>
    <w:p>
      <w:pPr>
        <w:pStyle w:val="TextBody"/>
        <w:rPr/>
      </w:pPr>
      <w:r>
        <w:rPr/>
        <w:t>        </w:t>
      </w:r>
      <w:r>
        <w:rPr>
          <w:rFonts w:ascii="times" w:hAnsi="times"/>
          <w:sz w:val="20"/>
        </w:rPr>
        <w:t xml:space="preserve">Exploration drilling continued on several mineralized zones on the Goldex mine property near the GEZ after mining operations were suspended. A team of independent consultants and Agnico Eagle staff performed a thorough review, including a preliminary economic assessment based only on the indicated resources, to determine whether future mining operations on the property, including the M and E zones, would be viable. After a review of the assessment, the Board of Directors (the "Board") has approved the M and E zones for development and first gold production is expected in the fourth quarter of 2013. All necessary operating permits have been received and proven and probable gold reserves have been declared. The mining operations will include the use of existing Goldex mine infrastructure such as the shaft and mill. The operations in the GEZ remain suspended indefinitely. </w:t>
      </w:r>
    </w:p>
    <w:p>
      <w:pPr>
        <w:pStyle w:val="TextBody"/>
        <w:rPr>
          <w:rFonts w:ascii="times" w:hAnsi="times"/>
          <w:i/>
          <w:sz w:val="20"/>
        </w:rPr>
      </w:pPr>
      <w:r>
        <w:rPr>
          <w:rFonts w:ascii="times" w:hAnsi="times"/>
          <w:i/>
          <w:sz w:val="20"/>
        </w:rPr>
        <w:t xml:space="preserve">Canada  Lapa mine </w:t>
      </w:r>
    </w:p>
    <w:p>
      <w:pPr>
        <w:pStyle w:val="TextBody"/>
        <w:rPr/>
      </w:pPr>
      <w:r>
        <w:rPr/>
        <w:t>        </w:t>
      </w:r>
      <w:r>
        <w:rPr>
          <w:rFonts w:ascii="times" w:hAnsi="times"/>
          <w:sz w:val="20"/>
        </w:rPr>
        <w:t xml:space="preserve">At the Lapa mine, gold production decreased 17.7% to 23,178 ounces in the second quarter of 2013 compared with 28,157 ounces in the second quarter of 2012 due primarily to lower gold grade. Production costs at the Lapa mine were $18.1 million in the second quarter of 2013, a decrease of 1.9% compared with production costs of $18.5 million in the second quarter of 2012 driven primarily by decreased gold production, offset partially by increased underground maintenance and administration expenses. </w:t>
      </w:r>
    </w:p>
    <w:p>
      <w:pPr>
        <w:pStyle w:val="TextBody"/>
        <w:rPr/>
      </w:pPr>
      <w:r>
        <w:rPr/>
        <w:t>        </w:t>
      </w:r>
      <w:r>
        <w:rPr>
          <w:rFonts w:ascii="times" w:hAnsi="times"/>
          <w:sz w:val="20"/>
        </w:rPr>
        <w:t xml:space="preserve">Gold production decreased 11.7% to 50,046 ounces in the first six months of 2013 compared with 56,656 ounces in the first six months of 2012 due primarily to lower gold grade. Production costs at the Lapa mine were $34.7 million in the first six months of 2013, a decrease of 6.5% compared with production costs of $37.1 million in the first six months of 2012 driven primarily by decreased gold production, offset partially by increased underground maintenance, drilling and administration expenses. </w:t>
      </w:r>
    </w:p>
    <w:p>
      <w:pPr>
        <w:pStyle w:val="TextBody"/>
        <w:rPr>
          <w:rFonts w:ascii="times" w:hAnsi="times"/>
          <w:i/>
          <w:sz w:val="20"/>
        </w:rPr>
      </w:pPr>
      <w:r>
        <w:rPr>
          <w:rFonts w:ascii="times" w:hAnsi="times"/>
          <w:i/>
          <w:sz w:val="20"/>
        </w:rPr>
        <w:t xml:space="preserve">Canada  Meadowbank mine </w:t>
      </w:r>
    </w:p>
    <w:p>
      <w:pPr>
        <w:pStyle w:val="TextBody"/>
        <w:rPr/>
      </w:pPr>
      <w:r>
        <w:rPr/>
        <w:t>        </w:t>
      </w:r>
      <w:r>
        <w:rPr>
          <w:rFonts w:ascii="times" w:hAnsi="times"/>
          <w:sz w:val="20"/>
        </w:rPr>
        <w:t xml:space="preserve">At the Meadowbank mine, gold production decreased 6.6% to 91,873 ounces in the second quarter of 2013 compared with 98,403 ounces in the second quarter of 2012 due primarily to lower gold grade and mill recoveries. Production costs at the Meadowbank mine were $90.1 million in the second quarter of 2013, an increase of 10.4% compared with production costs of $81.6 million in the second quarter of 2012 driven primarily by increased mine maintenance, administration and drilling expenses, offset partially by decreased gold production. </w:t>
      </w:r>
    </w:p>
    <w:p>
      <w:pPr>
        <w:pStyle w:val="TextBody"/>
        <w:rPr/>
      </w:pPr>
      <w:r>
        <w:rPr/>
        <w:t>        </w:t>
      </w:r>
      <w:r>
        <w:rPr>
          <w:rFonts w:ascii="times" w:hAnsi="times"/>
          <w:sz w:val="20"/>
        </w:rPr>
        <w:t xml:space="preserve">Gold production decreased 2.3% to 173,691 ounces in the first six months of 2013 compared with 177,804 ounces in the first six months of 2012 due primarily to lower gold grade and mill recoveries. Production costs at the Meadowbank mine were $183.7 million in the first six months of 2013, an increase of 15.8% compared with production costs of $158.6 million in the first six months of 2012 driven primarily by increased mine maintenance, drilling and administration expenses, offset partially by decreased gold production. </w:t>
      </w:r>
    </w:p>
    <w:p>
      <w:pPr>
        <w:pStyle w:val="TextBody"/>
        <w:rPr>
          <w:rFonts w:ascii="times" w:hAnsi="times"/>
          <w:i/>
          <w:sz w:val="20"/>
        </w:rPr>
      </w:pPr>
      <w:r>
        <w:rPr>
          <w:rFonts w:ascii="times" w:hAnsi="times"/>
          <w:i/>
          <w:sz w:val="20"/>
        </w:rPr>
        <w:t xml:space="preserve">Latin America  Pinos Altos mine (including the Creston Mascota deposit at Pinos Altos) </w:t>
      </w:r>
    </w:p>
    <w:p>
      <w:pPr>
        <w:pStyle w:val="TextBody"/>
        <w:rPr/>
      </w:pPr>
      <w:r>
        <w:rPr/>
        <w:t>        </w:t>
      </w:r>
      <w:r>
        <w:rPr>
          <w:rFonts w:ascii="times" w:hAnsi="times"/>
          <w:sz w:val="20"/>
        </w:rPr>
        <w:t xml:space="preserve">At the Pinos Altos mine, gold production increased 4.6% to 47,383 ounces in the second quarter of 2013 compared with 45,307 ounces in the second quarter of 2012 due primarily to higher gold and silver grade and improved mill recoveries. Production costs at the Pinos Altos mine were $34.5 million in the second quarter of 2013, a 4.4% increase compared with production costs of $33.1 million in the second quarter of 2012 driven primarily by increased gold production. </w:t>
      </w:r>
    </w:p>
    <w:p>
      <w:pPr>
        <w:pStyle w:val="TextBody"/>
        <w:jc w:val="center"/>
        <w:rPr>
          <w:rFonts w:ascii="times" w:hAnsi="times"/>
          <w:sz w:val="20"/>
        </w:rPr>
      </w:pPr>
      <w:r>
        <w:rPr>
          <w:rFonts w:ascii="times" w:hAnsi="times"/>
          <w:sz w:val="20"/>
        </w:rPr>
        <w:t>5</w:t>
      </w:r>
    </w:p>
    <w:p>
      <w:pPr>
        <w:pStyle w:val="HorizontalLine"/>
        <w:pBdr>
          <w:bottom w:val="single" w:sz="20" w:space="0" w:color="808080"/>
        </w:pBdr>
        <w:rPr/>
      </w:pPr>
      <w:r>
        <w:rPr/>
      </w:r>
      <w:r>
        <w:br w:type="page"/>
      </w:r>
    </w:p>
    <w:p>
      <w:pPr>
        <w:pStyle w:val="TextBody"/>
        <w:rPr/>
      </w:pPr>
      <w:bookmarkStart w:id="18" w:name="page_de72201_1_6"/>
      <w:bookmarkEnd w:id="18"/>
      <w:r>
        <w:rPr/>
        <w:t>        </w:t>
      </w:r>
      <w:r>
        <w:rPr>
          <w:rFonts w:ascii="times" w:hAnsi="times"/>
          <w:sz w:val="20"/>
        </w:rPr>
        <w:t xml:space="preserve">Gold production increased 3.3% to 91,547 ounces in the first six months of 2013 compared with 88,599 ounces in the first six months of 2012 due primarily to higher gold and silver grade, improved mill recoveries and an increase in tonnes of ore milled. Production costs at the Pinos Altos mine were $66.2 million in the first six months of 2013, an increase of 3.9% compared with production costs of $63.7 million in the first six months of 2012 driven primarily by increased gold production. </w:t>
      </w:r>
    </w:p>
    <w:p>
      <w:pPr>
        <w:pStyle w:val="TextBody"/>
        <w:rPr/>
      </w:pPr>
      <w:r>
        <w:rPr/>
        <w:t>        </w:t>
      </w:r>
      <w:r>
        <w:rPr>
          <w:rFonts w:ascii="times" w:hAnsi="times"/>
          <w:sz w:val="20"/>
        </w:rPr>
        <w:t xml:space="preserve">At the Creston Mascota deposit at Pinos Altos, gold production decreased to 10,147 ounces in the second quarter of 2013 compared with 18,049 ounces in the second quarter of 2012 due primarily to lower gold and silver grade and a decrease in tonnes of ore stacked on the Phase Two leach pad in the second quarter of 2013 compared with the tonnes of ore stacked on the Phase One leach pad in the second quarter of 2012. Production costs at the Creston Mascota deposit at Pinos Altos were $4.4 million in the second quarter of 2013 compared with $7.8 million in the second quarter of 2012 driven primarily by decreased gold and silver production. </w:t>
      </w:r>
    </w:p>
    <w:p>
      <w:pPr>
        <w:pStyle w:val="TextBody"/>
        <w:rPr/>
      </w:pPr>
      <w:r>
        <w:rPr/>
        <w:t>        </w:t>
      </w:r>
      <w:r>
        <w:rPr>
          <w:rFonts w:ascii="times" w:hAnsi="times"/>
          <w:sz w:val="20"/>
        </w:rPr>
        <w:t xml:space="preserve">Gold production decreased to 12,054 ounces in the first six months of 2013 compared with 31,773 ounces in the first six months of 2012 due primarily to the temporary suspension of active leaching at the Creston Mascota deposit at Pinos Altos between October 1, 2012 and March 13, 2013 and lower gold and silver grade. Production costs at the Creston Mascota deposit at Pinos Altos were $7.5 million in the first six months of 2013 compared with $12.3 million in the first six months of 2012 driven primarily by decreased gold and silver production, offset partially by increased administration and regional expenses. </w:t>
      </w:r>
    </w:p>
    <w:p>
      <w:pPr>
        <w:pStyle w:val="TextBody"/>
        <w:rPr/>
      </w:pPr>
      <w:r>
        <w:rPr/>
        <w:t>        </w:t>
      </w:r>
      <w:r>
        <w:rPr>
          <w:rFonts w:ascii="times" w:hAnsi="times"/>
          <w:sz w:val="20"/>
        </w:rPr>
        <w:t xml:space="preserve">On September 30, 2012, the Creston Mascota deposit at Pinos Altos experienced a movement of leached ore from the upper lifts of the Phase One leach pad, resulting in a temporary suspension of active leaching. On March 13, 2013, production resumed at the Creston Mascota deposit at Pinos Altos from the Phase Two leach pad, contributing 1,907 ounces of gold production during the first quarter of 2013. The ramp up of production during the second quarter of 2013 was in line with expectations. </w:t>
      </w:r>
    </w:p>
    <w:p>
      <w:pPr>
        <w:pStyle w:val="TextBody"/>
        <w:rPr>
          <w:rFonts w:ascii="times" w:hAnsi="times"/>
          <w:i/>
          <w:sz w:val="20"/>
        </w:rPr>
      </w:pPr>
      <w:r>
        <w:rPr>
          <w:rFonts w:ascii="times" w:hAnsi="times"/>
          <w:i/>
          <w:sz w:val="20"/>
        </w:rPr>
        <w:t xml:space="preserve">Europe  Kittila mine </w:t>
      </w:r>
    </w:p>
    <w:p>
      <w:pPr>
        <w:pStyle w:val="TextBody"/>
        <w:rPr/>
      </w:pPr>
      <w:r>
        <w:rPr/>
        <w:t>        </w:t>
      </w:r>
      <w:r>
        <w:rPr>
          <w:rFonts w:ascii="times" w:hAnsi="times"/>
          <w:sz w:val="20"/>
        </w:rPr>
        <w:t xml:space="preserve">At the Kittila mine, gold production decreased to 5,389 ounces in the second quarter of 2013 compared with 35,228 ounces in the second quarter of 2012 due primarily to an extended mill shutdown during the second quarter of 2013 to facilitate the relining of its autoclave, lower gold grade and reduced mill recoveries. Production costs at the Kittila mine were $18.2 million in the second quarter of 2013 compared with production costs of $23.5 million in the second quarter of 2012 driven primarily by decreased gold production, offset partially by increased costs associated with solely underground operations in 2013 compared with a mixture of open pit and underground operations in the second quarter of 2012. </w:t>
      </w:r>
    </w:p>
    <w:p>
      <w:pPr>
        <w:pStyle w:val="TextBody"/>
        <w:rPr/>
      </w:pPr>
      <w:r>
        <w:rPr/>
        <w:t>        </w:t>
      </w:r>
      <w:r>
        <w:rPr>
          <w:rFonts w:ascii="times" w:hAnsi="times"/>
          <w:sz w:val="20"/>
        </w:rPr>
        <w:t xml:space="preserve">Gold production decreased to 48,534 ounces in the first six months of 2013 compared with 81,986 ounces in the first six months of 2012 due primarily to the extended mill shutdown in the second quarter of 2013 and lower gold grade. Production costs at the Kittila mine were $45.3 million in the first six months of 2013 compared with $49.5 million in the first six months of 2012 driven primarily by decreased gold production, offset partially by increased costs associated with solely underground operations in 2013 compared with a mixture of open pit and underground operations in the first six months of 2012. </w:t>
      </w:r>
    </w:p>
    <w:p>
      <w:pPr>
        <w:pStyle w:val="TextBody"/>
        <w:rPr>
          <w:rFonts w:ascii="times" w:hAnsi="times"/>
          <w:i/>
          <w:sz w:val="20"/>
        </w:rPr>
      </w:pPr>
      <w:r>
        <w:rPr>
          <w:rFonts w:ascii="times" w:hAnsi="times"/>
          <w:i/>
          <w:sz w:val="20"/>
        </w:rPr>
        <w:t xml:space="preserve">Production Costs </w:t>
      </w:r>
    </w:p>
    <w:p>
      <w:pPr>
        <w:pStyle w:val="TextBody"/>
        <w:rPr/>
      </w:pPr>
      <w:r>
        <w:rPr/>
        <w:t>        </w:t>
      </w:r>
      <w:r>
        <w:rPr>
          <w:rFonts w:ascii="times" w:hAnsi="times"/>
          <w:sz w:val="20"/>
        </w:rPr>
        <w:t xml:space="preserve">The following tables provide a reconciliation of total cash costs per ounce of gold produced and minesite costs per tonne to production costs as presented in the interim unaudited consolidated statements of income (loss) and comprehensive income (loss) in accordance with US GAAP. </w:t>
      </w:r>
    </w:p>
    <w:p>
      <w:pPr>
        <w:pStyle w:val="TextBody"/>
        <w:jc w:val="center"/>
        <w:rPr>
          <w:rFonts w:ascii="times" w:hAnsi="times"/>
          <w:sz w:val="20"/>
        </w:rPr>
      </w:pPr>
      <w:r>
        <w:rPr>
          <w:rFonts w:ascii="times" w:hAnsi="times"/>
          <w:sz w:val="20"/>
        </w:rPr>
        <w:t>6</w:t>
      </w:r>
    </w:p>
    <w:p>
      <w:pPr>
        <w:pStyle w:val="HorizontalLine"/>
        <w:pBdr>
          <w:bottom w:val="single" w:sz="20" w:space="0" w:color="808080"/>
        </w:pBdr>
        <w:rPr/>
      </w:pPr>
      <w:r>
        <w:rPr/>
      </w:r>
      <w:r>
        <w:br w:type="page"/>
      </w:r>
    </w:p>
    <w:p>
      <w:pPr>
        <w:pStyle w:val="TextBody"/>
        <w:rPr>
          <w:rFonts w:ascii="times" w:hAnsi="times"/>
          <w:b/>
          <w:sz w:val="20"/>
        </w:rPr>
      </w:pPr>
      <w:bookmarkStart w:id="19" w:name="page_de72201_1_7"/>
      <w:bookmarkEnd w:id="19"/>
      <w:r>
        <w:rPr>
          <w:rFonts w:ascii="times" w:hAnsi="times"/>
          <w:b/>
          <w:sz w:val="20"/>
          <w:u w:val="single"/>
        </w:rPr>
        <w:t>Total Production Costs by Mine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428"/>
        <w:gridCol w:w="107"/>
        <w:gridCol w:w="125"/>
        <w:gridCol w:w="1262"/>
        <w:gridCol w:w="107"/>
        <w:gridCol w:w="125"/>
        <w:gridCol w:w="1262"/>
        <w:gridCol w:w="107"/>
        <w:gridCol w:w="125"/>
        <w:gridCol w:w="1106"/>
        <w:gridCol w:w="107"/>
        <w:gridCol w:w="125"/>
        <w:gridCol w:w="1106"/>
        <w:gridCol w:w="113"/>
      </w:tblGrid>
      <w:tr>
        <w:trPr/>
        <w:tc>
          <w:tcPr>
            <w:tcW w:w="4428"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62"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62"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06"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06"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r>
      <w:tr>
        <w:trPr/>
        <w:tc>
          <w:tcPr>
            <w:tcW w:w="4428"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r>
          </w:p>
        </w:tc>
        <w:tc>
          <w:tcPr>
            <w:tcW w:w="107" w:type="dxa"/>
            <w:tcBorders/>
            <w:shd w:fill="auto" w:val="clear"/>
            <w:vAlign w:val="bottom"/>
          </w:tcPr>
          <w:p>
            <w:pPr>
              <w:pStyle w:val="TableHeading"/>
              <w:suppressLineNumbers/>
              <w:spacing w:before="0" w:after="283"/>
              <w:jc w:val="center"/>
              <w:rPr/>
            </w:pPr>
            <w:r>
              <w:rPr/>
              <w:t> </w:t>
            </w:r>
          </w:p>
        </w:tc>
        <w:tc>
          <w:tcPr>
            <w:tcW w:w="13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07" w:type="dxa"/>
            <w:tcBorders/>
            <w:shd w:fill="auto" w:val="clear"/>
            <w:vAlign w:val="bottom"/>
          </w:tcPr>
          <w:p>
            <w:pPr>
              <w:pStyle w:val="TableHeading"/>
              <w:suppressLineNumbers/>
              <w:spacing w:before="0" w:after="283"/>
              <w:jc w:val="center"/>
              <w:rPr/>
            </w:pPr>
            <w:r>
              <w:rPr/>
              <w:t> </w:t>
            </w:r>
          </w:p>
        </w:tc>
        <w:tc>
          <w:tcPr>
            <w:tcW w:w="13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07" w:type="dxa"/>
            <w:tcBorders/>
            <w:shd w:fill="auto" w:val="clear"/>
            <w:vAlign w:val="bottom"/>
          </w:tcPr>
          <w:p>
            <w:pPr>
              <w:pStyle w:val="TableHeading"/>
              <w:suppressLineNumbers/>
              <w:spacing w:before="0" w:after="283"/>
              <w:jc w:val="center"/>
              <w:rPr/>
            </w:pPr>
            <w:r>
              <w:rPr/>
              <w:t> </w:t>
            </w:r>
          </w:p>
        </w:tc>
        <w:tc>
          <w:tcPr>
            <w:tcW w:w="12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07" w:type="dxa"/>
            <w:tcBorders/>
            <w:shd w:fill="auto" w:val="clear"/>
            <w:vAlign w:val="bottom"/>
          </w:tcPr>
          <w:p>
            <w:pPr>
              <w:pStyle w:val="TableHeading"/>
              <w:suppressLineNumbers/>
              <w:spacing w:before="0" w:after="283"/>
              <w:jc w:val="center"/>
              <w:rPr/>
            </w:pPr>
            <w:r>
              <w:rPr/>
              <w:t> </w:t>
            </w:r>
          </w:p>
        </w:tc>
        <w:tc>
          <w:tcPr>
            <w:tcW w:w="12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13" w:type="dxa"/>
            <w:tcBorders/>
            <w:shd w:fill="auto" w:val="clear"/>
            <w:vAlign w:val="bottom"/>
          </w:tcPr>
          <w:p>
            <w:pPr>
              <w:pStyle w:val="TableHeading"/>
              <w:suppressLineNumbers/>
              <w:spacing w:before="0" w:after="283"/>
              <w:jc w:val="center"/>
              <w:rPr/>
            </w:pPr>
            <w:r>
              <w:rPr/>
              <w:t> </w:t>
            </w:r>
          </w:p>
        </w:tc>
      </w:tr>
      <w:tr>
        <w:trPr/>
        <w:tc>
          <w:tcPr>
            <w:tcW w:w="44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the interim unaudited consolidated statements of income (loss) and comprehensive income (loss)</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225,951</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219,906</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456,004</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434,941</w:t>
            </w:r>
          </w:p>
        </w:tc>
        <w:tc>
          <w:tcPr>
            <w:tcW w:w="113" w:type="dxa"/>
            <w:tcBorders/>
            <w:shd w:fill="CCEEFF" w:val="clear"/>
            <w:vAlign w:val="bottom"/>
          </w:tcPr>
          <w:p>
            <w:pPr>
              <w:pStyle w:val="TableContents"/>
              <w:spacing w:before="0" w:after="283"/>
              <w:rPr/>
            </w:pPr>
            <w:r>
              <w:rPr/>
              <w:t> </w:t>
            </w:r>
          </w:p>
        </w:tc>
      </w:tr>
      <w:tr>
        <w:trPr/>
        <w:tc>
          <w:tcPr>
            <w:tcW w:w="4428" w:type="dxa"/>
            <w:tcBorders/>
            <w:shd w:fill="FFFFFF" w:val="clear"/>
            <w:vAlign w:val="bottom"/>
          </w:tcPr>
          <w:p>
            <w:pPr>
              <w:pStyle w:val="TableContents"/>
              <w:spacing w:before="240" w:after="283"/>
              <w:ind w:left="200" w:right="0" w:hanging="200"/>
              <w:rPr>
                <w:rFonts w:ascii="times" w:hAnsi="times"/>
                <w:sz w:val="20"/>
              </w:rPr>
            </w:pPr>
            <w:r>
              <w:rPr>
                <w:rFonts w:ascii="times" w:hAnsi="times"/>
                <w:sz w:val="20"/>
              </w:rPr>
              <w:t>LaRonde mine</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br/>
              <w:t>60,624</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br/>
              <w:t>55,483</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br/>
              <w:t>118,527</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br/>
              <w:t>113,663</w:t>
            </w:r>
          </w:p>
        </w:tc>
        <w:tc>
          <w:tcPr>
            <w:tcW w:w="113" w:type="dxa"/>
            <w:tcBorders/>
            <w:shd w:fill="FFFFFF" w:val="clear"/>
            <w:vAlign w:val="bottom"/>
          </w:tcPr>
          <w:p>
            <w:pPr>
              <w:pStyle w:val="TableContents"/>
              <w:spacing w:before="0" w:after="283"/>
              <w:rPr/>
            </w:pPr>
            <w:r>
              <w:rPr/>
              <w:t> </w:t>
            </w:r>
          </w:p>
        </w:tc>
      </w:tr>
      <w:tr>
        <w:trPr/>
        <w:tc>
          <w:tcPr>
            <w:tcW w:w="44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18,094</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18,450</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34,704</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37,107</w:t>
            </w:r>
          </w:p>
        </w:tc>
        <w:tc>
          <w:tcPr>
            <w:tcW w:w="113" w:type="dxa"/>
            <w:tcBorders/>
            <w:shd w:fill="CCEEFF" w:val="clear"/>
            <w:vAlign w:val="bottom"/>
          </w:tcPr>
          <w:p>
            <w:pPr>
              <w:pStyle w:val="TableContents"/>
              <w:spacing w:before="0" w:after="283"/>
              <w:rPr/>
            </w:pPr>
            <w:r>
              <w:rPr/>
              <w:t> </w:t>
            </w:r>
          </w:p>
        </w:tc>
      </w:tr>
      <w:tr>
        <w:trPr/>
        <w:tc>
          <w:tcPr>
            <w:tcW w:w="442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w:t>
            </w:r>
            <w:r>
              <w:rPr>
                <w:rFonts w:ascii="times" w:hAnsi="times"/>
                <w:position w:val="7"/>
                <w:sz w:val="16"/>
                <w:sz w:val="20"/>
              </w:rPr>
              <w:t>(i)</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t>23,515</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t>27,182</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t>49,545</w:t>
            </w:r>
          </w:p>
        </w:tc>
        <w:tc>
          <w:tcPr>
            <w:tcW w:w="113" w:type="dxa"/>
            <w:tcBorders/>
            <w:shd w:fill="FFFFFF" w:val="clear"/>
            <w:vAlign w:val="bottom"/>
          </w:tcPr>
          <w:p>
            <w:pPr>
              <w:pStyle w:val="TableContents"/>
              <w:spacing w:before="0" w:after="283"/>
              <w:rPr/>
            </w:pPr>
            <w:r>
              <w:rPr/>
              <w:t> </w:t>
            </w:r>
          </w:p>
        </w:tc>
      </w:tr>
      <w:tr>
        <w:trPr/>
        <w:tc>
          <w:tcPr>
            <w:tcW w:w="44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34,511</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33,050</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66,163</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63,711</w:t>
            </w:r>
          </w:p>
        </w:tc>
        <w:tc>
          <w:tcPr>
            <w:tcW w:w="113" w:type="dxa"/>
            <w:tcBorders/>
            <w:shd w:fill="CCEEFF" w:val="clear"/>
            <w:vAlign w:val="bottom"/>
          </w:tcPr>
          <w:p>
            <w:pPr>
              <w:pStyle w:val="TableContents"/>
              <w:spacing w:before="0" w:after="283"/>
              <w:rPr/>
            </w:pPr>
            <w:r>
              <w:rPr/>
              <w:t> </w:t>
            </w:r>
          </w:p>
        </w:tc>
      </w:tr>
      <w:tr>
        <w:trPr/>
        <w:tc>
          <w:tcPr>
            <w:tcW w:w="442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Creston Mascota deposit at Pinos Altos</w:t>
            </w:r>
            <w:r>
              <w:rPr>
                <w:rFonts w:ascii="times" w:hAnsi="times"/>
                <w:position w:val="7"/>
                <w:sz w:val="16"/>
                <w:sz w:val="20"/>
              </w:rPr>
              <w:t>(ii)</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t>4,427</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t>7,769</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t>4,427</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t>12,269</w:t>
            </w:r>
          </w:p>
        </w:tc>
        <w:tc>
          <w:tcPr>
            <w:tcW w:w="113" w:type="dxa"/>
            <w:tcBorders/>
            <w:shd w:fill="FFFFFF" w:val="clear"/>
            <w:vAlign w:val="bottom"/>
          </w:tcPr>
          <w:p>
            <w:pPr>
              <w:pStyle w:val="TableContents"/>
              <w:spacing w:before="0" w:after="283"/>
              <w:rPr/>
            </w:pPr>
            <w:r>
              <w:rPr/>
              <w:t> </w:t>
            </w:r>
          </w:p>
        </w:tc>
      </w:tr>
      <w:tr>
        <w:trPr/>
        <w:tc>
          <w:tcPr>
            <w:tcW w:w="44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Meadowbank mine</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90,136</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62" w:type="dxa"/>
            <w:tcBorders/>
            <w:shd w:fill="CCEEFF" w:val="clear"/>
            <w:vAlign w:val="bottom"/>
          </w:tcPr>
          <w:p>
            <w:pPr>
              <w:pStyle w:val="TableContents"/>
              <w:spacing w:before="0" w:after="283"/>
              <w:jc w:val="right"/>
              <w:rPr>
                <w:rFonts w:ascii="times" w:hAnsi="times"/>
                <w:sz w:val="20"/>
              </w:rPr>
            </w:pPr>
            <w:r>
              <w:rPr>
                <w:rFonts w:ascii="times" w:hAnsi="times"/>
                <w:sz w:val="20"/>
              </w:rPr>
              <w:t>81,639</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183,725</w:t>
            </w:r>
          </w:p>
        </w:tc>
        <w:tc>
          <w:tcPr>
            <w:tcW w:w="1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06" w:type="dxa"/>
            <w:tcBorders/>
            <w:shd w:fill="CCEEFF" w:val="clear"/>
            <w:vAlign w:val="bottom"/>
          </w:tcPr>
          <w:p>
            <w:pPr>
              <w:pStyle w:val="TableContents"/>
              <w:spacing w:before="0" w:after="283"/>
              <w:jc w:val="right"/>
              <w:rPr>
                <w:rFonts w:ascii="times" w:hAnsi="times"/>
                <w:sz w:val="20"/>
              </w:rPr>
            </w:pPr>
            <w:r>
              <w:rPr>
                <w:rFonts w:ascii="times" w:hAnsi="times"/>
                <w:sz w:val="20"/>
              </w:rPr>
              <w:t>158,646</w:t>
            </w:r>
          </w:p>
        </w:tc>
        <w:tc>
          <w:tcPr>
            <w:tcW w:w="113" w:type="dxa"/>
            <w:tcBorders/>
            <w:shd w:fill="CCEEFF"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07" w:type="dxa"/>
            <w:tcBorders/>
            <w:shd w:fill="auto" w:val="clear"/>
            <w:vAlign w:val="bottom"/>
          </w:tcPr>
          <w:p>
            <w:pPr>
              <w:pStyle w:val="TableContents"/>
              <w:spacing w:before="0" w:after="283"/>
              <w:rPr/>
            </w:pPr>
            <w:r>
              <w:rPr/>
              <w:t> </w:t>
            </w:r>
          </w:p>
        </w:tc>
        <w:tc>
          <w:tcPr>
            <w:tcW w:w="13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07" w:type="dxa"/>
            <w:tcBorders/>
            <w:shd w:fill="auto" w:val="clear"/>
            <w:vAlign w:val="bottom"/>
          </w:tcPr>
          <w:p>
            <w:pPr>
              <w:pStyle w:val="TableContents"/>
              <w:spacing w:before="0" w:after="283"/>
              <w:rPr/>
            </w:pPr>
            <w:r>
              <w:rPr/>
              <w:t> </w:t>
            </w:r>
          </w:p>
        </w:tc>
        <w:tc>
          <w:tcPr>
            <w:tcW w:w="12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07" w:type="dxa"/>
            <w:tcBorders/>
            <w:shd w:fill="auto" w:val="clear"/>
            <w:vAlign w:val="bottom"/>
          </w:tcPr>
          <w:p>
            <w:pPr>
              <w:pStyle w:val="TableContents"/>
              <w:spacing w:before="0" w:after="283"/>
              <w:rPr/>
            </w:pPr>
            <w:r>
              <w:rPr/>
              <w:t> </w:t>
            </w:r>
          </w:p>
        </w:tc>
        <w:tc>
          <w:tcPr>
            <w:tcW w:w="12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13" w:type="dxa"/>
            <w:tcBorders/>
            <w:shd w:fill="auto" w:val="clear"/>
            <w:vAlign w:val="bottom"/>
          </w:tcPr>
          <w:p>
            <w:pPr>
              <w:pStyle w:val="TableContents"/>
              <w:spacing w:before="0" w:after="283"/>
              <w:rPr/>
            </w:pPr>
            <w:r>
              <w:rPr/>
              <w:t> </w:t>
            </w:r>
          </w:p>
        </w:tc>
      </w:tr>
      <w:tr>
        <w:trPr/>
        <w:tc>
          <w:tcPr>
            <w:tcW w:w="442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t>207,792</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62" w:type="dxa"/>
            <w:tcBorders/>
            <w:shd w:fill="FFFFFF" w:val="clear"/>
            <w:vAlign w:val="bottom"/>
          </w:tcPr>
          <w:p>
            <w:pPr>
              <w:pStyle w:val="TableContents"/>
              <w:spacing w:before="0" w:after="283"/>
              <w:jc w:val="right"/>
              <w:rPr>
                <w:rFonts w:ascii="times" w:hAnsi="times"/>
                <w:sz w:val="20"/>
              </w:rPr>
            </w:pPr>
            <w:r>
              <w:rPr>
                <w:rFonts w:ascii="times" w:hAnsi="times"/>
                <w:sz w:val="20"/>
              </w:rPr>
              <w:t>219,906</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t>434,728</w:t>
            </w:r>
          </w:p>
        </w:tc>
        <w:tc>
          <w:tcPr>
            <w:tcW w:w="10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06" w:type="dxa"/>
            <w:tcBorders/>
            <w:shd w:fill="FFFFFF" w:val="clear"/>
            <w:vAlign w:val="bottom"/>
          </w:tcPr>
          <w:p>
            <w:pPr>
              <w:pStyle w:val="TableContents"/>
              <w:spacing w:before="0" w:after="283"/>
              <w:jc w:val="right"/>
              <w:rPr>
                <w:rFonts w:ascii="times" w:hAnsi="times"/>
                <w:sz w:val="20"/>
              </w:rPr>
            </w:pPr>
            <w:r>
              <w:rPr>
                <w:rFonts w:ascii="times" w:hAnsi="times"/>
                <w:sz w:val="20"/>
              </w:rPr>
              <w:t>434,941</w:t>
            </w:r>
          </w:p>
        </w:tc>
        <w:tc>
          <w:tcPr>
            <w:tcW w:w="113" w:type="dxa"/>
            <w:tcBorders/>
            <w:shd w:fill="FFFFFF"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07" w:type="dxa"/>
            <w:tcBorders/>
            <w:shd w:fill="auto" w:val="clear"/>
            <w:vAlign w:val="bottom"/>
          </w:tcPr>
          <w:p>
            <w:pPr>
              <w:pStyle w:val="TableContents"/>
              <w:spacing w:before="0" w:after="283"/>
              <w:rPr/>
            </w:pPr>
            <w:r>
              <w:rPr/>
              <w:t> </w:t>
            </w:r>
          </w:p>
        </w:tc>
        <w:tc>
          <w:tcPr>
            <w:tcW w:w="13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07" w:type="dxa"/>
            <w:tcBorders/>
            <w:shd w:fill="auto" w:val="clear"/>
            <w:vAlign w:val="bottom"/>
          </w:tcPr>
          <w:p>
            <w:pPr>
              <w:pStyle w:val="TableContents"/>
              <w:spacing w:before="0" w:after="283"/>
              <w:rPr/>
            </w:pPr>
            <w:r>
              <w:rPr/>
              <w:t> </w:t>
            </w:r>
          </w:p>
        </w:tc>
        <w:tc>
          <w:tcPr>
            <w:tcW w:w="12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07" w:type="dxa"/>
            <w:tcBorders/>
            <w:shd w:fill="auto" w:val="clear"/>
            <w:vAlign w:val="bottom"/>
          </w:tcPr>
          <w:p>
            <w:pPr>
              <w:pStyle w:val="TableContents"/>
              <w:spacing w:before="0" w:after="283"/>
              <w:rPr/>
            </w:pPr>
            <w:r>
              <w:rPr/>
              <w:t> </w:t>
            </w:r>
          </w:p>
        </w:tc>
        <w:tc>
          <w:tcPr>
            <w:tcW w:w="12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13"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Reconciliation of Production Costs to Total Cash Costs per Ounce of Gold Produced by Mine</w:t>
      </w:r>
      <w:r>
        <w:rPr>
          <w:rFonts w:ascii="times" w:hAnsi="times"/>
          <w:b/>
          <w:sz w:val="20"/>
        </w:rPr>
        <w:t xml:space="preserve"> </w:t>
      </w:r>
    </w:p>
    <w:p>
      <w:pPr>
        <w:pStyle w:val="TextBody"/>
        <w:rPr>
          <w:rFonts w:ascii="times" w:hAnsi="times"/>
          <w:b/>
          <w:sz w:val="20"/>
        </w:rPr>
      </w:pPr>
      <w:r>
        <w:rPr>
          <w:rFonts w:ascii="times" w:hAnsi="times"/>
          <w:b/>
          <w:sz w:val="20"/>
          <w:u w:val="single"/>
        </w:rPr>
        <w:t>LaRonde Mine  Total Cash Costs per Ounce of Gold Produced</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996"/>
        <w:gridCol w:w="132"/>
        <w:gridCol w:w="125"/>
        <w:gridCol w:w="1333"/>
        <w:gridCol w:w="140"/>
        <w:gridCol w:w="125"/>
        <w:gridCol w:w="1333"/>
        <w:gridCol w:w="140"/>
        <w:gridCol w:w="125"/>
        <w:gridCol w:w="1174"/>
        <w:gridCol w:w="140"/>
        <w:gridCol w:w="125"/>
        <w:gridCol w:w="1174"/>
        <w:gridCol w:w="143"/>
      </w:tblGrid>
      <w:tr>
        <w:trPr/>
        <w:tc>
          <w:tcPr>
            <w:tcW w:w="3996"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r>
      <w:tr>
        <w:trPr/>
        <w:tc>
          <w:tcPr>
            <w:tcW w:w="3996"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2"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43" w:type="dxa"/>
            <w:tcBorders/>
            <w:shd w:fill="auto" w:val="clear"/>
            <w:vAlign w:val="bottom"/>
          </w:tcPr>
          <w:p>
            <w:pPr>
              <w:pStyle w:val="TableHeading"/>
              <w:suppressLineNumbers/>
              <w:spacing w:before="0" w:after="283"/>
              <w:jc w:val="center"/>
              <w:rPr/>
            </w:pPr>
            <w:r>
              <w:rPr/>
              <w:t> </w:t>
            </w:r>
          </w:p>
        </w:tc>
      </w:tr>
      <w:tr>
        <w:trPr/>
        <w:tc>
          <w:tcPr>
            <w:tcW w:w="399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60,624</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55,483</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118,527</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113,663</w:t>
            </w:r>
          </w:p>
        </w:tc>
        <w:tc>
          <w:tcPr>
            <w:tcW w:w="143" w:type="dxa"/>
            <w:tcBorders/>
            <w:shd w:fill="CCEEFF"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3" w:type="dxa"/>
            <w:tcBorders/>
            <w:shd w:fill="FFFFFF"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(12,663</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(23,334</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(42,219</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(70,852</w:t>
            </w:r>
          </w:p>
        </w:tc>
        <w:tc>
          <w:tcPr>
            <w:tcW w:w="143"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(4,696</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(42</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(4,434</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(757</w:t>
            </w:r>
          </w:p>
        </w:tc>
        <w:tc>
          <w:tcPr>
            <w:tcW w:w="143"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9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(534</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(599</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(1,076</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(1,203</w:t>
            </w:r>
          </w:p>
        </w:tc>
        <w:tc>
          <w:tcPr>
            <w:tcW w:w="143"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42,731</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31,508</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70,798</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40,851</w:t>
            </w:r>
          </w:p>
        </w:tc>
        <w:tc>
          <w:tcPr>
            <w:tcW w:w="143" w:type="dxa"/>
            <w:tcBorders/>
            <w:shd w:fill="FFFFFF"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46,119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40,206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85,192</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83,487</w:t>
            </w:r>
          </w:p>
        </w:tc>
        <w:tc>
          <w:tcPr>
            <w:tcW w:w="143" w:type="dxa"/>
            <w:tcBorders/>
            <w:shd w:fill="CCEEFF" w:val="clear"/>
            <w:vAlign w:val="bottom"/>
          </w:tcPr>
          <w:p>
            <w:pPr>
              <w:pStyle w:val="TableContents"/>
              <w:spacing w:before="0" w:after="283"/>
              <w:rPr/>
            </w:pPr>
            <w:r>
              <w:rPr/>
              <w:t> </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927</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784</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831</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489</w:t>
            </w:r>
          </w:p>
        </w:tc>
        <w:tc>
          <w:tcPr>
            <w:tcW w:w="143" w:type="dxa"/>
            <w:tcBorders/>
            <w:shd w:fill="FFFFFF" w:val="clear"/>
            <w:vAlign w:val="bottom"/>
          </w:tcPr>
          <w:p>
            <w:pPr>
              <w:pStyle w:val="TableContents"/>
              <w:spacing w:before="0" w:after="283"/>
              <w:rPr/>
            </w:pPr>
            <w:r>
              <w:rPr/>
              <w:t> </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Lapa Mine  Total Cash Costs per Ounce of Gold Produced</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996"/>
        <w:gridCol w:w="132"/>
        <w:gridCol w:w="125"/>
        <w:gridCol w:w="1333"/>
        <w:gridCol w:w="140"/>
        <w:gridCol w:w="125"/>
        <w:gridCol w:w="1333"/>
        <w:gridCol w:w="140"/>
        <w:gridCol w:w="125"/>
        <w:gridCol w:w="1174"/>
        <w:gridCol w:w="140"/>
        <w:gridCol w:w="125"/>
        <w:gridCol w:w="1174"/>
        <w:gridCol w:w="143"/>
      </w:tblGrid>
      <w:tr>
        <w:trPr/>
        <w:tc>
          <w:tcPr>
            <w:tcW w:w="3996"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r>
      <w:tr>
        <w:trPr/>
        <w:tc>
          <w:tcPr>
            <w:tcW w:w="3996"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2"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43" w:type="dxa"/>
            <w:tcBorders/>
            <w:shd w:fill="auto" w:val="clear"/>
            <w:vAlign w:val="bottom"/>
          </w:tcPr>
          <w:p>
            <w:pPr>
              <w:pStyle w:val="TableHeading"/>
              <w:suppressLineNumbers/>
              <w:spacing w:before="0" w:after="283"/>
              <w:jc w:val="center"/>
              <w:rPr/>
            </w:pPr>
            <w:r>
              <w:rPr/>
              <w:t> </w:t>
            </w:r>
          </w:p>
        </w:tc>
      </w:tr>
      <w:tr>
        <w:trPr/>
        <w:tc>
          <w:tcPr>
            <w:tcW w:w="399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18,094</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18,450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34,704</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37,107</w:t>
            </w:r>
          </w:p>
        </w:tc>
        <w:tc>
          <w:tcPr>
            <w:tcW w:w="143" w:type="dxa"/>
            <w:tcBorders/>
            <w:shd w:fill="CCEEFF"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3" w:type="dxa"/>
            <w:tcBorders/>
            <w:shd w:fill="FFFFFF"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92</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115</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169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176</w:t>
            </w:r>
          </w:p>
        </w:tc>
        <w:tc>
          <w:tcPr>
            <w:tcW w:w="143" w:type="dxa"/>
            <w:tcBorders/>
            <w:shd w:fill="CCEEFF"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(1,491</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(685</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119</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(702</w:t>
            </w:r>
          </w:p>
        </w:tc>
        <w:tc>
          <w:tcPr>
            <w:tcW w:w="143"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9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(17</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(15</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(34</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221</w:t>
            </w:r>
          </w:p>
        </w:tc>
        <w:tc>
          <w:tcPr>
            <w:tcW w:w="143" w:type="dxa"/>
            <w:tcBorders/>
            <w:shd w:fill="CCEEFF" w:val="clear"/>
            <w:vAlign w:val="bottom"/>
          </w:tcPr>
          <w:p>
            <w:pPr>
              <w:pStyle w:val="TableContents"/>
              <w:spacing w:before="0" w:after="283"/>
              <w:rPr/>
            </w:pPr>
            <w:r>
              <w:rPr/>
              <w:t> </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16,678</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17,865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34,958</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36,802</w:t>
            </w:r>
          </w:p>
        </w:tc>
        <w:tc>
          <w:tcPr>
            <w:tcW w:w="143" w:type="dxa"/>
            <w:tcBorders/>
            <w:shd w:fill="FFFFFF"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23,178</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28,157</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50,046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56,656</w:t>
            </w:r>
          </w:p>
        </w:tc>
        <w:tc>
          <w:tcPr>
            <w:tcW w:w="143" w:type="dxa"/>
            <w:tcBorders/>
            <w:shd w:fill="CCEEFF" w:val="clear"/>
            <w:vAlign w:val="bottom"/>
          </w:tcPr>
          <w:p>
            <w:pPr>
              <w:pStyle w:val="TableContents"/>
              <w:spacing w:before="0" w:after="283"/>
              <w:rPr/>
            </w:pPr>
            <w:r>
              <w:rPr/>
              <w:t> </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720</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634</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699</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650</w:t>
            </w:r>
          </w:p>
        </w:tc>
        <w:tc>
          <w:tcPr>
            <w:tcW w:w="143" w:type="dxa"/>
            <w:tcBorders/>
            <w:shd w:fill="FFFFFF" w:val="clear"/>
            <w:vAlign w:val="bottom"/>
          </w:tcPr>
          <w:p>
            <w:pPr>
              <w:pStyle w:val="TableContents"/>
              <w:spacing w:before="0" w:after="283"/>
              <w:rPr/>
            </w:pPr>
            <w:r>
              <w:rPr/>
              <w:t> </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7</w:t>
      </w:r>
    </w:p>
    <w:p>
      <w:pPr>
        <w:pStyle w:val="HorizontalLine"/>
        <w:pBdr>
          <w:bottom w:val="single" w:sz="20" w:space="0" w:color="808080"/>
        </w:pBdr>
        <w:rPr/>
      </w:pPr>
      <w:r>
        <w:rPr/>
      </w:r>
      <w:r>
        <w:br w:type="page"/>
      </w:r>
    </w:p>
    <w:p>
      <w:pPr>
        <w:pStyle w:val="TextBody"/>
        <w:rPr>
          <w:rFonts w:ascii="times" w:hAnsi="times"/>
          <w:b/>
          <w:sz w:val="20"/>
        </w:rPr>
      </w:pPr>
      <w:bookmarkStart w:id="20" w:name="page_de72201_1_8"/>
      <w:bookmarkEnd w:id="20"/>
      <w:r>
        <w:rPr>
          <w:rFonts w:ascii="times" w:hAnsi="times"/>
          <w:b/>
          <w:sz w:val="20"/>
          <w:u w:val="single"/>
        </w:rPr>
        <w:t>Kittila Mine  Total Cash Costs per Ounce of Gold Produced</w:t>
      </w:r>
      <w:r>
        <w:rPr>
          <w:rFonts w:ascii="times" w:hAnsi="times"/>
          <w:b/>
          <w:position w:val="7"/>
          <w:sz w:val="16"/>
          <w:sz w:val="20"/>
        </w:rPr>
        <w:t>(i)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002"/>
        <w:gridCol w:w="132"/>
        <w:gridCol w:w="125"/>
        <w:gridCol w:w="1333"/>
        <w:gridCol w:w="132"/>
        <w:gridCol w:w="125"/>
        <w:gridCol w:w="1333"/>
        <w:gridCol w:w="140"/>
        <w:gridCol w:w="125"/>
        <w:gridCol w:w="1174"/>
        <w:gridCol w:w="140"/>
        <w:gridCol w:w="125"/>
        <w:gridCol w:w="1174"/>
        <w:gridCol w:w="145"/>
      </w:tblGrid>
      <w:tr>
        <w:trPr/>
        <w:tc>
          <w:tcPr>
            <w:tcW w:w="4002"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r>
      <w:tr>
        <w:trPr/>
        <w:tc>
          <w:tcPr>
            <w:tcW w:w="4002"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2"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32"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45" w:type="dxa"/>
            <w:tcBorders/>
            <w:shd w:fill="auto" w:val="clear"/>
            <w:vAlign w:val="bottom"/>
          </w:tcPr>
          <w:p>
            <w:pPr>
              <w:pStyle w:val="TableHeading"/>
              <w:suppressLineNumbers/>
              <w:spacing w:before="0" w:after="283"/>
              <w:jc w:val="center"/>
              <w:rPr/>
            </w:pPr>
            <w:r>
              <w:rPr/>
              <w:t> </w:t>
            </w:r>
          </w:p>
        </w:tc>
      </w:tr>
      <w:tr>
        <w:trPr/>
        <w:tc>
          <w:tcPr>
            <w:tcW w:w="400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23,515</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27,182</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49,545</w:t>
            </w:r>
          </w:p>
        </w:tc>
        <w:tc>
          <w:tcPr>
            <w:tcW w:w="145" w:type="dxa"/>
            <w:tcBorders/>
            <w:shd w:fill="CCEEFF" w:val="clear"/>
            <w:vAlign w:val="bottom"/>
          </w:tcPr>
          <w:p>
            <w:pPr>
              <w:pStyle w:val="TableContents"/>
              <w:spacing w:before="0" w:after="283"/>
              <w:rPr/>
            </w:pPr>
            <w:r>
              <w:rPr/>
              <w:t> </w:t>
            </w:r>
          </w:p>
        </w:tc>
      </w:tr>
      <w:tr>
        <w:trPr/>
        <w:tc>
          <w:tcPr>
            <w:tcW w:w="400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r>
      <w:tr>
        <w:trPr/>
        <w:tc>
          <w:tcPr>
            <w:tcW w:w="4002"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134</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157</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253</w:t>
            </w:r>
          </w:p>
        </w:tc>
        <w:tc>
          <w:tcPr>
            <w:tcW w:w="145" w:type="dxa"/>
            <w:tcBorders/>
            <w:shd w:fill="CCEEFF" w:val="clear"/>
            <w:vAlign w:val="bottom"/>
          </w:tcPr>
          <w:p>
            <w:pPr>
              <w:pStyle w:val="TableContents"/>
              <w:spacing w:before="0" w:after="283"/>
              <w:rPr/>
            </w:pPr>
            <w:r>
              <w:rPr/>
              <w:t> </w:t>
            </w:r>
          </w:p>
        </w:tc>
      </w:tr>
      <w:tr>
        <w:trPr/>
        <w:tc>
          <w:tcPr>
            <w:tcW w:w="4002"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446</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(294</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886</w:t>
            </w:r>
          </w:p>
        </w:tc>
        <w:tc>
          <w:tcPr>
            <w:tcW w:w="145" w:type="dxa"/>
            <w:tcBorders/>
            <w:shd w:fill="FFFFFF" w:val="clear"/>
            <w:vAlign w:val="bottom"/>
          </w:tcPr>
          <w:p>
            <w:pPr>
              <w:pStyle w:val="TableContents"/>
              <w:spacing w:before="0" w:after="283"/>
              <w:rPr/>
            </w:pPr>
            <w:r>
              <w:rPr/>
              <w:t> </w:t>
            </w:r>
          </w:p>
        </w:tc>
      </w:tr>
      <w:tr>
        <w:trPr/>
        <w:tc>
          <w:tcPr>
            <w:tcW w:w="4002"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(99</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(120</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(256</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00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r>
        <w:trPr/>
        <w:tc>
          <w:tcPr>
            <w:tcW w:w="400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23,996</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26,925</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50,428</w:t>
            </w:r>
          </w:p>
        </w:tc>
        <w:tc>
          <w:tcPr>
            <w:tcW w:w="145" w:type="dxa"/>
            <w:tcBorders/>
            <w:shd w:fill="FFFFFF" w:val="clear"/>
            <w:vAlign w:val="bottom"/>
          </w:tcPr>
          <w:p>
            <w:pPr>
              <w:pStyle w:val="TableContents"/>
              <w:spacing w:before="0" w:after="283"/>
              <w:rPr/>
            </w:pPr>
            <w:r>
              <w:rPr/>
              <w:t> </w:t>
            </w:r>
          </w:p>
        </w:tc>
      </w:tr>
      <w:tr>
        <w:trPr/>
        <w:tc>
          <w:tcPr>
            <w:tcW w:w="400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35,228</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43,145</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81,986</w:t>
            </w:r>
          </w:p>
        </w:tc>
        <w:tc>
          <w:tcPr>
            <w:tcW w:w="145" w:type="dxa"/>
            <w:tcBorders/>
            <w:shd w:fill="CCEEFF"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r>
        <w:trPr/>
        <w:tc>
          <w:tcPr>
            <w:tcW w:w="400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681</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624</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615</w:t>
            </w:r>
          </w:p>
        </w:tc>
        <w:tc>
          <w:tcPr>
            <w:tcW w:w="145" w:type="dxa"/>
            <w:tcBorders/>
            <w:shd w:fill="FFFFFF" w:val="clear"/>
            <w:vAlign w:val="bottom"/>
          </w:tcPr>
          <w:p>
            <w:pPr>
              <w:pStyle w:val="TableContents"/>
              <w:spacing w:before="0" w:after="283"/>
              <w:rPr/>
            </w:pPr>
            <w:r>
              <w:rPr/>
              <w:t> </w:t>
            </w:r>
          </w:p>
        </w:tc>
      </w:tr>
      <w:tr>
        <w:trPr/>
        <w:tc>
          <w:tcPr>
            <w:tcW w:w="400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Pinos Altos Mine  Total Cash Costs per Ounce of Gold Produced</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999"/>
        <w:gridCol w:w="132"/>
        <w:gridCol w:w="125"/>
        <w:gridCol w:w="1332"/>
        <w:gridCol w:w="140"/>
        <w:gridCol w:w="125"/>
        <w:gridCol w:w="1332"/>
        <w:gridCol w:w="140"/>
        <w:gridCol w:w="125"/>
        <w:gridCol w:w="1173"/>
        <w:gridCol w:w="140"/>
        <w:gridCol w:w="124"/>
        <w:gridCol w:w="1173"/>
        <w:gridCol w:w="145"/>
      </w:tblGrid>
      <w:tr>
        <w:trPr/>
        <w:tc>
          <w:tcPr>
            <w:tcW w:w="3999"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173"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r>
      <w:tr>
        <w:trPr/>
        <w:tc>
          <w:tcPr>
            <w:tcW w:w="3999"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2" w:type="dxa"/>
            <w:tcBorders/>
            <w:shd w:fill="auto" w:val="clear"/>
            <w:vAlign w:val="bottom"/>
          </w:tcPr>
          <w:p>
            <w:pPr>
              <w:pStyle w:val="TableHeading"/>
              <w:suppressLineNumbers/>
              <w:spacing w:before="0" w:after="283"/>
              <w:jc w:val="center"/>
              <w:rPr/>
            </w:pPr>
            <w:r>
              <w:rPr/>
              <w:t> </w:t>
            </w:r>
          </w:p>
        </w:tc>
        <w:tc>
          <w:tcPr>
            <w:tcW w:w="14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4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40" w:type="dxa"/>
            <w:tcBorders/>
            <w:shd w:fill="auto" w:val="clear"/>
            <w:vAlign w:val="bottom"/>
          </w:tcPr>
          <w:p>
            <w:pPr>
              <w:pStyle w:val="TableHeading"/>
              <w:suppressLineNumbers/>
              <w:spacing w:before="0" w:after="283"/>
              <w:jc w:val="center"/>
              <w:rPr/>
            </w:pPr>
            <w:r>
              <w:rPr/>
              <w:t> </w:t>
            </w:r>
          </w:p>
        </w:tc>
        <w:tc>
          <w:tcPr>
            <w:tcW w:w="129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2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45" w:type="dxa"/>
            <w:tcBorders/>
            <w:shd w:fill="auto" w:val="clear"/>
            <w:vAlign w:val="bottom"/>
          </w:tcPr>
          <w:p>
            <w:pPr>
              <w:pStyle w:val="TableHeading"/>
              <w:suppressLineNumbers/>
              <w:spacing w:before="0" w:after="283"/>
              <w:jc w:val="center"/>
              <w:rPr/>
            </w:pPr>
            <w:r>
              <w:rPr/>
              <w:t> </w:t>
            </w:r>
          </w:p>
        </w:tc>
      </w:tr>
      <w:tr>
        <w:trPr/>
        <w:tc>
          <w:tcPr>
            <w:tcW w:w="39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34,511</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33,050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66,163</w:t>
            </w:r>
          </w:p>
        </w:tc>
        <w:tc>
          <w:tcPr>
            <w:tcW w:w="14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63,711</w:t>
            </w:r>
          </w:p>
        </w:tc>
        <w:tc>
          <w:tcPr>
            <w:tcW w:w="145" w:type="dxa"/>
            <w:tcBorders/>
            <w:shd w:fill="CCEEFF" w:val="clear"/>
            <w:vAlign w:val="bottom"/>
          </w:tcPr>
          <w:p>
            <w:pPr>
              <w:pStyle w:val="TableContents"/>
              <w:spacing w:before="0" w:after="283"/>
              <w:rPr/>
            </w:pPr>
            <w:r>
              <w:rPr/>
              <w:t> </w:t>
            </w:r>
          </w:p>
        </w:tc>
      </w:tr>
      <w:tr>
        <w:trPr/>
        <w:tc>
          <w:tcPr>
            <w:tcW w:w="39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(9,486</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(13,274</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(26,052</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(29,403</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(200</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(118</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(630</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494</w:t>
            </w:r>
          </w:p>
        </w:tc>
        <w:tc>
          <w:tcPr>
            <w:tcW w:w="145" w:type="dxa"/>
            <w:tcBorders/>
            <w:shd w:fill="FFFFFF"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(74</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(52</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(148</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(103</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(1,251</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(3,017</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(2,570</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(7,197</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9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23,500</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16,589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36,763</w:t>
            </w:r>
          </w:p>
        </w:tc>
        <w:tc>
          <w:tcPr>
            <w:tcW w:w="14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27,502</w:t>
            </w:r>
          </w:p>
        </w:tc>
        <w:tc>
          <w:tcPr>
            <w:tcW w:w="145" w:type="dxa"/>
            <w:tcBorders/>
            <w:shd w:fill="CCEEFF" w:val="clear"/>
            <w:vAlign w:val="bottom"/>
          </w:tcPr>
          <w:p>
            <w:pPr>
              <w:pStyle w:val="TableContents"/>
              <w:spacing w:before="0" w:after="283"/>
              <w:rPr/>
            </w:pPr>
            <w:r>
              <w:rPr/>
              <w:t> </w:t>
            </w:r>
          </w:p>
        </w:tc>
      </w:tr>
      <w:tr>
        <w:trPr/>
        <w:tc>
          <w:tcPr>
            <w:tcW w:w="39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47,383</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45,307</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91,547</w:t>
            </w:r>
          </w:p>
        </w:tc>
        <w:tc>
          <w:tcPr>
            <w:tcW w:w="140"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88,599</w:t>
            </w:r>
          </w:p>
        </w:tc>
        <w:tc>
          <w:tcPr>
            <w:tcW w:w="145" w:type="dxa"/>
            <w:tcBorders/>
            <w:shd w:fill="FFFFFF" w:val="clear"/>
            <w:vAlign w:val="bottom"/>
          </w:tcPr>
          <w:p>
            <w:pPr>
              <w:pStyle w:val="TableContents"/>
              <w:spacing w:before="0" w:after="283"/>
              <w:rPr/>
            </w:pPr>
            <w:r>
              <w:rPr/>
              <w:t> </w:t>
            </w:r>
          </w:p>
        </w:tc>
      </w:tr>
      <w:tr>
        <w:trPr/>
        <w:tc>
          <w:tcPr>
            <w:tcW w:w="399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496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366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402</w:t>
            </w:r>
          </w:p>
        </w:tc>
        <w:tc>
          <w:tcPr>
            <w:tcW w:w="14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310</w:t>
            </w:r>
          </w:p>
        </w:tc>
        <w:tc>
          <w:tcPr>
            <w:tcW w:w="145" w:type="dxa"/>
            <w:tcBorders/>
            <w:shd w:fill="CCEEFF" w:val="clear"/>
            <w:vAlign w:val="bottom"/>
          </w:tcPr>
          <w:p>
            <w:pPr>
              <w:pStyle w:val="TableContents"/>
              <w:spacing w:before="0" w:after="283"/>
              <w:rPr/>
            </w:pPr>
            <w:r>
              <w:rPr/>
              <w:t> </w:t>
            </w:r>
          </w:p>
        </w:tc>
      </w:tr>
      <w:tr>
        <w:trPr/>
        <w:tc>
          <w:tcPr>
            <w:tcW w:w="399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Creston Mascota deposit at Pinos Altos  Total Cash Costs per Ounce of Gold Produced</w:t>
      </w:r>
      <w:r>
        <w:rPr>
          <w:rFonts w:ascii="times" w:hAnsi="times"/>
          <w:b/>
          <w:position w:val="7"/>
          <w:sz w:val="16"/>
          <w:sz w:val="20"/>
        </w:rPr>
        <w:t>(ii)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999"/>
        <w:gridCol w:w="132"/>
        <w:gridCol w:w="125"/>
        <w:gridCol w:w="1332"/>
        <w:gridCol w:w="140"/>
        <w:gridCol w:w="125"/>
        <w:gridCol w:w="1332"/>
        <w:gridCol w:w="140"/>
        <w:gridCol w:w="125"/>
        <w:gridCol w:w="1173"/>
        <w:gridCol w:w="140"/>
        <w:gridCol w:w="124"/>
        <w:gridCol w:w="1173"/>
        <w:gridCol w:w="145"/>
      </w:tblGrid>
      <w:tr>
        <w:trPr/>
        <w:tc>
          <w:tcPr>
            <w:tcW w:w="3999"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173"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r>
      <w:tr>
        <w:trPr/>
        <w:tc>
          <w:tcPr>
            <w:tcW w:w="3999"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2" w:type="dxa"/>
            <w:tcBorders/>
            <w:shd w:fill="auto" w:val="clear"/>
            <w:vAlign w:val="bottom"/>
          </w:tcPr>
          <w:p>
            <w:pPr>
              <w:pStyle w:val="TableHeading"/>
              <w:suppressLineNumbers/>
              <w:spacing w:before="0" w:after="283"/>
              <w:jc w:val="center"/>
              <w:rPr/>
            </w:pPr>
            <w:r>
              <w:rPr/>
              <w:t> </w:t>
            </w:r>
          </w:p>
        </w:tc>
        <w:tc>
          <w:tcPr>
            <w:tcW w:w="14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4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40" w:type="dxa"/>
            <w:tcBorders/>
            <w:shd w:fill="auto" w:val="clear"/>
            <w:vAlign w:val="bottom"/>
          </w:tcPr>
          <w:p>
            <w:pPr>
              <w:pStyle w:val="TableHeading"/>
              <w:suppressLineNumbers/>
              <w:spacing w:before="0" w:after="283"/>
              <w:jc w:val="center"/>
              <w:rPr/>
            </w:pPr>
            <w:r>
              <w:rPr/>
              <w:t> </w:t>
            </w:r>
          </w:p>
        </w:tc>
        <w:tc>
          <w:tcPr>
            <w:tcW w:w="129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2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45" w:type="dxa"/>
            <w:tcBorders/>
            <w:shd w:fill="auto" w:val="clear"/>
            <w:vAlign w:val="bottom"/>
          </w:tcPr>
          <w:p>
            <w:pPr>
              <w:pStyle w:val="TableHeading"/>
              <w:suppressLineNumbers/>
              <w:spacing w:before="0" w:after="283"/>
              <w:jc w:val="center"/>
              <w:rPr/>
            </w:pPr>
            <w:r>
              <w:rPr/>
              <w:t> </w:t>
            </w:r>
          </w:p>
        </w:tc>
      </w:tr>
      <w:tr>
        <w:trPr/>
        <w:tc>
          <w:tcPr>
            <w:tcW w:w="39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4,427</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7,769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4,427</w:t>
            </w:r>
          </w:p>
        </w:tc>
        <w:tc>
          <w:tcPr>
            <w:tcW w:w="14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12,269</w:t>
            </w:r>
          </w:p>
        </w:tc>
        <w:tc>
          <w:tcPr>
            <w:tcW w:w="145" w:type="dxa"/>
            <w:tcBorders/>
            <w:shd w:fill="CCEEFF" w:val="clear"/>
            <w:vAlign w:val="bottom"/>
          </w:tcPr>
          <w:p>
            <w:pPr>
              <w:pStyle w:val="TableContents"/>
              <w:spacing w:before="0" w:after="283"/>
              <w:rPr/>
            </w:pPr>
            <w:r>
              <w:rPr/>
              <w:t> </w:t>
            </w:r>
          </w:p>
        </w:tc>
      </w:tr>
      <w:tr>
        <w:trPr/>
        <w:tc>
          <w:tcPr>
            <w:tcW w:w="39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(136</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(476</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(136</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(796</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1,127</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(1,031</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1,127</w:t>
            </w:r>
          </w:p>
        </w:tc>
        <w:tc>
          <w:tcPr>
            <w:tcW w:w="140"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111</w:t>
            </w:r>
          </w:p>
        </w:tc>
        <w:tc>
          <w:tcPr>
            <w:tcW w:w="145" w:type="dxa"/>
            <w:tcBorders/>
            <w:shd w:fill="FFFFFF"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(37</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(143</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(37</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CCEEFF" w:val="clear"/>
            <w:vAlign w:val="bottom"/>
          </w:tcPr>
          <w:p>
            <w:pPr>
              <w:pStyle w:val="TableContents"/>
              <w:spacing w:before="0" w:after="283"/>
              <w:rPr/>
            </w:pPr>
            <w:r>
              <w:rPr/>
              <w:t> </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(525</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(332</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(332</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5" w:type="dxa"/>
            <w:tcBorders/>
            <w:shd w:fill="FFFFFF" w:val="clear"/>
            <w:vAlign w:val="bottom"/>
          </w:tcPr>
          <w:p>
            <w:pPr>
              <w:pStyle w:val="TableContents"/>
              <w:spacing w:before="0" w:after="283"/>
              <w:rPr/>
            </w:pPr>
            <w:r>
              <w:rPr/>
              <w:t> </w:t>
            </w:r>
          </w:p>
        </w:tc>
      </w:tr>
      <w:tr>
        <w:trPr/>
        <w:tc>
          <w:tcPr>
            <w:tcW w:w="399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5,049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6,119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5,049</w:t>
            </w:r>
          </w:p>
        </w:tc>
        <w:tc>
          <w:tcPr>
            <w:tcW w:w="14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11,059</w:t>
            </w:r>
          </w:p>
        </w:tc>
        <w:tc>
          <w:tcPr>
            <w:tcW w:w="145" w:type="dxa"/>
            <w:tcBorders/>
            <w:shd w:fill="CCEEFF" w:val="clear"/>
            <w:vAlign w:val="bottom"/>
          </w:tcPr>
          <w:p>
            <w:pPr>
              <w:pStyle w:val="TableContents"/>
              <w:spacing w:before="0" w:after="283"/>
              <w:rPr/>
            </w:pPr>
            <w:r>
              <w:rPr/>
              <w:t> </w:t>
            </w:r>
          </w:p>
        </w:tc>
      </w:tr>
      <w:tr>
        <w:trPr/>
        <w:tc>
          <w:tcPr>
            <w:tcW w:w="399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10,147</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18,049</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10,147</w:t>
            </w:r>
          </w:p>
        </w:tc>
        <w:tc>
          <w:tcPr>
            <w:tcW w:w="140"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1173" w:type="dxa"/>
            <w:tcBorders/>
            <w:shd w:fill="FFFFFF" w:val="clear"/>
            <w:vAlign w:val="bottom"/>
          </w:tcPr>
          <w:p>
            <w:pPr>
              <w:pStyle w:val="TableContents"/>
              <w:spacing w:before="0" w:after="283"/>
              <w:jc w:val="right"/>
              <w:rPr>
                <w:rFonts w:ascii="times" w:hAnsi="times"/>
                <w:sz w:val="20"/>
              </w:rPr>
            </w:pPr>
            <w:r>
              <w:rPr>
                <w:rFonts w:ascii="times" w:hAnsi="times"/>
                <w:sz w:val="20"/>
              </w:rPr>
              <w:t>31,773</w:t>
            </w:r>
          </w:p>
        </w:tc>
        <w:tc>
          <w:tcPr>
            <w:tcW w:w="145" w:type="dxa"/>
            <w:tcBorders/>
            <w:shd w:fill="FFFFFF" w:val="clear"/>
            <w:vAlign w:val="bottom"/>
          </w:tcPr>
          <w:p>
            <w:pPr>
              <w:pStyle w:val="TableContents"/>
              <w:spacing w:before="0" w:after="283"/>
              <w:rPr/>
            </w:pPr>
            <w:r>
              <w:rPr/>
              <w:t> </w:t>
            </w:r>
          </w:p>
        </w:tc>
      </w:tr>
      <w:tr>
        <w:trPr/>
        <w:tc>
          <w:tcPr>
            <w:tcW w:w="399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r>
        <w:trPr/>
        <w:tc>
          <w:tcPr>
            <w:tcW w:w="399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498</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339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498</w:t>
            </w:r>
          </w:p>
        </w:tc>
        <w:tc>
          <w:tcPr>
            <w:tcW w:w="14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3" w:type="dxa"/>
            <w:tcBorders/>
            <w:shd w:fill="CCEEFF" w:val="clear"/>
            <w:vAlign w:val="bottom"/>
          </w:tcPr>
          <w:p>
            <w:pPr>
              <w:pStyle w:val="TableContents"/>
              <w:spacing w:before="0" w:after="283"/>
              <w:jc w:val="right"/>
              <w:rPr>
                <w:rFonts w:ascii="times" w:hAnsi="times"/>
                <w:sz w:val="20"/>
              </w:rPr>
            </w:pPr>
            <w:r>
              <w:rPr>
                <w:rFonts w:ascii="times" w:hAnsi="times"/>
                <w:sz w:val="20"/>
              </w:rPr>
              <w:t>348</w:t>
            </w:r>
          </w:p>
        </w:tc>
        <w:tc>
          <w:tcPr>
            <w:tcW w:w="145" w:type="dxa"/>
            <w:tcBorders/>
            <w:shd w:fill="CCEEFF" w:val="clear"/>
            <w:vAlign w:val="bottom"/>
          </w:tcPr>
          <w:p>
            <w:pPr>
              <w:pStyle w:val="TableContents"/>
              <w:spacing w:before="0" w:after="283"/>
              <w:rPr/>
            </w:pPr>
            <w:r>
              <w:rPr/>
              <w:t> </w:t>
            </w:r>
          </w:p>
        </w:tc>
      </w:tr>
      <w:tr>
        <w:trPr/>
        <w:tc>
          <w:tcPr>
            <w:tcW w:w="399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8</w:t>
      </w:r>
    </w:p>
    <w:p>
      <w:pPr>
        <w:pStyle w:val="HorizontalLine"/>
        <w:pBdr>
          <w:bottom w:val="single" w:sz="20" w:space="0" w:color="808080"/>
        </w:pBdr>
        <w:rPr/>
      </w:pPr>
      <w:r>
        <w:rPr/>
      </w:r>
      <w:r>
        <w:br w:type="page"/>
      </w:r>
    </w:p>
    <w:p>
      <w:pPr>
        <w:pStyle w:val="TextBody"/>
        <w:rPr>
          <w:rFonts w:ascii="times" w:hAnsi="times"/>
          <w:b/>
          <w:sz w:val="20"/>
        </w:rPr>
      </w:pPr>
      <w:bookmarkStart w:id="21" w:name="page_de72201_1_9"/>
      <w:bookmarkEnd w:id="21"/>
      <w:r>
        <w:rPr>
          <w:rFonts w:ascii="times" w:hAnsi="times"/>
          <w:b/>
          <w:sz w:val="20"/>
          <w:u w:val="single"/>
        </w:rPr>
        <w:t>Meadowbank Mine  Total Cash Costs per Ounce of Gold Produced</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996"/>
        <w:gridCol w:w="132"/>
        <w:gridCol w:w="125"/>
        <w:gridCol w:w="1333"/>
        <w:gridCol w:w="140"/>
        <w:gridCol w:w="125"/>
        <w:gridCol w:w="1333"/>
        <w:gridCol w:w="140"/>
        <w:gridCol w:w="125"/>
        <w:gridCol w:w="1174"/>
        <w:gridCol w:w="140"/>
        <w:gridCol w:w="125"/>
        <w:gridCol w:w="1174"/>
        <w:gridCol w:w="143"/>
      </w:tblGrid>
      <w:tr>
        <w:trPr/>
        <w:tc>
          <w:tcPr>
            <w:tcW w:w="3996"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3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r>
      <w:tr>
        <w:trPr/>
        <w:tc>
          <w:tcPr>
            <w:tcW w:w="3996"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2"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4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40" w:type="dxa"/>
            <w:tcBorders/>
            <w:shd w:fill="auto" w:val="clear"/>
            <w:vAlign w:val="bottom"/>
          </w:tcPr>
          <w:p>
            <w:pPr>
              <w:pStyle w:val="TableHeading"/>
              <w:suppressLineNumbers/>
              <w:spacing w:before="0" w:after="283"/>
              <w:jc w:val="center"/>
              <w:rPr/>
            </w:pPr>
            <w:r>
              <w:rPr/>
              <w:t> </w:t>
            </w:r>
          </w:p>
        </w:tc>
        <w:tc>
          <w:tcPr>
            <w:tcW w:w="12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43" w:type="dxa"/>
            <w:tcBorders/>
            <w:shd w:fill="auto" w:val="clear"/>
            <w:vAlign w:val="bottom"/>
          </w:tcPr>
          <w:p>
            <w:pPr>
              <w:pStyle w:val="TableHeading"/>
              <w:suppressLineNumbers/>
              <w:spacing w:before="0" w:after="283"/>
              <w:jc w:val="center"/>
              <w:rPr/>
            </w:pPr>
            <w:r>
              <w:rPr/>
              <w:t> </w:t>
            </w:r>
          </w:p>
        </w:tc>
      </w:tr>
      <w:tr>
        <w:trPr/>
        <w:tc>
          <w:tcPr>
            <w:tcW w:w="399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90,136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81,639</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183,725</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158,646</w:t>
            </w:r>
          </w:p>
        </w:tc>
        <w:tc>
          <w:tcPr>
            <w:tcW w:w="143" w:type="dxa"/>
            <w:tcBorders/>
            <w:shd w:fill="CCEEFF"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rPr/>
            </w:pPr>
            <w:r>
              <w:rPr/>
              <w:t> </w:t>
            </w:r>
          </w:p>
        </w:tc>
        <w:tc>
          <w:tcPr>
            <w:tcW w:w="143" w:type="dxa"/>
            <w:tcBorders/>
            <w:shd w:fill="FFFFFF"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(345</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(484</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(908</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(1,118</w:t>
            </w:r>
          </w:p>
        </w:tc>
        <w:tc>
          <w:tcPr>
            <w:tcW w:w="143"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1,344</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(186</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2,336</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5,068</w:t>
            </w:r>
          </w:p>
        </w:tc>
        <w:tc>
          <w:tcPr>
            <w:tcW w:w="143" w:type="dxa"/>
            <w:tcBorders/>
            <w:shd w:fill="FFFFFF"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(387</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(395</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(780</w:t>
            </w:r>
          </w:p>
        </w:tc>
        <w:tc>
          <w:tcPr>
            <w:tcW w:w="14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(789</w:t>
            </w:r>
          </w:p>
        </w:tc>
        <w:tc>
          <w:tcPr>
            <w:tcW w:w="143"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99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(6,921</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(1,441</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(13,045</w:t>
            </w:r>
          </w:p>
        </w:tc>
        <w:tc>
          <w:tcPr>
            <w:tcW w:w="14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(1,663</w:t>
            </w:r>
          </w:p>
        </w:tc>
        <w:tc>
          <w:tcPr>
            <w:tcW w:w="143"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83,827</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79,133</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171,328</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160,144</w:t>
            </w:r>
          </w:p>
        </w:tc>
        <w:tc>
          <w:tcPr>
            <w:tcW w:w="143" w:type="dxa"/>
            <w:tcBorders/>
            <w:shd w:fill="CCEEFF" w:val="clear"/>
            <w:vAlign w:val="bottom"/>
          </w:tcPr>
          <w:p>
            <w:pPr>
              <w:pStyle w:val="TableContents"/>
              <w:spacing w:before="0" w:after="283"/>
              <w:rPr/>
            </w:pPr>
            <w:r>
              <w:rPr/>
              <w:t> </w:t>
            </w:r>
          </w:p>
        </w:tc>
      </w:tr>
      <w:tr>
        <w:trPr/>
        <w:tc>
          <w:tcPr>
            <w:tcW w:w="399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91,873</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33" w:type="dxa"/>
            <w:tcBorders/>
            <w:shd w:fill="FFFFFF" w:val="clear"/>
            <w:vAlign w:val="bottom"/>
          </w:tcPr>
          <w:p>
            <w:pPr>
              <w:pStyle w:val="TableContents"/>
              <w:spacing w:before="0" w:after="283"/>
              <w:jc w:val="right"/>
              <w:rPr>
                <w:rFonts w:ascii="times" w:hAnsi="times"/>
                <w:sz w:val="20"/>
              </w:rPr>
            </w:pPr>
            <w:r>
              <w:rPr>
                <w:rFonts w:ascii="times" w:hAnsi="times"/>
                <w:sz w:val="20"/>
              </w:rPr>
              <w:t>98,403</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173,691</w:t>
            </w:r>
          </w:p>
        </w:tc>
        <w:tc>
          <w:tcPr>
            <w:tcW w:w="14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4" w:type="dxa"/>
            <w:tcBorders/>
            <w:shd w:fill="FFFFFF" w:val="clear"/>
            <w:vAlign w:val="bottom"/>
          </w:tcPr>
          <w:p>
            <w:pPr>
              <w:pStyle w:val="TableContents"/>
              <w:spacing w:before="0" w:after="283"/>
              <w:jc w:val="right"/>
              <w:rPr>
                <w:rFonts w:ascii="times" w:hAnsi="times"/>
                <w:sz w:val="20"/>
              </w:rPr>
            </w:pPr>
            <w:r>
              <w:rPr>
                <w:rFonts w:ascii="times" w:hAnsi="times"/>
                <w:sz w:val="20"/>
              </w:rPr>
              <w:t>177,804</w:t>
            </w:r>
          </w:p>
        </w:tc>
        <w:tc>
          <w:tcPr>
            <w:tcW w:w="143" w:type="dxa"/>
            <w:tcBorders/>
            <w:shd w:fill="FFFFFF" w:val="clear"/>
            <w:vAlign w:val="bottom"/>
          </w:tcPr>
          <w:p>
            <w:pPr>
              <w:pStyle w:val="TableContents"/>
              <w:spacing w:before="0" w:after="283"/>
              <w:rPr/>
            </w:pPr>
            <w:r>
              <w:rPr/>
              <w:t> </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r>
        <w:trPr/>
        <w:tc>
          <w:tcPr>
            <w:tcW w:w="399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912</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3" w:type="dxa"/>
            <w:tcBorders/>
            <w:shd w:fill="CCEEFF" w:val="clear"/>
            <w:vAlign w:val="bottom"/>
          </w:tcPr>
          <w:p>
            <w:pPr>
              <w:pStyle w:val="TableContents"/>
              <w:spacing w:before="0" w:after="283"/>
              <w:jc w:val="right"/>
              <w:rPr>
                <w:rFonts w:ascii="times" w:hAnsi="times"/>
                <w:sz w:val="20"/>
              </w:rPr>
            </w:pPr>
            <w:r>
              <w:rPr>
                <w:rFonts w:ascii="times" w:hAnsi="times"/>
                <w:sz w:val="20"/>
              </w:rPr>
              <w:t>804</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986</w:t>
            </w:r>
          </w:p>
        </w:tc>
        <w:tc>
          <w:tcPr>
            <w:tcW w:w="1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4" w:type="dxa"/>
            <w:tcBorders/>
            <w:shd w:fill="CCEEFF" w:val="clear"/>
            <w:vAlign w:val="bottom"/>
          </w:tcPr>
          <w:p>
            <w:pPr>
              <w:pStyle w:val="TableContents"/>
              <w:spacing w:before="0" w:after="283"/>
              <w:jc w:val="right"/>
              <w:rPr>
                <w:rFonts w:ascii="times" w:hAnsi="times"/>
                <w:sz w:val="20"/>
              </w:rPr>
            </w:pPr>
            <w:r>
              <w:rPr>
                <w:rFonts w:ascii="times" w:hAnsi="times"/>
                <w:sz w:val="20"/>
              </w:rPr>
              <w:t>901</w:t>
            </w:r>
          </w:p>
        </w:tc>
        <w:tc>
          <w:tcPr>
            <w:tcW w:w="143" w:type="dxa"/>
            <w:tcBorders/>
            <w:shd w:fill="CCEEFF" w:val="clear"/>
            <w:vAlign w:val="bottom"/>
          </w:tcPr>
          <w:p>
            <w:pPr>
              <w:pStyle w:val="TableContents"/>
              <w:spacing w:before="0" w:after="283"/>
              <w:rPr/>
            </w:pPr>
            <w:r>
              <w:rPr/>
              <w:t> </w:t>
            </w:r>
          </w:p>
        </w:tc>
      </w:tr>
      <w:tr>
        <w:trPr/>
        <w:tc>
          <w:tcPr>
            <w:tcW w:w="399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4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12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3"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Reconciliation of Production Costs to Minesite Costs per Tonne by Mine</w:t>
      </w:r>
      <w:r>
        <w:rPr>
          <w:rFonts w:ascii="times" w:hAnsi="times"/>
          <w:b/>
          <w:sz w:val="20"/>
        </w:rPr>
        <w:t xml:space="preserve"> </w:t>
      </w:r>
    </w:p>
    <w:p>
      <w:pPr>
        <w:pStyle w:val="TextBody"/>
        <w:rPr>
          <w:rFonts w:ascii="times" w:hAnsi="times"/>
          <w:b/>
          <w:sz w:val="20"/>
        </w:rPr>
      </w:pPr>
      <w:r>
        <w:rPr>
          <w:rFonts w:ascii="times" w:hAnsi="times"/>
          <w:b/>
          <w:sz w:val="20"/>
          <w:u w:val="single"/>
        </w:rPr>
        <w:t>LaRonde Mine  Minesite Costs per Tonne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284"/>
        <w:gridCol w:w="170"/>
        <w:gridCol w:w="155"/>
        <w:gridCol w:w="1441"/>
        <w:gridCol w:w="172"/>
        <w:gridCol w:w="155"/>
        <w:gridCol w:w="1441"/>
        <w:gridCol w:w="172"/>
        <w:gridCol w:w="155"/>
        <w:gridCol w:w="1277"/>
        <w:gridCol w:w="171"/>
        <w:gridCol w:w="155"/>
        <w:gridCol w:w="1277"/>
        <w:gridCol w:w="180"/>
      </w:tblGrid>
      <w:tr>
        <w:trPr/>
        <w:tc>
          <w:tcPr>
            <w:tcW w:w="3284"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41"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41"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7"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7"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r>
      <w:tr>
        <w:trPr/>
        <w:tc>
          <w:tcPr>
            <w:tcW w:w="3284"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70" w:type="dxa"/>
            <w:tcBorders/>
            <w:shd w:fill="auto" w:val="clear"/>
            <w:vAlign w:val="bottom"/>
          </w:tcPr>
          <w:p>
            <w:pPr>
              <w:pStyle w:val="TableHeading"/>
              <w:suppressLineNumbers/>
              <w:spacing w:before="0" w:after="283"/>
              <w:jc w:val="center"/>
              <w:rPr/>
            </w:pPr>
            <w:r>
              <w:rPr/>
              <w:t> </w:t>
            </w:r>
          </w:p>
        </w:tc>
        <w:tc>
          <w:tcPr>
            <w:tcW w:w="15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72" w:type="dxa"/>
            <w:tcBorders/>
            <w:shd w:fill="auto" w:val="clear"/>
            <w:vAlign w:val="bottom"/>
          </w:tcPr>
          <w:p>
            <w:pPr>
              <w:pStyle w:val="TableHeading"/>
              <w:suppressLineNumbers/>
              <w:spacing w:before="0" w:after="283"/>
              <w:jc w:val="center"/>
              <w:rPr/>
            </w:pPr>
            <w:r>
              <w:rPr/>
              <w:t> </w:t>
            </w:r>
          </w:p>
        </w:tc>
        <w:tc>
          <w:tcPr>
            <w:tcW w:w="15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72" w:type="dxa"/>
            <w:tcBorders/>
            <w:shd w:fill="auto" w:val="clear"/>
            <w:vAlign w:val="bottom"/>
          </w:tcPr>
          <w:p>
            <w:pPr>
              <w:pStyle w:val="TableHeading"/>
              <w:suppressLineNumbers/>
              <w:spacing w:before="0" w:after="283"/>
              <w:jc w:val="center"/>
              <w:rPr/>
            </w:pPr>
            <w:r>
              <w:rPr/>
              <w:t> </w:t>
            </w:r>
          </w:p>
        </w:tc>
        <w:tc>
          <w:tcPr>
            <w:tcW w:w="143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71" w:type="dxa"/>
            <w:tcBorders/>
            <w:shd w:fill="auto" w:val="clear"/>
            <w:vAlign w:val="bottom"/>
          </w:tcPr>
          <w:p>
            <w:pPr>
              <w:pStyle w:val="TableHeading"/>
              <w:suppressLineNumbers/>
              <w:spacing w:before="0" w:after="283"/>
              <w:jc w:val="center"/>
              <w:rPr/>
            </w:pPr>
            <w:r>
              <w:rPr/>
              <w:t> </w:t>
            </w:r>
          </w:p>
        </w:tc>
        <w:tc>
          <w:tcPr>
            <w:tcW w:w="143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80" w:type="dxa"/>
            <w:tcBorders/>
            <w:shd w:fill="auto" w:val="clear"/>
            <w:vAlign w:val="bottom"/>
          </w:tcPr>
          <w:p>
            <w:pPr>
              <w:pStyle w:val="TableHeading"/>
              <w:suppressLineNumbers/>
              <w:spacing w:before="0" w:after="283"/>
              <w:jc w:val="center"/>
              <w:rPr/>
            </w:pPr>
            <w:r>
              <w:rPr/>
              <w:t> </w:t>
            </w:r>
          </w:p>
        </w:tc>
      </w:tr>
      <w:tr>
        <w:trPr/>
        <w:tc>
          <w:tcPr>
            <w:tcW w:w="32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60,624</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55,483</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118,527</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113,663</w:t>
            </w:r>
          </w:p>
        </w:tc>
        <w:tc>
          <w:tcPr>
            <w:tcW w:w="180" w:type="dxa"/>
            <w:tcBorders/>
            <w:shd w:fill="CCEEFF" w:val="clear"/>
            <w:vAlign w:val="bottom"/>
          </w:tcPr>
          <w:p>
            <w:pPr>
              <w:pStyle w:val="TableContents"/>
              <w:spacing w:before="0" w:after="283"/>
              <w:rPr/>
            </w:pPr>
            <w:r>
              <w:rPr/>
              <w:t> </w:t>
            </w:r>
          </w:p>
        </w:tc>
      </w:tr>
      <w:tr>
        <w:trPr/>
        <w:tc>
          <w:tcPr>
            <w:tcW w:w="32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r>
      <w:tr>
        <w:trPr/>
        <w:tc>
          <w:tcPr>
            <w:tcW w:w="3284"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(4,540</w:t>
            </w:r>
          </w:p>
        </w:tc>
        <w:tc>
          <w:tcPr>
            <w:tcW w:w="17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113</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(4,106</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(12</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284"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(534</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(599</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(1,076</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(1,203</w:t>
            </w:r>
          </w:p>
        </w:tc>
        <w:tc>
          <w:tcPr>
            <w:tcW w:w="18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28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0" w:type="dxa"/>
            <w:tcBorders/>
            <w:shd w:fill="auto" w:val="clear"/>
            <w:vAlign w:val="bottom"/>
          </w:tcPr>
          <w:p>
            <w:pPr>
              <w:pStyle w:val="TableContents"/>
              <w:spacing w:before="0" w:after="283"/>
              <w:rPr/>
            </w:pPr>
            <w:r>
              <w:rPr/>
              <w:t> </w:t>
            </w:r>
          </w:p>
        </w:tc>
      </w:tr>
      <w:tr>
        <w:trPr/>
        <w:tc>
          <w:tcPr>
            <w:tcW w:w="32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55,550</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54,997</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113,345</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112,448</w:t>
            </w:r>
          </w:p>
        </w:tc>
        <w:tc>
          <w:tcPr>
            <w:tcW w:w="180" w:type="dxa"/>
            <w:tcBorders/>
            <w:shd w:fill="CCEEFF" w:val="clear"/>
            <w:vAlign w:val="bottom"/>
          </w:tcPr>
          <w:p>
            <w:pPr>
              <w:pStyle w:val="TableContents"/>
              <w:spacing w:before="0" w:after="283"/>
              <w:rPr/>
            </w:pPr>
            <w:r>
              <w:rPr/>
              <w:t> </w:t>
            </w:r>
          </w:p>
        </w:tc>
      </w:tr>
      <w:tr>
        <w:trPr/>
        <w:tc>
          <w:tcPr>
            <w:tcW w:w="32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br/>
              <w:t>(thousands of C$)</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57,334</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55,524</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115,754</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113,254</w:t>
            </w:r>
          </w:p>
        </w:tc>
        <w:tc>
          <w:tcPr>
            <w:tcW w:w="180" w:type="dxa"/>
            <w:tcBorders/>
            <w:shd w:fill="FFFFFF" w:val="clear"/>
            <w:vAlign w:val="bottom"/>
          </w:tcPr>
          <w:p>
            <w:pPr>
              <w:pStyle w:val="TableContents"/>
              <w:spacing w:before="0" w:after="283"/>
              <w:rPr/>
            </w:pPr>
            <w:r>
              <w:rPr/>
              <w:t> </w:t>
            </w:r>
          </w:p>
        </w:tc>
      </w:tr>
      <w:tr>
        <w:trPr/>
        <w:tc>
          <w:tcPr>
            <w:tcW w:w="32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559</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573</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1,153</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1,218</w:t>
            </w:r>
          </w:p>
        </w:tc>
        <w:tc>
          <w:tcPr>
            <w:tcW w:w="180" w:type="dxa"/>
            <w:tcBorders/>
            <w:shd w:fill="CCEEFF" w:val="clear"/>
            <w:vAlign w:val="bottom"/>
          </w:tcPr>
          <w:p>
            <w:pPr>
              <w:pStyle w:val="TableContents"/>
              <w:spacing w:before="0" w:after="283"/>
              <w:rPr/>
            </w:pPr>
            <w:r>
              <w:rPr/>
              <w:t> </w:t>
            </w:r>
          </w:p>
        </w:tc>
      </w:tr>
      <w:tr>
        <w:trPr/>
        <w:tc>
          <w:tcPr>
            <w:tcW w:w="328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0" w:type="dxa"/>
            <w:tcBorders/>
            <w:shd w:fill="auto" w:val="clear"/>
            <w:vAlign w:val="bottom"/>
          </w:tcPr>
          <w:p>
            <w:pPr>
              <w:pStyle w:val="TableContents"/>
              <w:spacing w:before="0" w:after="283"/>
              <w:rPr/>
            </w:pPr>
            <w:r>
              <w:rPr/>
              <w:t> </w:t>
            </w:r>
          </w:p>
        </w:tc>
      </w:tr>
      <w:tr>
        <w:trPr/>
        <w:tc>
          <w:tcPr>
            <w:tcW w:w="32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(vii)</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103</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97</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100</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93</w:t>
            </w:r>
          </w:p>
        </w:tc>
        <w:tc>
          <w:tcPr>
            <w:tcW w:w="180" w:type="dxa"/>
            <w:tcBorders/>
            <w:shd w:fill="FFFFFF" w:val="clear"/>
            <w:vAlign w:val="bottom"/>
          </w:tcPr>
          <w:p>
            <w:pPr>
              <w:pStyle w:val="TableContents"/>
              <w:spacing w:before="0" w:after="283"/>
              <w:rPr/>
            </w:pPr>
            <w:r>
              <w:rPr/>
              <w:t> </w:t>
            </w:r>
          </w:p>
        </w:tc>
      </w:tr>
      <w:tr>
        <w:trPr/>
        <w:tc>
          <w:tcPr>
            <w:tcW w:w="328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3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0"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Lapa Mine  Minesite Costs per Tonne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284"/>
        <w:gridCol w:w="170"/>
        <w:gridCol w:w="155"/>
        <w:gridCol w:w="1441"/>
        <w:gridCol w:w="172"/>
        <w:gridCol w:w="155"/>
        <w:gridCol w:w="1441"/>
        <w:gridCol w:w="172"/>
        <w:gridCol w:w="155"/>
        <w:gridCol w:w="1277"/>
        <w:gridCol w:w="171"/>
        <w:gridCol w:w="155"/>
        <w:gridCol w:w="1277"/>
        <w:gridCol w:w="180"/>
      </w:tblGrid>
      <w:tr>
        <w:trPr/>
        <w:tc>
          <w:tcPr>
            <w:tcW w:w="3284"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41"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41"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7"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7"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r>
      <w:tr>
        <w:trPr/>
        <w:tc>
          <w:tcPr>
            <w:tcW w:w="3284"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70" w:type="dxa"/>
            <w:tcBorders/>
            <w:shd w:fill="auto" w:val="clear"/>
            <w:vAlign w:val="bottom"/>
          </w:tcPr>
          <w:p>
            <w:pPr>
              <w:pStyle w:val="TableHeading"/>
              <w:suppressLineNumbers/>
              <w:spacing w:before="0" w:after="283"/>
              <w:jc w:val="center"/>
              <w:rPr/>
            </w:pPr>
            <w:r>
              <w:rPr/>
              <w:t> </w:t>
            </w:r>
          </w:p>
        </w:tc>
        <w:tc>
          <w:tcPr>
            <w:tcW w:w="15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72" w:type="dxa"/>
            <w:tcBorders/>
            <w:shd w:fill="auto" w:val="clear"/>
            <w:vAlign w:val="bottom"/>
          </w:tcPr>
          <w:p>
            <w:pPr>
              <w:pStyle w:val="TableHeading"/>
              <w:suppressLineNumbers/>
              <w:spacing w:before="0" w:after="283"/>
              <w:jc w:val="center"/>
              <w:rPr/>
            </w:pPr>
            <w:r>
              <w:rPr/>
              <w:t> </w:t>
            </w:r>
          </w:p>
        </w:tc>
        <w:tc>
          <w:tcPr>
            <w:tcW w:w="15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72" w:type="dxa"/>
            <w:tcBorders/>
            <w:shd w:fill="auto" w:val="clear"/>
            <w:vAlign w:val="bottom"/>
          </w:tcPr>
          <w:p>
            <w:pPr>
              <w:pStyle w:val="TableHeading"/>
              <w:suppressLineNumbers/>
              <w:spacing w:before="0" w:after="283"/>
              <w:jc w:val="center"/>
              <w:rPr/>
            </w:pPr>
            <w:r>
              <w:rPr/>
              <w:t> </w:t>
            </w:r>
          </w:p>
        </w:tc>
        <w:tc>
          <w:tcPr>
            <w:tcW w:w="143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71" w:type="dxa"/>
            <w:tcBorders/>
            <w:shd w:fill="auto" w:val="clear"/>
            <w:vAlign w:val="bottom"/>
          </w:tcPr>
          <w:p>
            <w:pPr>
              <w:pStyle w:val="TableHeading"/>
              <w:suppressLineNumbers/>
              <w:spacing w:before="0" w:after="283"/>
              <w:jc w:val="center"/>
              <w:rPr/>
            </w:pPr>
            <w:r>
              <w:rPr/>
              <w:t> </w:t>
            </w:r>
          </w:p>
        </w:tc>
        <w:tc>
          <w:tcPr>
            <w:tcW w:w="143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80" w:type="dxa"/>
            <w:tcBorders/>
            <w:shd w:fill="auto" w:val="clear"/>
            <w:vAlign w:val="bottom"/>
          </w:tcPr>
          <w:p>
            <w:pPr>
              <w:pStyle w:val="TableHeading"/>
              <w:suppressLineNumbers/>
              <w:spacing w:before="0" w:after="283"/>
              <w:jc w:val="center"/>
              <w:rPr/>
            </w:pPr>
            <w:r>
              <w:rPr/>
              <w:t> </w:t>
            </w:r>
          </w:p>
        </w:tc>
      </w:tr>
      <w:tr>
        <w:trPr/>
        <w:tc>
          <w:tcPr>
            <w:tcW w:w="32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18,094</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18,450</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34,704</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37,107</w:t>
            </w:r>
          </w:p>
        </w:tc>
        <w:tc>
          <w:tcPr>
            <w:tcW w:w="180" w:type="dxa"/>
            <w:tcBorders/>
            <w:shd w:fill="CCEEFF" w:val="clear"/>
            <w:vAlign w:val="bottom"/>
          </w:tcPr>
          <w:p>
            <w:pPr>
              <w:pStyle w:val="TableContents"/>
              <w:spacing w:before="0" w:after="283"/>
              <w:rPr/>
            </w:pPr>
            <w:r>
              <w:rPr/>
              <w:t> </w:t>
            </w:r>
          </w:p>
        </w:tc>
      </w:tr>
      <w:tr>
        <w:trPr/>
        <w:tc>
          <w:tcPr>
            <w:tcW w:w="32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rPr/>
            </w:pPr>
            <w:r>
              <w:rPr/>
              <w:t> </w:t>
            </w:r>
          </w:p>
        </w:tc>
        <w:tc>
          <w:tcPr>
            <w:tcW w:w="180" w:type="dxa"/>
            <w:tcBorders/>
            <w:shd w:fill="FFFFFF" w:val="clear"/>
            <w:vAlign w:val="bottom"/>
          </w:tcPr>
          <w:p>
            <w:pPr>
              <w:pStyle w:val="TableContents"/>
              <w:spacing w:before="0" w:after="283"/>
              <w:rPr/>
            </w:pPr>
            <w:r>
              <w:rPr/>
              <w:t> </w:t>
            </w:r>
          </w:p>
        </w:tc>
      </w:tr>
      <w:tr>
        <w:trPr/>
        <w:tc>
          <w:tcPr>
            <w:tcW w:w="3284"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(1,434</w:t>
            </w:r>
          </w:p>
        </w:tc>
        <w:tc>
          <w:tcPr>
            <w:tcW w:w="17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(635</w:t>
            </w:r>
          </w:p>
        </w:tc>
        <w:tc>
          <w:tcPr>
            <w:tcW w:w="17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237</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(615</w:t>
            </w:r>
          </w:p>
        </w:tc>
        <w:tc>
          <w:tcPr>
            <w:tcW w:w="18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284"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(17</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(15</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(34</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221</w:t>
            </w:r>
          </w:p>
        </w:tc>
        <w:tc>
          <w:tcPr>
            <w:tcW w:w="180" w:type="dxa"/>
            <w:tcBorders/>
            <w:shd w:fill="FFFFFF" w:val="clear"/>
            <w:vAlign w:val="bottom"/>
          </w:tcPr>
          <w:p>
            <w:pPr>
              <w:pStyle w:val="TableContents"/>
              <w:spacing w:before="0" w:after="283"/>
              <w:rPr/>
            </w:pPr>
            <w:r>
              <w:rPr/>
              <w:t> </w:t>
            </w:r>
          </w:p>
        </w:tc>
      </w:tr>
      <w:tr>
        <w:trPr/>
        <w:tc>
          <w:tcPr>
            <w:tcW w:w="328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0" w:type="dxa"/>
            <w:tcBorders/>
            <w:shd w:fill="auto" w:val="clear"/>
            <w:vAlign w:val="bottom"/>
          </w:tcPr>
          <w:p>
            <w:pPr>
              <w:pStyle w:val="TableContents"/>
              <w:spacing w:before="0" w:after="283"/>
              <w:rPr/>
            </w:pPr>
            <w:r>
              <w:rPr/>
              <w:t> </w:t>
            </w:r>
          </w:p>
        </w:tc>
      </w:tr>
      <w:tr>
        <w:trPr/>
        <w:tc>
          <w:tcPr>
            <w:tcW w:w="32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16,643</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17,800</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34,907</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36,713</w:t>
            </w:r>
          </w:p>
        </w:tc>
        <w:tc>
          <w:tcPr>
            <w:tcW w:w="180" w:type="dxa"/>
            <w:tcBorders/>
            <w:shd w:fill="CCEEFF" w:val="clear"/>
            <w:vAlign w:val="bottom"/>
          </w:tcPr>
          <w:p>
            <w:pPr>
              <w:pStyle w:val="TableContents"/>
              <w:spacing w:before="0" w:after="283"/>
              <w:rPr/>
            </w:pPr>
            <w:r>
              <w:rPr/>
              <w:t> </w:t>
            </w:r>
          </w:p>
        </w:tc>
      </w:tr>
      <w:tr>
        <w:trPr/>
        <w:tc>
          <w:tcPr>
            <w:tcW w:w="32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br/>
              <w:t>(thousands of C$)</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17,398</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17,968</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35,843</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36,872</w:t>
            </w:r>
          </w:p>
        </w:tc>
        <w:tc>
          <w:tcPr>
            <w:tcW w:w="180" w:type="dxa"/>
            <w:tcBorders/>
            <w:shd w:fill="FFFFFF" w:val="clear"/>
            <w:vAlign w:val="bottom"/>
          </w:tcPr>
          <w:p>
            <w:pPr>
              <w:pStyle w:val="TableContents"/>
              <w:spacing w:before="0" w:after="283"/>
              <w:rPr/>
            </w:pPr>
            <w:r>
              <w:rPr/>
              <w:t> </w:t>
            </w:r>
          </w:p>
        </w:tc>
      </w:tr>
      <w:tr>
        <w:trPr/>
        <w:tc>
          <w:tcPr>
            <w:tcW w:w="32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159</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1" w:type="dxa"/>
            <w:tcBorders/>
            <w:shd w:fill="CCEEFF" w:val="clear"/>
            <w:vAlign w:val="bottom"/>
          </w:tcPr>
          <w:p>
            <w:pPr>
              <w:pStyle w:val="TableContents"/>
              <w:spacing w:before="0" w:after="283"/>
              <w:jc w:val="right"/>
              <w:rPr>
                <w:rFonts w:ascii="times" w:hAnsi="times"/>
                <w:sz w:val="20"/>
              </w:rPr>
            </w:pPr>
            <w:r>
              <w:rPr>
                <w:rFonts w:ascii="times" w:hAnsi="times"/>
                <w:sz w:val="20"/>
              </w:rPr>
              <w:t>159</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319</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20"/>
              </w:rPr>
            </w:pPr>
            <w:r>
              <w:rPr>
                <w:rFonts w:ascii="times" w:hAnsi="times"/>
                <w:sz w:val="20"/>
              </w:rPr>
              <w:t>317</w:t>
            </w:r>
          </w:p>
        </w:tc>
        <w:tc>
          <w:tcPr>
            <w:tcW w:w="180" w:type="dxa"/>
            <w:tcBorders/>
            <w:shd w:fill="CCEEFF" w:val="clear"/>
            <w:vAlign w:val="bottom"/>
          </w:tcPr>
          <w:p>
            <w:pPr>
              <w:pStyle w:val="TableContents"/>
              <w:spacing w:before="0" w:after="283"/>
              <w:rPr/>
            </w:pPr>
            <w:r>
              <w:rPr/>
              <w:t> </w:t>
            </w:r>
          </w:p>
        </w:tc>
      </w:tr>
      <w:tr>
        <w:trPr/>
        <w:tc>
          <w:tcPr>
            <w:tcW w:w="328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0" w:type="dxa"/>
            <w:tcBorders/>
            <w:shd w:fill="auto" w:val="clear"/>
            <w:vAlign w:val="bottom"/>
          </w:tcPr>
          <w:p>
            <w:pPr>
              <w:pStyle w:val="TableContents"/>
              <w:spacing w:before="0" w:after="283"/>
              <w:rPr/>
            </w:pPr>
            <w:r>
              <w:rPr/>
              <w:t> </w:t>
            </w:r>
          </w:p>
        </w:tc>
      </w:tr>
      <w:tr>
        <w:trPr/>
        <w:tc>
          <w:tcPr>
            <w:tcW w:w="32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(vii)</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110</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41" w:type="dxa"/>
            <w:tcBorders/>
            <w:shd w:fill="FFFFFF" w:val="clear"/>
            <w:vAlign w:val="bottom"/>
          </w:tcPr>
          <w:p>
            <w:pPr>
              <w:pStyle w:val="TableContents"/>
              <w:spacing w:before="0" w:after="283"/>
              <w:jc w:val="right"/>
              <w:rPr>
                <w:rFonts w:ascii="times" w:hAnsi="times"/>
                <w:sz w:val="20"/>
              </w:rPr>
            </w:pPr>
            <w:r>
              <w:rPr>
                <w:rFonts w:ascii="times" w:hAnsi="times"/>
                <w:sz w:val="20"/>
              </w:rPr>
              <w:t>113</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112</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277" w:type="dxa"/>
            <w:tcBorders/>
            <w:shd w:fill="FFFFFF" w:val="clear"/>
            <w:vAlign w:val="bottom"/>
          </w:tcPr>
          <w:p>
            <w:pPr>
              <w:pStyle w:val="TableContents"/>
              <w:spacing w:before="0" w:after="283"/>
              <w:jc w:val="right"/>
              <w:rPr>
                <w:rFonts w:ascii="times" w:hAnsi="times"/>
                <w:sz w:val="20"/>
              </w:rPr>
            </w:pPr>
            <w:r>
              <w:rPr>
                <w:rFonts w:ascii="times" w:hAnsi="times"/>
                <w:sz w:val="20"/>
              </w:rPr>
              <w:t>116</w:t>
            </w:r>
          </w:p>
        </w:tc>
        <w:tc>
          <w:tcPr>
            <w:tcW w:w="180" w:type="dxa"/>
            <w:tcBorders/>
            <w:shd w:fill="FFFFFF" w:val="clear"/>
            <w:vAlign w:val="bottom"/>
          </w:tcPr>
          <w:p>
            <w:pPr>
              <w:pStyle w:val="TableContents"/>
              <w:spacing w:before="0" w:after="283"/>
              <w:rPr/>
            </w:pPr>
            <w:r>
              <w:rPr/>
              <w:t> </w:t>
            </w:r>
          </w:p>
        </w:tc>
      </w:tr>
      <w:tr>
        <w:trPr/>
        <w:tc>
          <w:tcPr>
            <w:tcW w:w="328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3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0"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9</w:t>
      </w:r>
    </w:p>
    <w:p>
      <w:pPr>
        <w:pStyle w:val="HorizontalLine"/>
        <w:pBdr>
          <w:bottom w:val="single" w:sz="20" w:space="0" w:color="808080"/>
        </w:pBdr>
        <w:rPr/>
      </w:pPr>
      <w:r>
        <w:rPr/>
      </w:r>
      <w:r>
        <w:br w:type="page"/>
      </w:r>
    </w:p>
    <w:p>
      <w:pPr>
        <w:pStyle w:val="TextBody"/>
        <w:rPr>
          <w:rFonts w:ascii="times" w:hAnsi="times"/>
          <w:b/>
          <w:sz w:val="20"/>
        </w:rPr>
      </w:pPr>
      <w:bookmarkStart w:id="22" w:name="page_de72201_1_10"/>
      <w:bookmarkEnd w:id="22"/>
      <w:r>
        <w:rPr>
          <w:rFonts w:ascii="times" w:hAnsi="times"/>
          <w:b/>
          <w:sz w:val="20"/>
          <w:u w:val="single"/>
        </w:rPr>
        <w:t>Kittila Mine  Minesite Costs per Tonne</w:t>
      </w:r>
      <w:r>
        <w:rPr>
          <w:rFonts w:ascii="times" w:hAnsi="times"/>
          <w:b/>
          <w:position w:val="7"/>
          <w:sz w:val="16"/>
          <w:sz w:val="20"/>
        </w:rPr>
        <w:t>(i)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317"/>
        <w:gridCol w:w="172"/>
        <w:gridCol w:w="140"/>
        <w:gridCol w:w="1447"/>
        <w:gridCol w:w="172"/>
        <w:gridCol w:w="140"/>
        <w:gridCol w:w="1447"/>
        <w:gridCol w:w="173"/>
        <w:gridCol w:w="140"/>
        <w:gridCol w:w="1283"/>
        <w:gridCol w:w="173"/>
        <w:gridCol w:w="140"/>
        <w:gridCol w:w="1283"/>
        <w:gridCol w:w="178"/>
      </w:tblGrid>
      <w:tr>
        <w:trPr/>
        <w:tc>
          <w:tcPr>
            <w:tcW w:w="3317"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447"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447"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83"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283"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r>
      <w:tr>
        <w:trPr/>
        <w:tc>
          <w:tcPr>
            <w:tcW w:w="3317"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72" w:type="dxa"/>
            <w:tcBorders/>
            <w:shd w:fill="auto" w:val="clear"/>
            <w:vAlign w:val="bottom"/>
          </w:tcPr>
          <w:p>
            <w:pPr>
              <w:pStyle w:val="TableHeading"/>
              <w:suppressLineNumbers/>
              <w:spacing w:before="0" w:after="283"/>
              <w:jc w:val="center"/>
              <w:rPr/>
            </w:pPr>
            <w:r>
              <w:rPr/>
              <w:t> </w:t>
            </w:r>
          </w:p>
        </w:tc>
        <w:tc>
          <w:tcPr>
            <w:tcW w:w="15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72" w:type="dxa"/>
            <w:tcBorders/>
            <w:shd w:fill="auto" w:val="clear"/>
            <w:vAlign w:val="bottom"/>
          </w:tcPr>
          <w:p>
            <w:pPr>
              <w:pStyle w:val="TableHeading"/>
              <w:suppressLineNumbers/>
              <w:spacing w:before="0" w:after="283"/>
              <w:jc w:val="center"/>
              <w:rPr/>
            </w:pPr>
            <w:r>
              <w:rPr/>
              <w:t> </w:t>
            </w:r>
          </w:p>
        </w:tc>
        <w:tc>
          <w:tcPr>
            <w:tcW w:w="15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73" w:type="dxa"/>
            <w:tcBorders/>
            <w:shd w:fill="auto" w:val="clear"/>
            <w:vAlign w:val="bottom"/>
          </w:tcPr>
          <w:p>
            <w:pPr>
              <w:pStyle w:val="TableHeading"/>
              <w:suppressLineNumbers/>
              <w:spacing w:before="0" w:after="283"/>
              <w:jc w:val="center"/>
              <w:rPr/>
            </w:pPr>
            <w:r>
              <w:rPr/>
              <w:t> </w:t>
            </w:r>
          </w:p>
        </w:tc>
        <w:tc>
          <w:tcPr>
            <w:tcW w:w="142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73" w:type="dxa"/>
            <w:tcBorders/>
            <w:shd w:fill="auto" w:val="clear"/>
            <w:vAlign w:val="bottom"/>
          </w:tcPr>
          <w:p>
            <w:pPr>
              <w:pStyle w:val="TableHeading"/>
              <w:suppressLineNumbers/>
              <w:spacing w:before="0" w:after="283"/>
              <w:jc w:val="center"/>
              <w:rPr/>
            </w:pPr>
            <w:r>
              <w:rPr/>
              <w:t> </w:t>
            </w:r>
          </w:p>
        </w:tc>
        <w:tc>
          <w:tcPr>
            <w:tcW w:w="142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78" w:type="dxa"/>
            <w:tcBorders/>
            <w:shd w:fill="auto" w:val="clear"/>
            <w:vAlign w:val="bottom"/>
          </w:tcPr>
          <w:p>
            <w:pPr>
              <w:pStyle w:val="TableHeading"/>
              <w:suppressLineNumbers/>
              <w:spacing w:before="0" w:after="283"/>
              <w:jc w:val="center"/>
              <w:rPr/>
            </w:pPr>
            <w:r>
              <w:rPr/>
              <w:t> </w:t>
            </w:r>
          </w:p>
        </w:tc>
      </w:tr>
      <w:tr>
        <w:trPr/>
        <w:tc>
          <w:tcPr>
            <w:tcW w:w="331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23,515</w:t>
            </w:r>
          </w:p>
        </w:tc>
        <w:tc>
          <w:tcPr>
            <w:tcW w:w="1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27,182</w:t>
            </w:r>
          </w:p>
        </w:tc>
        <w:tc>
          <w:tcPr>
            <w:tcW w:w="1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49,545</w:t>
            </w:r>
          </w:p>
        </w:tc>
        <w:tc>
          <w:tcPr>
            <w:tcW w:w="178" w:type="dxa"/>
            <w:tcBorders/>
            <w:shd w:fill="CCEEFF" w:val="clear"/>
            <w:vAlign w:val="bottom"/>
          </w:tcPr>
          <w:p>
            <w:pPr>
              <w:pStyle w:val="TableContents"/>
              <w:spacing w:before="0" w:after="283"/>
              <w:rPr/>
            </w:pPr>
            <w:r>
              <w:rPr/>
              <w:t> </w:t>
            </w:r>
          </w:p>
        </w:tc>
      </w:tr>
      <w:tr>
        <w:trPr/>
        <w:tc>
          <w:tcPr>
            <w:tcW w:w="331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447"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447"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83"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283" w:type="dxa"/>
            <w:tcBorders/>
            <w:shd w:fill="FFFFFF" w:val="clear"/>
            <w:vAlign w:val="bottom"/>
          </w:tcPr>
          <w:p>
            <w:pPr>
              <w:pStyle w:val="TableContents"/>
              <w:spacing w:before="0" w:after="283"/>
              <w:rPr/>
            </w:pPr>
            <w:r>
              <w:rPr/>
              <w:t> </w:t>
            </w:r>
          </w:p>
        </w:tc>
        <w:tc>
          <w:tcPr>
            <w:tcW w:w="178" w:type="dxa"/>
            <w:tcBorders/>
            <w:shd w:fill="FFFFFF" w:val="clear"/>
            <w:vAlign w:val="bottom"/>
          </w:tcPr>
          <w:p>
            <w:pPr>
              <w:pStyle w:val="TableContents"/>
              <w:spacing w:before="0" w:after="283"/>
              <w:rPr/>
            </w:pPr>
            <w:r>
              <w:rPr/>
              <w:t> </w:t>
            </w:r>
          </w:p>
        </w:tc>
      </w:tr>
      <w:tr>
        <w:trPr/>
        <w:tc>
          <w:tcPr>
            <w:tcW w:w="331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451</w:t>
            </w:r>
          </w:p>
        </w:tc>
        <w:tc>
          <w:tcPr>
            <w:tcW w:w="1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(294</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CCEEFF" w:val="clear"/>
            <w:vAlign w:val="bottom"/>
          </w:tcPr>
          <w:p>
            <w:pPr>
              <w:pStyle w:val="TableContents"/>
              <w:spacing w:before="0" w:after="283"/>
              <w:rPr/>
            </w:pPr>
            <w:r>
              <w:rPr/>
              <w:t> </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891</w:t>
            </w:r>
          </w:p>
        </w:tc>
        <w:tc>
          <w:tcPr>
            <w:tcW w:w="178" w:type="dxa"/>
            <w:tcBorders/>
            <w:shd w:fill="CCEEFF" w:val="clear"/>
            <w:vAlign w:val="bottom"/>
          </w:tcPr>
          <w:p>
            <w:pPr>
              <w:pStyle w:val="TableContents"/>
              <w:spacing w:before="0" w:after="283"/>
              <w:rPr/>
            </w:pPr>
            <w:r>
              <w:rPr/>
              <w:t> </w:t>
            </w:r>
          </w:p>
        </w:tc>
      </w:tr>
      <w:tr>
        <w:trPr/>
        <w:tc>
          <w:tcPr>
            <w:tcW w:w="331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44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447" w:type="dxa"/>
            <w:tcBorders/>
            <w:shd w:fill="FFFFFF" w:val="clear"/>
            <w:vAlign w:val="bottom"/>
          </w:tcPr>
          <w:p>
            <w:pPr>
              <w:pStyle w:val="TableContents"/>
              <w:spacing w:before="0" w:after="283"/>
              <w:jc w:val="right"/>
              <w:rPr>
                <w:rFonts w:ascii="times" w:hAnsi="times"/>
                <w:sz w:val="20"/>
              </w:rPr>
            </w:pPr>
            <w:r>
              <w:rPr>
                <w:rFonts w:ascii="times" w:hAnsi="times"/>
                <w:sz w:val="20"/>
              </w:rPr>
              <w:t>(99</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283" w:type="dxa"/>
            <w:tcBorders/>
            <w:shd w:fill="FFFFFF" w:val="clear"/>
            <w:vAlign w:val="bottom"/>
          </w:tcPr>
          <w:p>
            <w:pPr>
              <w:pStyle w:val="TableContents"/>
              <w:spacing w:before="0" w:after="283"/>
              <w:jc w:val="right"/>
              <w:rPr>
                <w:rFonts w:ascii="times" w:hAnsi="times"/>
                <w:sz w:val="20"/>
              </w:rPr>
            </w:pPr>
            <w:r>
              <w:rPr>
                <w:rFonts w:ascii="times" w:hAnsi="times"/>
                <w:sz w:val="20"/>
              </w:rPr>
              <w:t>(120</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283" w:type="dxa"/>
            <w:tcBorders/>
            <w:shd w:fill="FFFFFF" w:val="clear"/>
            <w:vAlign w:val="bottom"/>
          </w:tcPr>
          <w:p>
            <w:pPr>
              <w:pStyle w:val="TableContents"/>
              <w:spacing w:before="0" w:after="283"/>
              <w:jc w:val="right"/>
              <w:rPr>
                <w:rFonts w:ascii="times" w:hAnsi="times"/>
                <w:sz w:val="20"/>
              </w:rPr>
            </w:pPr>
            <w:r>
              <w:rPr>
                <w:rFonts w:ascii="times" w:hAnsi="times"/>
                <w:sz w:val="20"/>
              </w:rPr>
              <w:t>(256</w:t>
            </w:r>
          </w:p>
        </w:tc>
        <w:tc>
          <w:tcPr>
            <w:tcW w:w="17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31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5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142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142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331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23,867</w:t>
            </w:r>
          </w:p>
        </w:tc>
        <w:tc>
          <w:tcPr>
            <w:tcW w:w="1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26,768</w:t>
            </w:r>
          </w:p>
        </w:tc>
        <w:tc>
          <w:tcPr>
            <w:tcW w:w="1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50,180</w:t>
            </w:r>
          </w:p>
        </w:tc>
        <w:tc>
          <w:tcPr>
            <w:tcW w:w="178" w:type="dxa"/>
            <w:tcBorders/>
            <w:shd w:fill="CCEEFF" w:val="clear"/>
            <w:vAlign w:val="bottom"/>
          </w:tcPr>
          <w:p>
            <w:pPr>
              <w:pStyle w:val="TableContents"/>
              <w:spacing w:before="0" w:after="283"/>
              <w:rPr/>
            </w:pPr>
            <w:r>
              <w:rPr/>
              <w:t> </w:t>
            </w:r>
          </w:p>
        </w:tc>
      </w:tr>
      <w:tr>
        <w:trPr/>
        <w:tc>
          <w:tcPr>
            <w:tcW w:w="331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br/>
              <w:t>(thousands of €)</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4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47" w:type="dxa"/>
            <w:tcBorders/>
            <w:shd w:fill="FFFFFF" w:val="clear"/>
            <w:vAlign w:val="bottom"/>
          </w:tcPr>
          <w:p>
            <w:pPr>
              <w:pStyle w:val="TableContents"/>
              <w:spacing w:before="0" w:after="283"/>
              <w:jc w:val="right"/>
              <w:rPr>
                <w:rFonts w:ascii="times" w:hAnsi="times"/>
                <w:sz w:val="20"/>
              </w:rPr>
            </w:pPr>
            <w:r>
              <w:rPr>
                <w:rFonts w:ascii="times" w:hAnsi="times"/>
                <w:sz w:val="20"/>
              </w:rPr>
              <w:t>18,729</w:t>
            </w:r>
          </w:p>
        </w:tc>
        <w:tc>
          <w:tcPr>
            <w:tcW w:w="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283" w:type="dxa"/>
            <w:tcBorders/>
            <w:shd w:fill="FFFFFF" w:val="clear"/>
            <w:vAlign w:val="bottom"/>
          </w:tcPr>
          <w:p>
            <w:pPr>
              <w:pStyle w:val="TableContents"/>
              <w:spacing w:before="0" w:after="283"/>
              <w:jc w:val="right"/>
              <w:rPr>
                <w:rFonts w:ascii="times" w:hAnsi="times"/>
                <w:sz w:val="20"/>
              </w:rPr>
            </w:pPr>
            <w:r>
              <w:rPr>
                <w:rFonts w:ascii="times" w:hAnsi="times"/>
                <w:sz w:val="20"/>
              </w:rPr>
              <w:t>20,580</w:t>
            </w:r>
          </w:p>
        </w:tc>
        <w:tc>
          <w:tcPr>
            <w:tcW w:w="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283" w:type="dxa"/>
            <w:tcBorders/>
            <w:shd w:fill="FFFFFF" w:val="clear"/>
            <w:vAlign w:val="bottom"/>
          </w:tcPr>
          <w:p>
            <w:pPr>
              <w:pStyle w:val="TableContents"/>
              <w:spacing w:before="0" w:after="283"/>
              <w:jc w:val="right"/>
              <w:rPr>
                <w:rFonts w:ascii="times" w:hAnsi="times"/>
                <w:sz w:val="20"/>
              </w:rPr>
            </w:pPr>
            <w:r>
              <w:rPr>
                <w:rFonts w:ascii="times" w:hAnsi="times"/>
                <w:sz w:val="20"/>
              </w:rPr>
              <w:t>38,187</w:t>
            </w:r>
          </w:p>
        </w:tc>
        <w:tc>
          <w:tcPr>
            <w:tcW w:w="178" w:type="dxa"/>
            <w:tcBorders/>
            <w:shd w:fill="FFFFFF" w:val="clear"/>
            <w:vAlign w:val="bottom"/>
          </w:tcPr>
          <w:p>
            <w:pPr>
              <w:pStyle w:val="TableContents"/>
              <w:spacing w:before="0" w:after="283"/>
              <w:rPr/>
            </w:pPr>
            <w:r>
              <w:rPr/>
              <w:t> </w:t>
            </w:r>
          </w:p>
        </w:tc>
      </w:tr>
      <w:tr>
        <w:trPr/>
        <w:tc>
          <w:tcPr>
            <w:tcW w:w="331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47" w:type="dxa"/>
            <w:tcBorders/>
            <w:shd w:fill="CCEEFF" w:val="clear"/>
            <w:vAlign w:val="bottom"/>
          </w:tcPr>
          <w:p>
            <w:pPr>
              <w:pStyle w:val="TableContents"/>
              <w:spacing w:before="0" w:after="283"/>
              <w:jc w:val="right"/>
              <w:rPr>
                <w:rFonts w:ascii="times" w:hAnsi="times"/>
                <w:sz w:val="20"/>
              </w:rPr>
            </w:pPr>
            <w:r>
              <w:rPr>
                <w:rFonts w:ascii="times" w:hAnsi="times"/>
                <w:sz w:val="20"/>
              </w:rPr>
              <w:t>251</w:t>
            </w:r>
          </w:p>
        </w:tc>
        <w:tc>
          <w:tcPr>
            <w:tcW w:w="1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267</w:t>
            </w:r>
          </w:p>
        </w:tc>
        <w:tc>
          <w:tcPr>
            <w:tcW w:w="173"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283" w:type="dxa"/>
            <w:tcBorders/>
            <w:shd w:fill="CCEEFF" w:val="clear"/>
            <w:vAlign w:val="bottom"/>
          </w:tcPr>
          <w:p>
            <w:pPr>
              <w:pStyle w:val="TableContents"/>
              <w:spacing w:before="0" w:after="283"/>
              <w:jc w:val="right"/>
              <w:rPr>
                <w:rFonts w:ascii="times" w:hAnsi="times"/>
                <w:sz w:val="20"/>
              </w:rPr>
            </w:pPr>
            <w:r>
              <w:rPr>
                <w:rFonts w:ascii="times" w:hAnsi="times"/>
                <w:sz w:val="20"/>
              </w:rPr>
              <w:t>540</w:t>
            </w:r>
          </w:p>
        </w:tc>
        <w:tc>
          <w:tcPr>
            <w:tcW w:w="178" w:type="dxa"/>
            <w:tcBorders/>
            <w:shd w:fill="CCEEFF" w:val="clear"/>
            <w:vAlign w:val="bottom"/>
          </w:tcPr>
          <w:p>
            <w:pPr>
              <w:pStyle w:val="TableContents"/>
              <w:spacing w:before="0" w:after="283"/>
              <w:rPr/>
            </w:pPr>
            <w:r>
              <w:rPr/>
              <w:t> </w:t>
            </w:r>
          </w:p>
        </w:tc>
      </w:tr>
      <w:tr>
        <w:trPr/>
        <w:tc>
          <w:tcPr>
            <w:tcW w:w="331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5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142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142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331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w:t>
            </w:r>
            <w:r>
              <w:rPr>
                <w:rFonts w:ascii="times" w:hAnsi="times"/>
                <w:position w:val="7"/>
                <w:sz w:val="16"/>
                <w:sz w:val="20"/>
              </w:rPr>
              <w:t>(vii)</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4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47" w:type="dxa"/>
            <w:tcBorders/>
            <w:shd w:fill="FFFFFF" w:val="clear"/>
            <w:vAlign w:val="bottom"/>
          </w:tcPr>
          <w:p>
            <w:pPr>
              <w:pStyle w:val="TableContents"/>
              <w:spacing w:before="0" w:after="283"/>
              <w:jc w:val="right"/>
              <w:rPr>
                <w:rFonts w:ascii="times" w:hAnsi="times"/>
                <w:sz w:val="20"/>
              </w:rPr>
            </w:pPr>
            <w:r>
              <w:rPr>
                <w:rFonts w:ascii="times" w:hAnsi="times"/>
                <w:sz w:val="20"/>
              </w:rPr>
              <w:t>75</w:t>
            </w:r>
          </w:p>
        </w:tc>
        <w:tc>
          <w:tcPr>
            <w:tcW w:w="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283" w:type="dxa"/>
            <w:tcBorders/>
            <w:shd w:fill="FFFFFF" w:val="clear"/>
            <w:vAlign w:val="bottom"/>
          </w:tcPr>
          <w:p>
            <w:pPr>
              <w:pStyle w:val="TableContents"/>
              <w:spacing w:before="0" w:after="283"/>
              <w:jc w:val="right"/>
              <w:rPr>
                <w:rFonts w:ascii="times" w:hAnsi="times"/>
                <w:sz w:val="20"/>
              </w:rPr>
            </w:pPr>
            <w:r>
              <w:rPr>
                <w:rFonts w:ascii="times" w:hAnsi="times"/>
                <w:sz w:val="20"/>
              </w:rPr>
              <w:t>77</w:t>
            </w:r>
          </w:p>
        </w:tc>
        <w:tc>
          <w:tcPr>
            <w:tcW w:w="173"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283" w:type="dxa"/>
            <w:tcBorders/>
            <w:shd w:fill="FFFFFF" w:val="clear"/>
            <w:vAlign w:val="bottom"/>
          </w:tcPr>
          <w:p>
            <w:pPr>
              <w:pStyle w:val="TableContents"/>
              <w:spacing w:before="0" w:after="283"/>
              <w:jc w:val="right"/>
              <w:rPr>
                <w:rFonts w:ascii="times" w:hAnsi="times"/>
                <w:sz w:val="20"/>
              </w:rPr>
            </w:pPr>
            <w:r>
              <w:rPr>
                <w:rFonts w:ascii="times" w:hAnsi="times"/>
                <w:sz w:val="20"/>
              </w:rPr>
              <w:t>71</w:t>
            </w:r>
          </w:p>
        </w:tc>
        <w:tc>
          <w:tcPr>
            <w:tcW w:w="178" w:type="dxa"/>
            <w:tcBorders/>
            <w:shd w:fill="FFFFFF" w:val="clear"/>
            <w:vAlign w:val="bottom"/>
          </w:tcPr>
          <w:p>
            <w:pPr>
              <w:pStyle w:val="TableContents"/>
              <w:spacing w:before="0" w:after="283"/>
              <w:rPr/>
            </w:pPr>
            <w:r>
              <w:rPr/>
              <w:t> </w:t>
            </w:r>
          </w:p>
        </w:tc>
      </w:tr>
      <w:tr>
        <w:trPr/>
        <w:tc>
          <w:tcPr>
            <w:tcW w:w="331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5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142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142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Pinos Altos Mine  Minesite Costs per Tonne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449"/>
        <w:gridCol w:w="167"/>
        <w:gridCol w:w="125"/>
        <w:gridCol w:w="1433"/>
        <w:gridCol w:w="169"/>
        <w:gridCol w:w="125"/>
        <w:gridCol w:w="1433"/>
        <w:gridCol w:w="169"/>
        <w:gridCol w:w="125"/>
        <w:gridCol w:w="1270"/>
        <w:gridCol w:w="169"/>
        <w:gridCol w:w="124"/>
        <w:gridCol w:w="1270"/>
        <w:gridCol w:w="177"/>
      </w:tblGrid>
      <w:tr>
        <w:trPr/>
        <w:tc>
          <w:tcPr>
            <w:tcW w:w="3449"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433"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433"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70"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270"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r>
      <w:tr>
        <w:trPr/>
        <w:tc>
          <w:tcPr>
            <w:tcW w:w="3449"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67" w:type="dxa"/>
            <w:tcBorders/>
            <w:shd w:fill="auto" w:val="clear"/>
            <w:vAlign w:val="bottom"/>
          </w:tcPr>
          <w:p>
            <w:pPr>
              <w:pStyle w:val="TableHeading"/>
              <w:suppressLineNumbers/>
              <w:spacing w:before="0" w:after="283"/>
              <w:jc w:val="center"/>
              <w:rPr/>
            </w:pPr>
            <w:r>
              <w:rPr/>
              <w:t> </w:t>
            </w:r>
          </w:p>
        </w:tc>
        <w:tc>
          <w:tcPr>
            <w:tcW w:w="15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69" w:type="dxa"/>
            <w:tcBorders/>
            <w:shd w:fill="auto" w:val="clear"/>
            <w:vAlign w:val="bottom"/>
          </w:tcPr>
          <w:p>
            <w:pPr>
              <w:pStyle w:val="TableHeading"/>
              <w:suppressLineNumbers/>
              <w:spacing w:before="0" w:after="283"/>
              <w:jc w:val="center"/>
              <w:rPr/>
            </w:pPr>
            <w:r>
              <w:rPr/>
              <w:t> </w:t>
            </w:r>
          </w:p>
        </w:tc>
        <w:tc>
          <w:tcPr>
            <w:tcW w:w="15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69" w:type="dxa"/>
            <w:tcBorders/>
            <w:shd w:fill="auto" w:val="clear"/>
            <w:vAlign w:val="bottom"/>
          </w:tcPr>
          <w:p>
            <w:pPr>
              <w:pStyle w:val="TableHeading"/>
              <w:suppressLineNumbers/>
              <w:spacing w:before="0" w:after="283"/>
              <w:jc w:val="center"/>
              <w:rPr/>
            </w:pPr>
            <w:r>
              <w:rPr/>
              <w:t> </w:t>
            </w:r>
          </w:p>
        </w:tc>
        <w:tc>
          <w:tcPr>
            <w:tcW w:w="13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69" w:type="dxa"/>
            <w:tcBorders/>
            <w:shd w:fill="auto" w:val="clear"/>
            <w:vAlign w:val="bottom"/>
          </w:tcPr>
          <w:p>
            <w:pPr>
              <w:pStyle w:val="TableHeading"/>
              <w:suppressLineNumbers/>
              <w:spacing w:before="0" w:after="283"/>
              <w:jc w:val="center"/>
              <w:rPr/>
            </w:pPr>
            <w:r>
              <w:rPr/>
              <w:t> </w:t>
            </w:r>
          </w:p>
        </w:tc>
        <w:tc>
          <w:tcPr>
            <w:tcW w:w="139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77" w:type="dxa"/>
            <w:tcBorders/>
            <w:shd w:fill="auto" w:val="clear"/>
            <w:vAlign w:val="bottom"/>
          </w:tcPr>
          <w:p>
            <w:pPr>
              <w:pStyle w:val="TableHeading"/>
              <w:suppressLineNumbers/>
              <w:spacing w:before="0" w:after="283"/>
              <w:jc w:val="center"/>
              <w:rPr/>
            </w:pPr>
            <w:r>
              <w:rPr/>
              <w:t> </w:t>
            </w:r>
          </w:p>
        </w:tc>
      </w:tr>
      <w:tr>
        <w:trPr/>
        <w:tc>
          <w:tcPr>
            <w:tcW w:w="344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34,511</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33,050</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66,163</w:t>
            </w:r>
          </w:p>
        </w:tc>
        <w:tc>
          <w:tcPr>
            <w:tcW w:w="1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63,711</w:t>
            </w:r>
          </w:p>
        </w:tc>
        <w:tc>
          <w:tcPr>
            <w:tcW w:w="177" w:type="dxa"/>
            <w:tcBorders/>
            <w:shd w:fill="CCEEFF"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rPr/>
            </w:pPr>
            <w:r>
              <w:rPr/>
              <w:t> </w:t>
            </w:r>
          </w:p>
        </w:tc>
        <w:tc>
          <w:tcPr>
            <w:tcW w:w="177" w:type="dxa"/>
            <w:tcBorders/>
            <w:shd w:fill="FFFFFF" w:val="clear"/>
            <w:vAlign w:val="bottom"/>
          </w:tcPr>
          <w:p>
            <w:pPr>
              <w:pStyle w:val="TableContents"/>
              <w:spacing w:before="0" w:after="283"/>
              <w:rPr/>
            </w:pPr>
            <w:r>
              <w:rPr/>
              <w:t> </w:t>
            </w:r>
          </w:p>
        </w:tc>
      </w:tr>
      <w:tr>
        <w:trPr/>
        <w:tc>
          <w:tcPr>
            <w:tcW w:w="344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(103</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(77</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(506</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535</w:t>
            </w:r>
          </w:p>
        </w:tc>
        <w:tc>
          <w:tcPr>
            <w:tcW w:w="177" w:type="dxa"/>
            <w:tcBorders/>
            <w:shd w:fill="CCEEFF"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(74</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(52</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(148</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(103</w:t>
            </w:r>
          </w:p>
        </w:tc>
        <w:tc>
          <w:tcPr>
            <w:tcW w:w="177"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44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(1,251</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(3,017</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(2,570</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(7,197</w:t>
            </w:r>
          </w:p>
        </w:tc>
        <w:tc>
          <w:tcPr>
            <w:tcW w:w="177"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44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33,083</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29,904</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62,939</w:t>
            </w:r>
          </w:p>
        </w:tc>
        <w:tc>
          <w:tcPr>
            <w:tcW w:w="169"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56,946</w:t>
            </w:r>
          </w:p>
        </w:tc>
        <w:tc>
          <w:tcPr>
            <w:tcW w:w="177" w:type="dxa"/>
            <w:tcBorders/>
            <w:shd w:fill="FFFFFF" w:val="clear"/>
            <w:vAlign w:val="bottom"/>
          </w:tcPr>
          <w:p>
            <w:pPr>
              <w:pStyle w:val="TableContents"/>
              <w:spacing w:before="0" w:after="283"/>
              <w:rPr/>
            </w:pPr>
            <w:r>
              <w:rPr/>
              <w:t> </w:t>
            </w:r>
          </w:p>
        </w:tc>
      </w:tr>
      <w:tr>
        <w:trPr/>
        <w:tc>
          <w:tcPr>
            <w:tcW w:w="344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processed (thousands of tonnes)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665</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735</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1,391</w:t>
            </w:r>
          </w:p>
        </w:tc>
        <w:tc>
          <w:tcPr>
            <w:tcW w:w="1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1,457</w:t>
            </w:r>
          </w:p>
        </w:tc>
        <w:tc>
          <w:tcPr>
            <w:tcW w:w="177" w:type="dxa"/>
            <w:tcBorders/>
            <w:shd w:fill="CCEEFF" w:val="clear"/>
            <w:vAlign w:val="bottom"/>
          </w:tcPr>
          <w:p>
            <w:pPr>
              <w:pStyle w:val="TableContents"/>
              <w:spacing w:before="0" w:after="283"/>
              <w:rPr/>
            </w:pPr>
            <w:r>
              <w:rPr/>
              <w:t> </w:t>
            </w:r>
          </w:p>
        </w:tc>
      </w:tr>
      <w:tr>
        <w:trPr/>
        <w:tc>
          <w:tcPr>
            <w:tcW w:w="344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(US$)</w:t>
            </w:r>
            <w:r>
              <w:rPr>
                <w:rFonts w:ascii="times" w:hAnsi="times"/>
                <w:position w:val="7"/>
                <w:sz w:val="16"/>
                <w:sz w:val="20"/>
              </w:rPr>
              <w:t>(vii)</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50</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41</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45</w:t>
            </w:r>
          </w:p>
        </w:tc>
        <w:tc>
          <w:tcPr>
            <w:tcW w:w="169"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39</w:t>
            </w:r>
          </w:p>
        </w:tc>
        <w:tc>
          <w:tcPr>
            <w:tcW w:w="177" w:type="dxa"/>
            <w:tcBorders/>
            <w:shd w:fill="FFFFFF" w:val="clear"/>
            <w:vAlign w:val="bottom"/>
          </w:tcPr>
          <w:p>
            <w:pPr>
              <w:pStyle w:val="TableContents"/>
              <w:spacing w:before="0" w:after="283"/>
              <w:rPr/>
            </w:pPr>
            <w:r>
              <w:rPr/>
              <w:t> </w:t>
            </w:r>
          </w:p>
        </w:tc>
      </w:tr>
      <w:tr>
        <w:trPr/>
        <w:tc>
          <w:tcPr>
            <w:tcW w:w="344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Creston Mascota deposit at Pinos Altos  Minesite Costs per Tonne</w:t>
      </w:r>
      <w:r>
        <w:rPr>
          <w:rFonts w:ascii="times" w:hAnsi="times"/>
          <w:b/>
          <w:position w:val="7"/>
          <w:sz w:val="16"/>
          <w:sz w:val="20"/>
        </w:rPr>
        <w:t>(ii)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449"/>
        <w:gridCol w:w="167"/>
        <w:gridCol w:w="125"/>
        <w:gridCol w:w="1433"/>
        <w:gridCol w:w="169"/>
        <w:gridCol w:w="125"/>
        <w:gridCol w:w="1433"/>
        <w:gridCol w:w="169"/>
        <w:gridCol w:w="125"/>
        <w:gridCol w:w="1270"/>
        <w:gridCol w:w="169"/>
        <w:gridCol w:w="124"/>
        <w:gridCol w:w="1270"/>
        <w:gridCol w:w="177"/>
      </w:tblGrid>
      <w:tr>
        <w:trPr/>
        <w:tc>
          <w:tcPr>
            <w:tcW w:w="3449"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433"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433"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70"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270"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r>
      <w:tr>
        <w:trPr/>
        <w:tc>
          <w:tcPr>
            <w:tcW w:w="3449"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67" w:type="dxa"/>
            <w:tcBorders/>
            <w:shd w:fill="auto" w:val="clear"/>
            <w:vAlign w:val="bottom"/>
          </w:tcPr>
          <w:p>
            <w:pPr>
              <w:pStyle w:val="TableHeading"/>
              <w:suppressLineNumbers/>
              <w:spacing w:before="0" w:after="283"/>
              <w:jc w:val="center"/>
              <w:rPr/>
            </w:pPr>
            <w:r>
              <w:rPr/>
              <w:t> </w:t>
            </w:r>
          </w:p>
        </w:tc>
        <w:tc>
          <w:tcPr>
            <w:tcW w:w="15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69" w:type="dxa"/>
            <w:tcBorders/>
            <w:shd w:fill="auto" w:val="clear"/>
            <w:vAlign w:val="bottom"/>
          </w:tcPr>
          <w:p>
            <w:pPr>
              <w:pStyle w:val="TableHeading"/>
              <w:suppressLineNumbers/>
              <w:spacing w:before="0" w:after="283"/>
              <w:jc w:val="center"/>
              <w:rPr/>
            </w:pPr>
            <w:r>
              <w:rPr/>
              <w:t> </w:t>
            </w:r>
          </w:p>
        </w:tc>
        <w:tc>
          <w:tcPr>
            <w:tcW w:w="15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69" w:type="dxa"/>
            <w:tcBorders/>
            <w:shd w:fill="auto" w:val="clear"/>
            <w:vAlign w:val="bottom"/>
          </w:tcPr>
          <w:p>
            <w:pPr>
              <w:pStyle w:val="TableHeading"/>
              <w:suppressLineNumbers/>
              <w:spacing w:before="0" w:after="283"/>
              <w:jc w:val="center"/>
              <w:rPr/>
            </w:pPr>
            <w:r>
              <w:rPr/>
              <w:t> </w:t>
            </w:r>
          </w:p>
        </w:tc>
        <w:tc>
          <w:tcPr>
            <w:tcW w:w="13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69" w:type="dxa"/>
            <w:tcBorders/>
            <w:shd w:fill="auto" w:val="clear"/>
            <w:vAlign w:val="bottom"/>
          </w:tcPr>
          <w:p>
            <w:pPr>
              <w:pStyle w:val="TableHeading"/>
              <w:suppressLineNumbers/>
              <w:spacing w:before="0" w:after="283"/>
              <w:jc w:val="center"/>
              <w:rPr/>
            </w:pPr>
            <w:r>
              <w:rPr/>
              <w:t> </w:t>
            </w:r>
          </w:p>
        </w:tc>
        <w:tc>
          <w:tcPr>
            <w:tcW w:w="139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77" w:type="dxa"/>
            <w:tcBorders/>
            <w:shd w:fill="auto" w:val="clear"/>
            <w:vAlign w:val="bottom"/>
          </w:tcPr>
          <w:p>
            <w:pPr>
              <w:pStyle w:val="TableHeading"/>
              <w:suppressLineNumbers/>
              <w:spacing w:before="0" w:after="283"/>
              <w:jc w:val="center"/>
              <w:rPr/>
            </w:pPr>
            <w:r>
              <w:rPr/>
              <w:t> </w:t>
            </w:r>
          </w:p>
        </w:tc>
      </w:tr>
      <w:tr>
        <w:trPr/>
        <w:tc>
          <w:tcPr>
            <w:tcW w:w="344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4,427</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7,769</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4,427</w:t>
            </w:r>
          </w:p>
        </w:tc>
        <w:tc>
          <w:tcPr>
            <w:tcW w:w="1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12,269</w:t>
            </w:r>
          </w:p>
        </w:tc>
        <w:tc>
          <w:tcPr>
            <w:tcW w:w="177" w:type="dxa"/>
            <w:tcBorders/>
            <w:shd w:fill="CCEEFF"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rPr/>
            </w:pPr>
            <w:r>
              <w:rPr/>
              <w:t> </w:t>
            </w:r>
          </w:p>
        </w:tc>
        <w:tc>
          <w:tcPr>
            <w:tcW w:w="177" w:type="dxa"/>
            <w:tcBorders/>
            <w:shd w:fill="FFFFFF" w:val="clear"/>
            <w:vAlign w:val="bottom"/>
          </w:tcPr>
          <w:p>
            <w:pPr>
              <w:pStyle w:val="TableContents"/>
              <w:spacing w:before="0" w:after="283"/>
              <w:rPr/>
            </w:pPr>
            <w:r>
              <w:rPr/>
              <w:t> </w:t>
            </w:r>
          </w:p>
        </w:tc>
      </w:tr>
      <w:tr>
        <w:trPr/>
        <w:tc>
          <w:tcPr>
            <w:tcW w:w="344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1,125</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(1,031</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1,125</w:t>
            </w:r>
          </w:p>
        </w:tc>
        <w:tc>
          <w:tcPr>
            <w:tcW w:w="1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111</w:t>
            </w:r>
          </w:p>
        </w:tc>
        <w:tc>
          <w:tcPr>
            <w:tcW w:w="177" w:type="dxa"/>
            <w:tcBorders/>
            <w:shd w:fill="CCEEFF"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(37</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(143</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(37</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FFFFFF" w:val="clear"/>
            <w:vAlign w:val="bottom"/>
          </w:tcPr>
          <w:p>
            <w:pPr>
              <w:pStyle w:val="TableContents"/>
              <w:spacing w:before="0" w:after="283"/>
              <w:rPr/>
            </w:pPr>
            <w:r>
              <w:rPr/>
              <w:t> </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(525</w:t>
            </w:r>
          </w:p>
        </w:tc>
        <w:tc>
          <w:tcPr>
            <w:tcW w:w="177"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44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(332</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(332</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4"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7" w:type="dxa"/>
            <w:tcBorders/>
            <w:shd w:fill="CCEEFF" w:val="clear"/>
            <w:vAlign w:val="bottom"/>
          </w:tcPr>
          <w:p>
            <w:pPr>
              <w:pStyle w:val="TableContents"/>
              <w:spacing w:before="0" w:after="283"/>
              <w:rPr/>
            </w:pPr>
            <w:r>
              <w:rPr/>
              <w:t> </w:t>
            </w:r>
          </w:p>
        </w:tc>
      </w:tr>
      <w:tr>
        <w:trPr/>
        <w:tc>
          <w:tcPr>
            <w:tcW w:w="344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5,183</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6,595</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5,183</w:t>
            </w:r>
          </w:p>
        </w:tc>
        <w:tc>
          <w:tcPr>
            <w:tcW w:w="169"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11,855</w:t>
            </w:r>
          </w:p>
        </w:tc>
        <w:tc>
          <w:tcPr>
            <w:tcW w:w="177" w:type="dxa"/>
            <w:tcBorders/>
            <w:shd w:fill="FFFFFF" w:val="clear"/>
            <w:vAlign w:val="bottom"/>
          </w:tcPr>
          <w:p>
            <w:pPr>
              <w:pStyle w:val="TableContents"/>
              <w:spacing w:before="0" w:after="283"/>
              <w:rPr/>
            </w:pPr>
            <w:r>
              <w:rPr/>
              <w:t> </w:t>
            </w:r>
          </w:p>
        </w:tc>
      </w:tr>
      <w:tr>
        <w:trPr/>
        <w:tc>
          <w:tcPr>
            <w:tcW w:w="344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processed (thousands of tonnes)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363</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433" w:type="dxa"/>
            <w:tcBorders/>
            <w:shd w:fill="CCEEFF" w:val="clear"/>
            <w:vAlign w:val="bottom"/>
          </w:tcPr>
          <w:p>
            <w:pPr>
              <w:pStyle w:val="TableContents"/>
              <w:spacing w:before="0" w:after="283"/>
              <w:jc w:val="right"/>
              <w:rPr>
                <w:rFonts w:ascii="times" w:hAnsi="times"/>
                <w:sz w:val="20"/>
              </w:rPr>
            </w:pPr>
            <w:r>
              <w:rPr>
                <w:rFonts w:ascii="times" w:hAnsi="times"/>
                <w:sz w:val="20"/>
              </w:rPr>
              <w:t>476</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363</w:t>
            </w:r>
          </w:p>
        </w:tc>
        <w:tc>
          <w:tcPr>
            <w:tcW w:w="1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70" w:type="dxa"/>
            <w:tcBorders/>
            <w:shd w:fill="CCEEFF" w:val="clear"/>
            <w:vAlign w:val="bottom"/>
          </w:tcPr>
          <w:p>
            <w:pPr>
              <w:pStyle w:val="TableContents"/>
              <w:spacing w:before="0" w:after="283"/>
              <w:jc w:val="right"/>
              <w:rPr>
                <w:rFonts w:ascii="times" w:hAnsi="times"/>
                <w:sz w:val="20"/>
              </w:rPr>
            </w:pPr>
            <w:r>
              <w:rPr>
                <w:rFonts w:ascii="times" w:hAnsi="times"/>
                <w:sz w:val="20"/>
              </w:rPr>
              <w:t>988</w:t>
            </w:r>
          </w:p>
        </w:tc>
        <w:tc>
          <w:tcPr>
            <w:tcW w:w="177" w:type="dxa"/>
            <w:tcBorders/>
            <w:shd w:fill="CCEEFF" w:val="clear"/>
            <w:vAlign w:val="bottom"/>
          </w:tcPr>
          <w:p>
            <w:pPr>
              <w:pStyle w:val="TableContents"/>
              <w:spacing w:before="0" w:after="283"/>
              <w:rPr/>
            </w:pPr>
            <w:r>
              <w:rPr/>
              <w:t> </w:t>
            </w:r>
          </w:p>
        </w:tc>
      </w:tr>
      <w:tr>
        <w:trPr/>
        <w:tc>
          <w:tcPr>
            <w:tcW w:w="344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44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(US$)</w:t>
            </w:r>
            <w:r>
              <w:rPr>
                <w:rFonts w:ascii="times" w:hAnsi="times"/>
                <w:position w:val="7"/>
                <w:sz w:val="16"/>
                <w:sz w:val="20"/>
              </w:rPr>
              <w:t>(vii)</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14</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33" w:type="dxa"/>
            <w:tcBorders/>
            <w:shd w:fill="FFFFFF" w:val="clear"/>
            <w:vAlign w:val="bottom"/>
          </w:tcPr>
          <w:p>
            <w:pPr>
              <w:pStyle w:val="TableContents"/>
              <w:spacing w:before="0" w:after="283"/>
              <w:jc w:val="right"/>
              <w:rPr>
                <w:rFonts w:ascii="times" w:hAnsi="times"/>
                <w:sz w:val="20"/>
              </w:rPr>
            </w:pPr>
            <w:r>
              <w:rPr>
                <w:rFonts w:ascii="times" w:hAnsi="times"/>
                <w:sz w:val="20"/>
              </w:rPr>
              <w:t>14</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14</w:t>
            </w:r>
          </w:p>
        </w:tc>
        <w:tc>
          <w:tcPr>
            <w:tcW w:w="169"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0" w:type="dxa"/>
            <w:tcBorders/>
            <w:shd w:fill="FFFFFF" w:val="clear"/>
            <w:vAlign w:val="bottom"/>
          </w:tcPr>
          <w:p>
            <w:pPr>
              <w:pStyle w:val="TableContents"/>
              <w:spacing w:before="0" w:after="283"/>
              <w:jc w:val="right"/>
              <w:rPr>
                <w:rFonts w:ascii="times" w:hAnsi="times"/>
                <w:sz w:val="20"/>
              </w:rPr>
            </w:pPr>
            <w:r>
              <w:rPr>
                <w:rFonts w:ascii="times" w:hAnsi="times"/>
                <w:sz w:val="20"/>
              </w:rPr>
              <w:t>12</w:t>
            </w:r>
          </w:p>
        </w:tc>
        <w:tc>
          <w:tcPr>
            <w:tcW w:w="177" w:type="dxa"/>
            <w:tcBorders/>
            <w:shd w:fill="FFFFFF" w:val="clear"/>
            <w:vAlign w:val="bottom"/>
          </w:tcPr>
          <w:p>
            <w:pPr>
              <w:pStyle w:val="TableContents"/>
              <w:spacing w:before="0" w:after="283"/>
              <w:rPr/>
            </w:pPr>
            <w:r>
              <w:rPr/>
              <w:t> </w:t>
            </w:r>
          </w:p>
        </w:tc>
      </w:tr>
      <w:tr>
        <w:trPr/>
        <w:tc>
          <w:tcPr>
            <w:tcW w:w="344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39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10</w:t>
      </w:r>
    </w:p>
    <w:p>
      <w:pPr>
        <w:pStyle w:val="HorizontalLine"/>
        <w:pBdr>
          <w:bottom w:val="single" w:sz="20" w:space="0" w:color="808080"/>
        </w:pBdr>
        <w:rPr/>
      </w:pPr>
      <w:r>
        <w:rPr/>
      </w:r>
      <w:r>
        <w:br w:type="page"/>
      </w:r>
    </w:p>
    <w:p>
      <w:pPr>
        <w:pStyle w:val="TextBody"/>
        <w:rPr>
          <w:rFonts w:ascii="times" w:hAnsi="times"/>
          <w:b/>
          <w:sz w:val="20"/>
        </w:rPr>
      </w:pPr>
      <w:bookmarkStart w:id="23" w:name="page_de72201_1_11"/>
      <w:bookmarkEnd w:id="23"/>
      <w:r>
        <w:rPr>
          <w:rFonts w:ascii="times" w:hAnsi="times"/>
          <w:b/>
          <w:sz w:val="20"/>
          <w:u w:val="single"/>
        </w:rPr>
        <w:t>Meadowbank Mine  Minesite Costs per Tonne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290"/>
        <w:gridCol w:w="170"/>
        <w:gridCol w:w="155"/>
        <w:gridCol w:w="1440"/>
        <w:gridCol w:w="172"/>
        <w:gridCol w:w="155"/>
        <w:gridCol w:w="1440"/>
        <w:gridCol w:w="172"/>
        <w:gridCol w:w="155"/>
        <w:gridCol w:w="1276"/>
        <w:gridCol w:w="172"/>
        <w:gridCol w:w="155"/>
        <w:gridCol w:w="1276"/>
        <w:gridCol w:w="177"/>
      </w:tblGrid>
      <w:tr>
        <w:trPr/>
        <w:tc>
          <w:tcPr>
            <w:tcW w:w="329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40"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40"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r>
      <w:tr>
        <w:trPr/>
        <w:tc>
          <w:tcPr>
            <w:tcW w:w="3290"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70" w:type="dxa"/>
            <w:tcBorders/>
            <w:shd w:fill="auto" w:val="clear"/>
            <w:vAlign w:val="bottom"/>
          </w:tcPr>
          <w:p>
            <w:pPr>
              <w:pStyle w:val="TableHeading"/>
              <w:suppressLineNumbers/>
              <w:spacing w:before="0" w:after="283"/>
              <w:jc w:val="center"/>
              <w:rPr/>
            </w:pPr>
            <w:r>
              <w:rPr/>
              <w:t> </w:t>
            </w:r>
          </w:p>
        </w:tc>
        <w:tc>
          <w:tcPr>
            <w:tcW w:w="15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2013 </w:t>
            </w:r>
          </w:p>
        </w:tc>
        <w:tc>
          <w:tcPr>
            <w:tcW w:w="172" w:type="dxa"/>
            <w:tcBorders/>
            <w:shd w:fill="auto" w:val="clear"/>
            <w:vAlign w:val="bottom"/>
          </w:tcPr>
          <w:p>
            <w:pPr>
              <w:pStyle w:val="TableHeading"/>
              <w:suppressLineNumbers/>
              <w:spacing w:before="0" w:after="283"/>
              <w:jc w:val="center"/>
              <w:rPr/>
            </w:pPr>
            <w:r>
              <w:rPr/>
              <w:t> </w:t>
            </w:r>
          </w:p>
        </w:tc>
        <w:tc>
          <w:tcPr>
            <w:tcW w:w="159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2012 </w:t>
            </w:r>
          </w:p>
        </w:tc>
        <w:tc>
          <w:tcPr>
            <w:tcW w:w="172" w:type="dxa"/>
            <w:tcBorders/>
            <w:shd w:fill="auto" w:val="clear"/>
            <w:vAlign w:val="bottom"/>
          </w:tcPr>
          <w:p>
            <w:pPr>
              <w:pStyle w:val="TableHeading"/>
              <w:suppressLineNumbers/>
              <w:spacing w:before="0" w:after="283"/>
              <w:jc w:val="center"/>
              <w:rPr/>
            </w:pPr>
            <w:r>
              <w:rPr/>
              <w:t> </w:t>
            </w:r>
          </w:p>
        </w:tc>
        <w:tc>
          <w:tcPr>
            <w:tcW w:w="14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172" w:type="dxa"/>
            <w:tcBorders/>
            <w:shd w:fill="auto" w:val="clear"/>
            <w:vAlign w:val="bottom"/>
          </w:tcPr>
          <w:p>
            <w:pPr>
              <w:pStyle w:val="TableHeading"/>
              <w:suppressLineNumbers/>
              <w:spacing w:before="0" w:after="283"/>
              <w:jc w:val="center"/>
              <w:rPr/>
            </w:pPr>
            <w:r>
              <w:rPr/>
              <w:t> </w:t>
            </w:r>
          </w:p>
        </w:tc>
        <w:tc>
          <w:tcPr>
            <w:tcW w:w="14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177" w:type="dxa"/>
            <w:tcBorders/>
            <w:shd w:fill="auto" w:val="clear"/>
            <w:vAlign w:val="bottom"/>
          </w:tcPr>
          <w:p>
            <w:pPr>
              <w:pStyle w:val="TableHeading"/>
              <w:suppressLineNumbers/>
              <w:spacing w:before="0" w:after="283"/>
              <w:jc w:val="center"/>
              <w:rPr/>
            </w:pPr>
            <w:r>
              <w:rPr/>
              <w:t> </w:t>
            </w:r>
          </w:p>
        </w:tc>
      </w:tr>
      <w:tr>
        <w:trPr/>
        <w:tc>
          <w:tcPr>
            <w:tcW w:w="329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90,136</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81,639</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183,725</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158,646</w:t>
            </w:r>
          </w:p>
        </w:tc>
        <w:tc>
          <w:tcPr>
            <w:tcW w:w="177" w:type="dxa"/>
            <w:tcBorders/>
            <w:shd w:fill="CCEEFF" w:val="clear"/>
            <w:vAlign w:val="bottom"/>
          </w:tcPr>
          <w:p>
            <w:pPr>
              <w:pStyle w:val="TableContents"/>
              <w:spacing w:before="0" w:after="283"/>
              <w:rPr/>
            </w:pPr>
            <w:r>
              <w:rPr/>
              <w:t> </w:t>
            </w:r>
          </w:p>
        </w:tc>
      </w:tr>
      <w:tr>
        <w:trPr/>
        <w:tc>
          <w:tcPr>
            <w:tcW w:w="329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0"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0"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6"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6" w:type="dxa"/>
            <w:tcBorders/>
            <w:shd w:fill="FFFFFF" w:val="clear"/>
            <w:vAlign w:val="bottom"/>
          </w:tcPr>
          <w:p>
            <w:pPr>
              <w:pStyle w:val="TableContents"/>
              <w:spacing w:before="0" w:after="283"/>
              <w:rPr/>
            </w:pPr>
            <w:r>
              <w:rPr/>
              <w:t> </w:t>
            </w:r>
          </w:p>
        </w:tc>
        <w:tc>
          <w:tcPr>
            <w:tcW w:w="177" w:type="dxa"/>
            <w:tcBorders/>
            <w:shd w:fill="FFFFFF" w:val="clear"/>
            <w:vAlign w:val="bottom"/>
          </w:tcPr>
          <w:p>
            <w:pPr>
              <w:pStyle w:val="TableContents"/>
              <w:spacing w:before="0" w:after="283"/>
              <w:rPr/>
            </w:pPr>
            <w:r>
              <w:rPr/>
              <w:t> </w:t>
            </w:r>
          </w:p>
        </w:tc>
      </w:tr>
      <w:tr>
        <w:trPr/>
        <w:tc>
          <w:tcPr>
            <w:tcW w:w="3290"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1,227</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51</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2,129</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5,480</w:t>
            </w:r>
          </w:p>
        </w:tc>
        <w:tc>
          <w:tcPr>
            <w:tcW w:w="177" w:type="dxa"/>
            <w:tcBorders/>
            <w:shd w:fill="CCEEFF" w:val="clear"/>
            <w:vAlign w:val="bottom"/>
          </w:tcPr>
          <w:p>
            <w:pPr>
              <w:pStyle w:val="TableContents"/>
              <w:spacing w:before="0" w:after="283"/>
              <w:rPr/>
            </w:pPr>
            <w:r>
              <w:rPr/>
              <w:t> </w:t>
            </w:r>
          </w:p>
        </w:tc>
      </w:tr>
      <w:tr>
        <w:trPr/>
        <w:tc>
          <w:tcPr>
            <w:tcW w:w="3290"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0" w:type="dxa"/>
            <w:tcBorders/>
            <w:shd w:fill="FFFFFF" w:val="clear"/>
            <w:vAlign w:val="bottom"/>
          </w:tcPr>
          <w:p>
            <w:pPr>
              <w:pStyle w:val="TableContents"/>
              <w:spacing w:before="0" w:after="283"/>
              <w:jc w:val="right"/>
              <w:rPr>
                <w:rFonts w:ascii="times" w:hAnsi="times"/>
                <w:sz w:val="20"/>
              </w:rPr>
            </w:pPr>
            <w:r>
              <w:rPr>
                <w:rFonts w:ascii="times" w:hAnsi="times"/>
                <w:sz w:val="20"/>
              </w:rPr>
              <w:t>(387</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440" w:type="dxa"/>
            <w:tcBorders/>
            <w:shd w:fill="FFFFFF" w:val="clear"/>
            <w:vAlign w:val="bottom"/>
          </w:tcPr>
          <w:p>
            <w:pPr>
              <w:pStyle w:val="TableContents"/>
              <w:spacing w:before="0" w:after="283"/>
              <w:jc w:val="right"/>
              <w:rPr>
                <w:rFonts w:ascii="times" w:hAnsi="times"/>
                <w:sz w:val="20"/>
              </w:rPr>
            </w:pPr>
            <w:r>
              <w:rPr>
                <w:rFonts w:ascii="times" w:hAnsi="times"/>
                <w:sz w:val="20"/>
              </w:rPr>
              <w:t>(395</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276" w:type="dxa"/>
            <w:tcBorders/>
            <w:shd w:fill="FFFFFF" w:val="clear"/>
            <w:vAlign w:val="bottom"/>
          </w:tcPr>
          <w:p>
            <w:pPr>
              <w:pStyle w:val="TableContents"/>
              <w:spacing w:before="0" w:after="283"/>
              <w:jc w:val="right"/>
              <w:rPr>
                <w:rFonts w:ascii="times" w:hAnsi="times"/>
                <w:sz w:val="20"/>
              </w:rPr>
            </w:pPr>
            <w:r>
              <w:rPr>
                <w:rFonts w:ascii="times" w:hAnsi="times"/>
                <w:sz w:val="20"/>
              </w:rPr>
              <w:t>(780</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276" w:type="dxa"/>
            <w:tcBorders/>
            <w:shd w:fill="FFFFFF" w:val="clear"/>
            <w:vAlign w:val="bottom"/>
          </w:tcPr>
          <w:p>
            <w:pPr>
              <w:pStyle w:val="TableContents"/>
              <w:spacing w:before="0" w:after="283"/>
              <w:jc w:val="right"/>
              <w:rPr>
                <w:rFonts w:ascii="times" w:hAnsi="times"/>
                <w:sz w:val="20"/>
              </w:rPr>
            </w:pPr>
            <w:r>
              <w:rPr>
                <w:rFonts w:ascii="times" w:hAnsi="times"/>
                <w:sz w:val="20"/>
              </w:rPr>
              <w:t>(789</w:t>
            </w:r>
          </w:p>
        </w:tc>
        <w:tc>
          <w:tcPr>
            <w:tcW w:w="177"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290"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(6,921</w:t>
            </w:r>
          </w:p>
        </w:tc>
        <w:tc>
          <w:tcPr>
            <w:tcW w:w="17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(1,441</w:t>
            </w:r>
          </w:p>
        </w:tc>
        <w:tc>
          <w:tcPr>
            <w:tcW w:w="17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(13,045</w:t>
            </w:r>
          </w:p>
        </w:tc>
        <w:tc>
          <w:tcPr>
            <w:tcW w:w="172"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(1,663</w:t>
            </w:r>
          </w:p>
        </w:tc>
        <w:tc>
          <w:tcPr>
            <w:tcW w:w="177"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29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29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40" w:type="dxa"/>
            <w:tcBorders/>
            <w:shd w:fill="FFFFFF" w:val="clear"/>
            <w:vAlign w:val="bottom"/>
          </w:tcPr>
          <w:p>
            <w:pPr>
              <w:pStyle w:val="TableContents"/>
              <w:spacing w:before="0" w:after="283"/>
              <w:jc w:val="right"/>
              <w:rPr>
                <w:rFonts w:ascii="times" w:hAnsi="times"/>
                <w:sz w:val="20"/>
              </w:rPr>
            </w:pPr>
            <w:r>
              <w:rPr>
                <w:rFonts w:ascii="times" w:hAnsi="times"/>
                <w:sz w:val="20"/>
              </w:rPr>
              <w:t>84,055</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40" w:type="dxa"/>
            <w:tcBorders/>
            <w:shd w:fill="FFFFFF" w:val="clear"/>
            <w:vAlign w:val="bottom"/>
          </w:tcPr>
          <w:p>
            <w:pPr>
              <w:pStyle w:val="TableContents"/>
              <w:spacing w:before="0" w:after="283"/>
              <w:jc w:val="right"/>
              <w:rPr>
                <w:rFonts w:ascii="times" w:hAnsi="times"/>
                <w:sz w:val="20"/>
              </w:rPr>
            </w:pPr>
            <w:r>
              <w:rPr>
                <w:rFonts w:ascii="times" w:hAnsi="times"/>
                <w:sz w:val="20"/>
              </w:rPr>
              <w:t>79,854</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6" w:type="dxa"/>
            <w:tcBorders/>
            <w:shd w:fill="FFFFFF" w:val="clear"/>
            <w:vAlign w:val="bottom"/>
          </w:tcPr>
          <w:p>
            <w:pPr>
              <w:pStyle w:val="TableContents"/>
              <w:spacing w:before="0" w:after="283"/>
              <w:jc w:val="right"/>
              <w:rPr>
                <w:rFonts w:ascii="times" w:hAnsi="times"/>
                <w:sz w:val="20"/>
              </w:rPr>
            </w:pPr>
            <w:r>
              <w:rPr>
                <w:rFonts w:ascii="times" w:hAnsi="times"/>
                <w:sz w:val="20"/>
              </w:rPr>
              <w:t>172,029</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76" w:type="dxa"/>
            <w:tcBorders/>
            <w:shd w:fill="FFFFFF" w:val="clear"/>
            <w:vAlign w:val="bottom"/>
          </w:tcPr>
          <w:p>
            <w:pPr>
              <w:pStyle w:val="TableContents"/>
              <w:spacing w:before="0" w:after="283"/>
              <w:jc w:val="right"/>
              <w:rPr>
                <w:rFonts w:ascii="times" w:hAnsi="times"/>
                <w:sz w:val="20"/>
              </w:rPr>
            </w:pPr>
            <w:r>
              <w:rPr>
                <w:rFonts w:ascii="times" w:hAnsi="times"/>
                <w:sz w:val="20"/>
              </w:rPr>
              <w:t>161,674</w:t>
            </w:r>
          </w:p>
        </w:tc>
        <w:tc>
          <w:tcPr>
            <w:tcW w:w="177" w:type="dxa"/>
            <w:tcBorders/>
            <w:shd w:fill="FFFFFF" w:val="clear"/>
            <w:vAlign w:val="bottom"/>
          </w:tcPr>
          <w:p>
            <w:pPr>
              <w:pStyle w:val="TableContents"/>
              <w:spacing w:before="0" w:after="283"/>
              <w:rPr/>
            </w:pPr>
            <w:r>
              <w:rPr/>
              <w:t> </w:t>
            </w:r>
          </w:p>
        </w:tc>
      </w:tr>
      <w:tr>
        <w:trPr/>
        <w:tc>
          <w:tcPr>
            <w:tcW w:w="329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(thousands of C$)</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85,752</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80,678</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174,353</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162,408</w:t>
            </w:r>
          </w:p>
        </w:tc>
        <w:tc>
          <w:tcPr>
            <w:tcW w:w="177" w:type="dxa"/>
            <w:tcBorders/>
            <w:shd w:fill="CCEEFF" w:val="clear"/>
            <w:vAlign w:val="bottom"/>
          </w:tcPr>
          <w:p>
            <w:pPr>
              <w:pStyle w:val="TableContents"/>
              <w:spacing w:before="0" w:after="283"/>
              <w:rPr/>
            </w:pPr>
            <w:r>
              <w:rPr/>
              <w:t> </w:t>
            </w:r>
          </w:p>
        </w:tc>
      </w:tr>
      <w:tr>
        <w:trPr/>
        <w:tc>
          <w:tcPr>
            <w:tcW w:w="329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70"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0" w:type="dxa"/>
            <w:tcBorders/>
            <w:shd w:fill="FFFFFF" w:val="clear"/>
            <w:vAlign w:val="bottom"/>
          </w:tcPr>
          <w:p>
            <w:pPr>
              <w:pStyle w:val="TableContents"/>
              <w:spacing w:before="0" w:after="283"/>
              <w:jc w:val="right"/>
              <w:rPr>
                <w:rFonts w:ascii="times" w:hAnsi="times"/>
                <w:sz w:val="20"/>
              </w:rPr>
            </w:pPr>
            <w:r>
              <w:rPr>
                <w:rFonts w:ascii="times" w:hAnsi="times"/>
                <w:sz w:val="20"/>
              </w:rPr>
              <w:t>1,029</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40" w:type="dxa"/>
            <w:tcBorders/>
            <w:shd w:fill="FFFFFF" w:val="clear"/>
            <w:vAlign w:val="bottom"/>
          </w:tcPr>
          <w:p>
            <w:pPr>
              <w:pStyle w:val="TableContents"/>
              <w:spacing w:before="0" w:after="283"/>
              <w:jc w:val="right"/>
              <w:rPr>
                <w:rFonts w:ascii="times" w:hAnsi="times"/>
                <w:sz w:val="20"/>
              </w:rPr>
            </w:pPr>
            <w:r>
              <w:rPr>
                <w:rFonts w:ascii="times" w:hAnsi="times"/>
                <w:sz w:val="20"/>
              </w:rPr>
              <w:t>901</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6" w:type="dxa"/>
            <w:tcBorders/>
            <w:shd w:fill="FFFFFF" w:val="clear"/>
            <w:vAlign w:val="bottom"/>
          </w:tcPr>
          <w:p>
            <w:pPr>
              <w:pStyle w:val="TableContents"/>
              <w:spacing w:before="0" w:after="283"/>
              <w:jc w:val="right"/>
              <w:rPr>
                <w:rFonts w:ascii="times" w:hAnsi="times"/>
                <w:sz w:val="20"/>
              </w:rPr>
            </w:pPr>
            <w:r>
              <w:rPr>
                <w:rFonts w:ascii="times" w:hAnsi="times"/>
                <w:sz w:val="20"/>
              </w:rPr>
              <w:t>2,048</w:t>
            </w:r>
          </w:p>
        </w:tc>
        <w:tc>
          <w:tcPr>
            <w:tcW w:w="172"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76" w:type="dxa"/>
            <w:tcBorders/>
            <w:shd w:fill="FFFFFF" w:val="clear"/>
            <w:vAlign w:val="bottom"/>
          </w:tcPr>
          <w:p>
            <w:pPr>
              <w:pStyle w:val="TableContents"/>
              <w:spacing w:before="0" w:after="283"/>
              <w:jc w:val="right"/>
              <w:rPr>
                <w:rFonts w:ascii="times" w:hAnsi="times"/>
                <w:sz w:val="20"/>
              </w:rPr>
            </w:pPr>
            <w:r>
              <w:rPr>
                <w:rFonts w:ascii="times" w:hAnsi="times"/>
                <w:sz w:val="20"/>
              </w:rPr>
              <w:t>1,788</w:t>
            </w:r>
          </w:p>
        </w:tc>
        <w:tc>
          <w:tcPr>
            <w:tcW w:w="177" w:type="dxa"/>
            <w:tcBorders/>
            <w:shd w:fill="FFFF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29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(vii)</w:t>
            </w:r>
          </w:p>
        </w:tc>
        <w:tc>
          <w:tcPr>
            <w:tcW w:w="17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83</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40" w:type="dxa"/>
            <w:tcBorders/>
            <w:shd w:fill="CCEEFF" w:val="clear"/>
            <w:vAlign w:val="bottom"/>
          </w:tcPr>
          <w:p>
            <w:pPr>
              <w:pStyle w:val="TableContents"/>
              <w:spacing w:before="0" w:after="283"/>
              <w:jc w:val="right"/>
              <w:rPr>
                <w:rFonts w:ascii="times" w:hAnsi="times"/>
                <w:sz w:val="20"/>
              </w:rPr>
            </w:pPr>
            <w:r>
              <w:rPr>
                <w:rFonts w:ascii="times" w:hAnsi="times"/>
                <w:sz w:val="20"/>
              </w:rPr>
              <w:t>90</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85</w:t>
            </w:r>
          </w:p>
        </w:tc>
        <w:tc>
          <w:tcPr>
            <w:tcW w:w="17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276" w:type="dxa"/>
            <w:tcBorders/>
            <w:shd w:fill="CCEEFF" w:val="clear"/>
            <w:vAlign w:val="bottom"/>
          </w:tcPr>
          <w:p>
            <w:pPr>
              <w:pStyle w:val="TableContents"/>
              <w:spacing w:before="0" w:after="283"/>
              <w:jc w:val="right"/>
              <w:rPr>
                <w:rFonts w:ascii="times" w:hAnsi="times"/>
                <w:sz w:val="20"/>
              </w:rPr>
            </w:pPr>
            <w:r>
              <w:rPr>
                <w:rFonts w:ascii="times" w:hAnsi="times"/>
                <w:sz w:val="20"/>
              </w:rPr>
              <w:t>91</w:t>
            </w:r>
          </w:p>
        </w:tc>
        <w:tc>
          <w:tcPr>
            <w:tcW w:w="177"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9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9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Excludes the Kittila mine's results for the second quarter of 2013. Due to scheduled maintenance, the Kittila mine only operated for 14 days during the second quarter of 2013. </w:t>
      </w:r>
    </w:p>
    <w:p>
      <w:pPr>
        <w:pStyle w:val="ListHeading"/>
        <w:spacing w:before="0" w:after="0"/>
        <w:rPr>
          <w:rFonts w:ascii="times" w:hAnsi="times"/>
          <w:sz w:val="14"/>
        </w:rPr>
      </w:pPr>
      <w:r>
        <w:rPr>
          <w:rFonts w:ascii="times" w:hAnsi="times"/>
          <w:sz w:val="14"/>
        </w:rPr>
        <w:t>(ii)</w:t>
      </w:r>
    </w:p>
    <w:p>
      <w:pPr>
        <w:pStyle w:val="ListContents"/>
        <w:spacing w:before="0" w:after="283"/>
        <w:rPr>
          <w:rFonts w:ascii="times" w:hAnsi="times"/>
          <w:sz w:val="14"/>
        </w:rPr>
      </w:pPr>
      <w:r>
        <w:rPr>
          <w:rFonts w:ascii="times" w:hAnsi="times"/>
          <w:sz w:val="14"/>
        </w:rPr>
        <w:t xml:space="preserve">Excludes results for the first quarter of 2013 due to the temporary suspension of active leaching at the Creston Mascota deposit at Pinos Altos between October 1, 2012 and March 13, 2013. </w:t>
      </w:r>
    </w:p>
    <w:p>
      <w:pPr>
        <w:pStyle w:val="ListHeading"/>
        <w:spacing w:before="0" w:after="0"/>
        <w:rPr>
          <w:rFonts w:ascii="times" w:hAnsi="times"/>
          <w:sz w:val="14"/>
        </w:rPr>
      </w:pPr>
      <w:r>
        <w:rPr>
          <w:rFonts w:ascii="times" w:hAnsi="times"/>
          <w:sz w:val="14"/>
        </w:rPr>
        <w:t>(iii)</w:t>
      </w:r>
    </w:p>
    <w:p>
      <w:pPr>
        <w:pStyle w:val="ListContents"/>
        <w:spacing w:before="0" w:after="283"/>
        <w:rPr>
          <w:rFonts w:ascii="times" w:hAnsi="times"/>
          <w:sz w:val="14"/>
        </w:rPr>
      </w:pPr>
      <w:r>
        <w:rPr>
          <w:rFonts w:ascii="times" w:hAnsi="times"/>
          <w:sz w:val="14"/>
        </w:rPr>
        <w:t xml:space="preserve">Under the Company's revenue recognition policy, revenue is recognized on concentrates when legal title passes. As total cash costs per ounce of gold produced are calculated on a production basis, this inventory adjustment reflects the sales margin on the portion of concentrate production not yet recognized as revenue. </w:t>
      </w:r>
    </w:p>
    <w:p>
      <w:pPr>
        <w:pStyle w:val="ListHeading"/>
        <w:spacing w:before="0" w:after="0"/>
        <w:rPr>
          <w:rFonts w:ascii="times" w:hAnsi="times"/>
          <w:sz w:val="14"/>
        </w:rPr>
      </w:pPr>
      <w:r>
        <w:rPr>
          <w:rFonts w:ascii="times" w:hAnsi="times"/>
          <w:sz w:val="14"/>
        </w:rPr>
        <w:t>(iv)</w:t>
      </w:r>
    </w:p>
    <w:p>
      <w:pPr>
        <w:pStyle w:val="ListContents"/>
        <w:spacing w:before="0" w:after="283"/>
        <w:rPr>
          <w:rFonts w:ascii="times" w:hAnsi="times"/>
          <w:sz w:val="14"/>
        </w:rPr>
      </w:pPr>
      <w:r>
        <w:rPr>
          <w:rFonts w:ascii="times" w:hAnsi="times"/>
          <w:sz w:val="14"/>
        </w:rPr>
        <w:t xml:space="preserve">Total cash costs per ounce of gold produced is not a recognized measure under US GAAP and this data may not be comparable to data presented by other gold producers. This measure is calculated by adjusting production costs as recorded in the interim unaudited consolidated statements of income (loss) and comprehensive income (loss) for byproduct revenues, unsold concentrate inventory production costs, non-cash reclamation provisions, deferred stripping costs and other adjustments, and then dividing by the number of ounces of gold produced. The Company believes that this generally accepted industry measure is a realistic indication of operating performance and is a useful comparison point between periods. Total cash costs per ounce of gold produced is intended to provide investors with information about the cash generating capabilities of the Company's mining operations. Management also uses this measure to monitor the performance of the Company's mining operations. As market prices for gold are quoted on a per ounce basis, using this per ounce measure allows management to assess a mine's cash generating capabilities at various gold prices. Management is aware that this per ounce measure of performance can be impacted by fluctuations in byproduct metal prices and exchange rates. Management compensates for these inherent limitations by using this measure in conjunction with minesite costs per tonne (discussed below) as well as other data prepared in accordance with US GAAP. Management also performs sensitivity analyses in order to quantify the effects of fluctuating metal prices and exchange rates. </w:t>
      </w:r>
    </w:p>
    <w:p>
      <w:pPr>
        <w:pStyle w:val="ListHeading"/>
        <w:spacing w:before="0" w:after="0"/>
        <w:rPr>
          <w:rFonts w:ascii="times" w:hAnsi="times"/>
          <w:sz w:val="14"/>
        </w:rPr>
      </w:pPr>
      <w:r>
        <w:rPr>
          <w:rFonts w:ascii="times" w:hAnsi="times"/>
          <w:sz w:val="14"/>
        </w:rPr>
        <w:t>(v)</w:t>
      </w:r>
    </w:p>
    <w:p>
      <w:pPr>
        <w:pStyle w:val="ListContents"/>
        <w:spacing w:before="0" w:after="283"/>
        <w:rPr>
          <w:rFonts w:ascii="times" w:hAnsi="times"/>
          <w:sz w:val="14"/>
        </w:rPr>
      </w:pPr>
      <w:r>
        <w:rPr>
          <w:rFonts w:ascii="times" w:hAnsi="times"/>
          <w:sz w:val="14"/>
        </w:rPr>
        <w:t xml:space="preserve">The Company reports total cash costs per ounce of gold produced and minesite costs per tonne using a common industry practice of deferring certain stripping costs that can be attributed to future production. The purpose of adjusting for these stripping costs is to enhance the comparability of total cash costs per ounce of gold produced and minesite costs per tonne to the Company's peers within the mining industry. </w:t>
      </w:r>
    </w:p>
    <w:p>
      <w:pPr>
        <w:pStyle w:val="ListHeading"/>
        <w:spacing w:before="0" w:after="0"/>
        <w:rPr>
          <w:rFonts w:ascii="times" w:hAnsi="times"/>
          <w:sz w:val="14"/>
        </w:rPr>
      </w:pPr>
      <w:r>
        <w:rPr>
          <w:rFonts w:ascii="times" w:hAnsi="times"/>
          <w:sz w:val="14"/>
        </w:rPr>
        <w:t>(vi)</w:t>
      </w:r>
    </w:p>
    <w:p>
      <w:pPr>
        <w:pStyle w:val="ListContents"/>
        <w:spacing w:before="0" w:after="283"/>
        <w:rPr>
          <w:rFonts w:ascii="times" w:hAnsi="times"/>
          <w:sz w:val="14"/>
        </w:rPr>
      </w:pPr>
      <w:r>
        <w:rPr>
          <w:rFonts w:ascii="times" w:hAnsi="times"/>
          <w:sz w:val="14"/>
        </w:rPr>
        <w:t xml:space="preserve">This inventory adjustment reflects production costs associated with unsold concentrates. </w:t>
      </w:r>
    </w:p>
    <w:p>
      <w:pPr>
        <w:pStyle w:val="ListHeading"/>
        <w:spacing w:before="0" w:after="0"/>
        <w:rPr>
          <w:rFonts w:ascii="times" w:hAnsi="times"/>
          <w:sz w:val="14"/>
        </w:rPr>
      </w:pPr>
      <w:r>
        <w:rPr>
          <w:rFonts w:ascii="times" w:hAnsi="times"/>
          <w:sz w:val="14"/>
        </w:rPr>
        <w:t>(vii)</w:t>
      </w:r>
    </w:p>
    <w:p>
      <w:pPr>
        <w:pStyle w:val="ListContents"/>
        <w:spacing w:before="0" w:after="283"/>
        <w:rPr>
          <w:rFonts w:ascii="times" w:hAnsi="times"/>
          <w:sz w:val="14"/>
        </w:rPr>
      </w:pPr>
      <w:r>
        <w:rPr>
          <w:rFonts w:ascii="times" w:hAnsi="times"/>
          <w:sz w:val="14"/>
        </w:rPr>
        <w:t xml:space="preserve">Minesite costs per tonne is not a recognized measure under US GAAP and this data may not be comparable to data presented by other gold producers. This measure is calculated by adjusting production costs as shown in the interim unaudited consolidated statements of income (loss) and comprehensive income (loss) for unsold concentrate inventory production costs, non-cash reclamation provisions, deferred stripping costs and other adjustments, and then dividing by tonnes of ore milled.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US GAAP. </w:t>
      </w:r>
    </w:p>
    <w:p>
      <w:pPr>
        <w:pStyle w:val="TextBody"/>
        <w:jc w:val="center"/>
        <w:rPr>
          <w:rFonts w:ascii="times" w:hAnsi="times"/>
          <w:sz w:val="20"/>
        </w:rPr>
      </w:pPr>
      <w:r>
        <w:rPr>
          <w:rFonts w:ascii="times" w:hAnsi="times"/>
          <w:sz w:val="20"/>
        </w:rPr>
        <w:t>11</w:t>
      </w:r>
    </w:p>
    <w:p>
      <w:pPr>
        <w:pStyle w:val="HorizontalLine"/>
        <w:pBdr>
          <w:bottom w:val="single" w:sz="20" w:space="0" w:color="808080"/>
        </w:pBdr>
        <w:rPr/>
      </w:pPr>
      <w:r>
        <w:rPr/>
      </w:r>
      <w:r>
        <w:br w:type="page"/>
      </w:r>
    </w:p>
    <w:p>
      <w:pPr>
        <w:pStyle w:val="TextBody"/>
        <w:rPr>
          <w:rFonts w:ascii="times" w:hAnsi="times"/>
          <w:b/>
          <w:sz w:val="20"/>
        </w:rPr>
      </w:pPr>
      <w:bookmarkStart w:id="24" w:name="page_de72201_1_12"/>
      <w:bookmarkEnd w:id="24"/>
      <w:r>
        <w:rPr>
          <w:rFonts w:ascii="times" w:hAnsi="times"/>
          <w:b/>
          <w:sz w:val="20"/>
        </w:rPr>
        <w:t xml:space="preserve">Liquidity and Capital Resources </w:t>
      </w:r>
    </w:p>
    <w:p>
      <w:pPr>
        <w:pStyle w:val="TextBody"/>
        <w:rPr/>
      </w:pPr>
      <w:r>
        <w:rPr/>
        <w:t>        </w:t>
      </w:r>
      <w:r>
        <w:rPr>
          <w:rFonts w:ascii="times" w:hAnsi="times"/>
          <w:sz w:val="20"/>
        </w:rPr>
        <w:t xml:space="preserve">At June 30, 2013, the Company's cash and cash equivalents, short-term investments and restricted cash totalled $136.4 million compared with $332.0 million at December 31, 2012. The Company's policy is to invest excess cash in highly liquid investments of the highest credit quality to eliminate risks associated with these investments. Such investments with remaining maturities at time of purchase greater than three months are classified as short-term investments. Decisions regarding the length of maturities are based on cash flow requirements, rates of return and various other factors. </w:t>
      </w:r>
    </w:p>
    <w:p>
      <w:pPr>
        <w:pStyle w:val="TextBody"/>
        <w:rPr/>
      </w:pPr>
      <w:r>
        <w:rPr/>
        <w:t>        </w:t>
      </w:r>
      <w:r>
        <w:rPr>
          <w:rFonts w:ascii="times" w:hAnsi="times"/>
          <w:sz w:val="20"/>
        </w:rPr>
        <w:t xml:space="preserve">Working capital (current assets less current liabilities) decreased to $481.6 million at June 30, 2013 from $626.6 million at December 31, 2012. </w:t>
      </w:r>
    </w:p>
    <w:p>
      <w:pPr>
        <w:pStyle w:val="TextBody"/>
        <w:rPr>
          <w:rFonts w:ascii="times" w:hAnsi="times"/>
          <w:b/>
          <w:i/>
          <w:sz w:val="20"/>
        </w:rPr>
      </w:pPr>
      <w:r>
        <w:rPr>
          <w:rFonts w:ascii="times" w:hAnsi="times"/>
          <w:b/>
          <w:i/>
          <w:sz w:val="20"/>
        </w:rPr>
        <w:t xml:space="preserve">Operating Activities </w:t>
      </w:r>
    </w:p>
    <w:p>
      <w:pPr>
        <w:pStyle w:val="TextBody"/>
        <w:rPr/>
      </w:pPr>
      <w:r>
        <w:rPr/>
        <w:t>        </w:t>
      </w:r>
      <w:r>
        <w:rPr>
          <w:rFonts w:ascii="times" w:hAnsi="times"/>
          <w:sz w:val="20"/>
        </w:rPr>
        <w:t xml:space="preserve">Cash provided by operating activities decreased by $118.8 million to $75.3 million in the second quarter of 2013 compared with $194.1 million in the second quarter of 2012 due primarily to a 16.6% decrease in the average realized price of gold and a 15.5% decrease in gold production between periods. The decrease in cash provided by operating activities was partially offset by a $23.0 million decrease in exploration and corporate development expenses between the second quarter of 2012 and the second quarter of 2013. </w:t>
      </w:r>
    </w:p>
    <w:p>
      <w:pPr>
        <w:pStyle w:val="TextBody"/>
        <w:rPr/>
      </w:pPr>
      <w:r>
        <w:rPr/>
        <w:t>        </w:t>
      </w:r>
      <w:r>
        <w:rPr>
          <w:rFonts w:ascii="times" w:hAnsi="times"/>
          <w:sz w:val="20"/>
        </w:rPr>
        <w:t xml:space="preserve">Cash provided by operating activities in the first six months of 2013 decreased to $221.4 million compared with $390.6 million in the first six months of 2012 due primarily to an 11.4% decrease in gold production and a 10.2% decrease in the average realized price of gold between periods. The decrease in cash provided by operating activities was partially offset by a $37.5 million decrease in exploration and corporate development expenses between the second quarter of 2012 and the second quarter of 2013. </w:t>
      </w:r>
    </w:p>
    <w:p>
      <w:pPr>
        <w:pStyle w:val="TextBody"/>
        <w:rPr>
          <w:rFonts w:ascii="times" w:hAnsi="times"/>
          <w:b/>
          <w:i/>
          <w:sz w:val="20"/>
        </w:rPr>
      </w:pPr>
      <w:r>
        <w:rPr>
          <w:rFonts w:ascii="times" w:hAnsi="times"/>
          <w:b/>
          <w:i/>
          <w:sz w:val="20"/>
        </w:rPr>
        <w:t xml:space="preserve">Investing Activities </w:t>
      </w:r>
    </w:p>
    <w:p>
      <w:pPr>
        <w:pStyle w:val="TextBody"/>
        <w:rPr/>
      </w:pPr>
      <w:r>
        <w:rPr/>
        <w:t>        </w:t>
      </w:r>
      <w:r>
        <w:rPr>
          <w:rFonts w:ascii="times" w:hAnsi="times"/>
          <w:sz w:val="20"/>
        </w:rPr>
        <w:t xml:space="preserve">Cash used in investing activities increased to $218.3 million in the second quarter of 2013 compared with $68.6 million in the second quarter of 2012 due primarily to a $67.4 million increase in capital expenditures between periods. Significant capital expenditures relating to the La India project and the Goldex mine M and E Zones in the second quarter of 2013 had not yet commenced in the second quarter of 2012. The Company also invested $39.6 million in available-for-sale securities and $10.1 million in the acquisition of Urastar Gold Corp. during the second quarter of 2013. </w:t>
      </w:r>
    </w:p>
    <w:p>
      <w:pPr>
        <w:pStyle w:val="TextBody"/>
        <w:rPr/>
      </w:pPr>
      <w:r>
        <w:rPr/>
        <w:t>        </w:t>
      </w:r>
      <w:r>
        <w:rPr>
          <w:rFonts w:ascii="times" w:hAnsi="times"/>
          <w:sz w:val="20"/>
        </w:rPr>
        <w:t xml:space="preserve">In the second quarter of 2013, the Company invested cash of $171.8 million in projects and sustaining capital expenditures. Significant capital expenditures in the second quarter of 2013 included $38.6 million at the La India project, $18.7 million at the Goldex mine M and E Zones and $17.4 million at the Meliadine project. </w:t>
      </w:r>
    </w:p>
    <w:p>
      <w:pPr>
        <w:pStyle w:val="TextBody"/>
        <w:rPr/>
      </w:pPr>
      <w:r>
        <w:rPr/>
        <w:t>        </w:t>
      </w:r>
      <w:r>
        <w:rPr>
          <w:rFonts w:ascii="times" w:hAnsi="times"/>
          <w:sz w:val="20"/>
        </w:rPr>
        <w:t xml:space="preserve">Cash used in investing activities increased to $359.8 million in the first six months of 2013 compared with $157.5 million in the first six months of 2012 due primarily to a $122.0 million increase in capital expenditures between periods. Significant capital expenditures relating to the La India project and the Goldex mine M and E Zones in the first six months of 2013 had not yet commenced in the first six months of 2012. The Company also invested $52.3 million in available-for-sale securities and $10.1 million in the acquisition of Urastar Gold Corp. during the first six months of 2013. </w:t>
      </w:r>
    </w:p>
    <w:p>
      <w:pPr>
        <w:pStyle w:val="TextBody"/>
        <w:rPr/>
      </w:pPr>
      <w:r>
        <w:rPr/>
        <w:t>        </w:t>
      </w:r>
      <w:r>
        <w:rPr>
          <w:rFonts w:ascii="times" w:hAnsi="times"/>
          <w:sz w:val="20"/>
        </w:rPr>
        <w:t xml:space="preserve">In the first six months of 2013, the Company invested cash of $302.4 million in projects and sustaining capital expenditures. Significant capital expenditures in the first six months of 2013 included $75.7 million at the La India project, $35.9 million at the Goldex mine M and E Zones and $29.3 million at the Meliadine project. </w:t>
      </w:r>
    </w:p>
    <w:p>
      <w:pPr>
        <w:pStyle w:val="TextBody"/>
        <w:rPr/>
      </w:pPr>
      <w:r>
        <w:rPr/>
        <w:t>        </w:t>
      </w:r>
      <w:r>
        <w:rPr>
          <w:rFonts w:ascii="times" w:hAnsi="times"/>
          <w:sz w:val="20"/>
        </w:rPr>
        <w:t xml:space="preserve">On June 28, 2013, the Company acquired 3,100,000 common shares of Amex Exploration Inc. ("Amex") at a non-brokered private placement price of C$0.13 per common share for total consideration of C$0.4 million. After closing the transaction, the Company holds 5.76% of the issued and outstanding common shares of Amex. </w:t>
      </w:r>
    </w:p>
    <w:p>
      <w:pPr>
        <w:pStyle w:val="TextBody"/>
        <w:rPr/>
      </w:pPr>
      <w:r>
        <w:rPr/>
        <w:t>        </w:t>
      </w:r>
      <w:r>
        <w:rPr>
          <w:rFonts w:ascii="times" w:hAnsi="times"/>
          <w:sz w:val="20"/>
        </w:rPr>
        <w:t xml:space="preserve">On May 23, 2013, the Company announced that it had entered into an agreement to purchase 7,500,000 units of Probe Mines Limited ("Probe") at a price of C$1.50 per unit for total consideration of C$11.3 million. Each unit is comprised of one common share of Probe and three-quarters of one common share purchase warrant, representing 9.94% of the issued and outstanding common shares of Probe. Each whole </w:t>
      </w:r>
    </w:p>
    <w:p>
      <w:pPr>
        <w:pStyle w:val="TextBody"/>
        <w:jc w:val="center"/>
        <w:rPr>
          <w:rFonts w:ascii="times" w:hAnsi="times"/>
          <w:sz w:val="20"/>
        </w:rPr>
      </w:pPr>
      <w:r>
        <w:rPr>
          <w:rFonts w:ascii="times" w:hAnsi="times"/>
          <w:sz w:val="20"/>
        </w:rPr>
        <w:t>12</w:t>
      </w:r>
    </w:p>
    <w:p>
      <w:pPr>
        <w:pStyle w:val="HorizontalLine"/>
        <w:pBdr>
          <w:bottom w:val="single" w:sz="20" w:space="0" w:color="808080"/>
        </w:pBdr>
        <w:rPr/>
      </w:pPr>
      <w:r>
        <w:rPr/>
      </w:r>
      <w:r>
        <w:br w:type="page"/>
      </w:r>
    </w:p>
    <w:p>
      <w:pPr>
        <w:pStyle w:val="TextBody"/>
        <w:rPr>
          <w:rFonts w:ascii="times" w:hAnsi="times"/>
          <w:sz w:val="20"/>
        </w:rPr>
      </w:pPr>
      <w:bookmarkStart w:id="25" w:name="page_de72201_1_13"/>
      <w:bookmarkEnd w:id="25"/>
      <w:r>
        <w:rPr>
          <w:rFonts w:ascii="times" w:hAnsi="times"/>
          <w:sz w:val="20"/>
        </w:rPr>
        <w:t xml:space="preserve">common share purchase warrant entitles the holder to acquire one common share of Probe at a price of C$2.10 for a period of two years from the May 28, 2013 closing date. </w:t>
      </w:r>
    </w:p>
    <w:p>
      <w:pPr>
        <w:pStyle w:val="TextBody"/>
        <w:rPr/>
      </w:pPr>
      <w:r>
        <w:rPr/>
        <w:t>        </w:t>
      </w:r>
      <w:r>
        <w:rPr>
          <w:rFonts w:ascii="times" w:hAnsi="times"/>
          <w:sz w:val="20"/>
        </w:rPr>
        <w:t xml:space="preserve">On May 16, 2013, the Company completed the acquisition of all of the issued and outstanding common shares of Urastar Gold Corporation ("Urastar") pursuant to a court-approved plan of arrangement under the Business Corporations Act (British Columbia) for cash consideration of $10.1 million. The Urastar acquisition was accounted for as a business combination and goodwill of $6.1 million was recognized on the Company's consolidated balance sheets. </w:t>
      </w:r>
    </w:p>
    <w:p>
      <w:pPr>
        <w:pStyle w:val="TextBody"/>
        <w:rPr/>
      </w:pPr>
      <w:r>
        <w:rPr/>
        <w:t>        </w:t>
      </w:r>
      <w:r>
        <w:rPr>
          <w:rFonts w:ascii="times" w:hAnsi="times"/>
          <w:sz w:val="20"/>
        </w:rPr>
        <w:t xml:space="preserve">On April 23, 2013, the Company announced that it had entered into a subscription agreement for 6,250,000 units of Kootenay Silver Inc. ("Kootenay") at a non-brokered private placement price of C$0.76 per unit for total consideration of C$4.8 million. Each unit is comprised of one common share of Kootenay and one-half of one common share purchase warrant, representing 9.96% of the issued and outstanding common shares of Kootenay. Each whole common share purchase warrant entitles the holder to acquire one common share of Kootenay at a price of C$1.08 for a period of two years from the April 26, 2013 closing date. </w:t>
      </w:r>
    </w:p>
    <w:p>
      <w:pPr>
        <w:pStyle w:val="TextBody"/>
        <w:rPr/>
      </w:pPr>
      <w:r>
        <w:rPr/>
        <w:t>        </w:t>
      </w:r>
      <w:r>
        <w:rPr>
          <w:rFonts w:ascii="times" w:hAnsi="times"/>
          <w:sz w:val="20"/>
        </w:rPr>
        <w:t xml:space="preserve">On April 9, 2013, the Company announced that it had entered into a subscription agreement for 26,966,292 units of Sulliden Gold Corporation Ltd. ("Sulliden") at a non-brokered private placement price of C$0.89 per unit for total consideration of C$24.0 million. Each unit is comprised of one common share of Sulliden and 0.7 of one common share purchase warrant, representing 9.96% of the issued and outstanding common shares of Sulliden. Each whole common share purchase warrant entitles the holder to acquire one common share of Sulliden at a price of C$1.31 for a period of two years from the April 12, 2013 closing date. </w:t>
      </w:r>
    </w:p>
    <w:p>
      <w:pPr>
        <w:pStyle w:val="TextBody"/>
        <w:rPr/>
      </w:pPr>
      <w:r>
        <w:rPr/>
        <w:t>        </w:t>
      </w:r>
      <w:r>
        <w:rPr>
          <w:rFonts w:ascii="times" w:hAnsi="times"/>
          <w:sz w:val="20"/>
        </w:rPr>
        <w:t xml:space="preserve">On March 22, 2013, the Company acquired 9,600,000 common shares and 4,800,000 common share purchase warrants of ATAC Resources Ltd. ("ATC") for total cash consideration of approximately $12.7 million. After closing the transaction, the Company holds 8.48% of the issued and outstanding common shares of ATC. Each common share purchase warrant entitles the holder to acquire one common share of ATC at a price of C$2.10 for a period of 18 months from the March 22, 2013 closing date. </w:t>
      </w:r>
    </w:p>
    <w:p>
      <w:pPr>
        <w:pStyle w:val="TextBody"/>
        <w:rPr/>
      </w:pPr>
      <w:r>
        <w:rPr/>
        <w:t>        </w:t>
      </w:r>
      <w:r>
        <w:rPr>
          <w:rFonts w:ascii="times" w:hAnsi="times"/>
          <w:sz w:val="20"/>
        </w:rPr>
        <w:t xml:space="preserve">On June 1, 2012, the Company disposed of 11,000,000 shares of Rubicon Minerals Corporation for total proceeds of $30.7 million, recording a $6.7 million loss on sale of available-for-sale securities. After closing the transaction, the Company's interest in Rubicon Minerals Corporation is 10,671,827 shares. </w:t>
      </w:r>
    </w:p>
    <w:p>
      <w:pPr>
        <w:pStyle w:val="TextBody"/>
        <w:rPr/>
      </w:pPr>
      <w:r>
        <w:rPr/>
        <w:t>        </w:t>
      </w:r>
      <w:r>
        <w:rPr>
          <w:rFonts w:ascii="times" w:hAnsi="times"/>
          <w:sz w:val="20"/>
        </w:rPr>
        <w:t xml:space="preserve">On January 23, 2012, the Company acquired the remaining outstanding shares of Grayd Resource Corporation it did not already own, pursuant to a previously announced compulsory acquisition carried out under the provisions of the Business Corporations Act (British Columbia). The January 23, 2012 purchase price of $11.8 million was comprised of $9.3 million in cash and 68,941 newly issued Agnico Eagle shares. </w:t>
      </w:r>
    </w:p>
    <w:p>
      <w:pPr>
        <w:pStyle w:val="TextBody"/>
        <w:rPr>
          <w:rFonts w:ascii="times" w:hAnsi="times"/>
          <w:b/>
          <w:i/>
          <w:sz w:val="20"/>
        </w:rPr>
      </w:pPr>
      <w:r>
        <w:rPr>
          <w:rFonts w:ascii="times" w:hAnsi="times"/>
          <w:b/>
          <w:i/>
          <w:sz w:val="20"/>
        </w:rPr>
        <w:t xml:space="preserve">Financing Activities </w:t>
      </w:r>
    </w:p>
    <w:p>
      <w:pPr>
        <w:pStyle w:val="TextBody"/>
        <w:rPr/>
      </w:pPr>
      <w:r>
        <w:rPr/>
        <w:t>        </w:t>
      </w:r>
      <w:r>
        <w:rPr>
          <w:rFonts w:ascii="times" w:hAnsi="times"/>
          <w:sz w:val="20"/>
        </w:rPr>
        <w:t xml:space="preserve">Cash provided by financing activities of $18.7 million in the second quarter of 2013 compared with cash used in financing activities of $29.3 million in the second quarter of 2012. The primary driver of the change between periods is a $50.0 million drawdown on the Credit Facility during the second quarter of 2013. </w:t>
      </w:r>
    </w:p>
    <w:p>
      <w:pPr>
        <w:pStyle w:val="TextBody"/>
        <w:rPr/>
      </w:pPr>
      <w:r>
        <w:rPr/>
        <w:t>        </w:t>
      </w:r>
      <w:r>
        <w:rPr>
          <w:rFonts w:ascii="times" w:hAnsi="times"/>
          <w:sz w:val="20"/>
        </w:rPr>
        <w:t xml:space="preserve">Cash used in financing activities was $50.8 million in the first six months of 2013 compared with $161.3 million in the first six months of 2012. The primary driver of the change between periods is net proceeds from long-term debt of $20.0 million during the first six months of 2013 compared with a net repayment of long-term debt of $90.0 million in the first six months of 2012. </w:t>
      </w:r>
    </w:p>
    <w:p>
      <w:pPr>
        <w:pStyle w:val="TextBody"/>
        <w:rPr/>
      </w:pPr>
      <w:r>
        <w:rPr/>
        <w:t>        </w:t>
      </w:r>
      <w:r>
        <w:rPr>
          <w:rFonts w:ascii="times" w:hAnsi="times"/>
          <w:sz w:val="20"/>
        </w:rPr>
        <w:t>On April 30, 2013, the Company declared a cash dividend payable on June 17, 2013, marking the 31</w:t>
      </w:r>
      <w:r>
        <w:rPr>
          <w:rFonts w:ascii="times" w:hAnsi="times"/>
          <w:position w:val="7"/>
          <w:sz w:val="16"/>
          <w:sz w:val="20"/>
        </w:rPr>
        <w:t>st</w:t>
      </w:r>
      <w:r>
        <w:rPr>
          <w:rFonts w:ascii="times" w:hAnsi="times"/>
          <w:sz w:val="20"/>
        </w:rPr>
        <w:t xml:space="preserve"> consecutive year that the Company has paid a cash dividend. In the second quarter of 2013, the Company paid dividends of $31.8 million compared with $30.3 million in the second quarter of 2012. In the first six months of 2013, the Company paid dividends of $61.6 million compared with $60.8 million in the first six months of 2012. Although the Company expects to continue paying dividends, future dividends will be at the discretion of the Board and will be subject to factors such as income, financial condition and capital requirements. </w:t>
      </w:r>
    </w:p>
    <w:p>
      <w:pPr>
        <w:pStyle w:val="TextBody"/>
        <w:rPr/>
      </w:pPr>
      <w:r>
        <w:rPr/>
        <w:t>        </w:t>
      </w:r>
      <w:r>
        <w:rPr>
          <w:rFonts w:ascii="times" w:hAnsi="times"/>
          <w:sz w:val="20"/>
        </w:rPr>
        <w:t xml:space="preserve">On July 24, 2012, the Company closed a private placement consisting of $200.0 million of guaranteed senior unsecured notes due in 2022 and 2024 (the "2012 Notes") with a weighted average maturity of 11.0 years and </w:t>
      </w:r>
    </w:p>
    <w:p>
      <w:pPr>
        <w:pStyle w:val="TextBody"/>
        <w:jc w:val="center"/>
        <w:rPr>
          <w:rFonts w:ascii="times" w:hAnsi="times"/>
          <w:sz w:val="20"/>
        </w:rPr>
      </w:pPr>
      <w:r>
        <w:rPr>
          <w:rFonts w:ascii="times" w:hAnsi="times"/>
          <w:sz w:val="20"/>
        </w:rPr>
        <w:t>13</w:t>
      </w:r>
    </w:p>
    <w:p>
      <w:pPr>
        <w:pStyle w:val="HorizontalLine"/>
        <w:pBdr>
          <w:bottom w:val="single" w:sz="20" w:space="0" w:color="808080"/>
        </w:pBdr>
        <w:rPr/>
      </w:pPr>
      <w:r>
        <w:rPr/>
      </w:r>
      <w:r>
        <w:br w:type="page"/>
      </w:r>
    </w:p>
    <w:p>
      <w:pPr>
        <w:pStyle w:val="TextBody"/>
        <w:rPr>
          <w:rFonts w:ascii="times" w:hAnsi="times"/>
          <w:sz w:val="20"/>
        </w:rPr>
      </w:pPr>
      <w:bookmarkStart w:id="26" w:name="page_de72201_1_14"/>
      <w:bookmarkEnd w:id="26"/>
      <w:r>
        <w:rPr>
          <w:rFonts w:ascii="times" w:hAnsi="times"/>
          <w:sz w:val="20"/>
        </w:rPr>
        <w:t xml:space="preserve">weighted average yield of 4.95%. Proceeds from the 2012 Notes were used to repay amounts outstanding under the Company's $1.2 billion unsecured revolving bank credit facility (the "Credit Facility"). </w:t>
      </w:r>
    </w:p>
    <w:p>
      <w:pPr>
        <w:pStyle w:val="TextBody"/>
        <w:rPr/>
      </w:pPr>
      <w:r>
        <w:rPr/>
        <w:t>        </w:t>
      </w:r>
      <w:r>
        <w:rPr>
          <w:rFonts w:ascii="times" w:hAnsi="times"/>
          <w:sz w:val="20"/>
        </w:rPr>
        <w:t xml:space="preserve">On July 20, 2012, the Company amended and restated its Credit Facility. The total amount available under the Credit Facility remains unchanged at $1.2 billion; however, the maturity date was extended from June 22, 2016 to June 22, 2017. Pricing terms were amended to reflect improved current market conditions. As at June 30, 2013, the Company's outstanding balance under the Credit Facility was $50.0 million. Credit Facility availability is reduced by outstanding letters of credit, amounting to $1.1 million at June 30, 2013. Therefore, $1,148.9 million was available for future drawdown under the Credit Facility at June 30, 2013. </w:t>
      </w:r>
    </w:p>
    <w:p>
      <w:pPr>
        <w:pStyle w:val="TextBody"/>
        <w:rPr/>
      </w:pPr>
      <w:r>
        <w:rPr/>
        <w:t>        </w:t>
      </w:r>
      <w:r>
        <w:rPr>
          <w:rFonts w:ascii="times" w:hAnsi="times"/>
          <w:sz w:val="20"/>
        </w:rPr>
        <w:t xml:space="preserve">The Company entered into a credit agreement on June 26, 2012 with a financial institution relating to a new C$150 million uncommitted letter of credit facility (the "Letter of Credit Facility"). The obligations of the Company under the Letter of Credit Facility are guaranteed by certain of its subsidiaries. The Letter of Credit Facility may be used to support the reclamation obligations or non-financial or performance obligations of the Company or its subsidiaries. As at June 30, 2013, $131.8 million had been drawn under the Letter of Credit Facility. </w:t>
      </w:r>
    </w:p>
    <w:p>
      <w:pPr>
        <w:pStyle w:val="TextBody"/>
        <w:rPr/>
      </w:pPr>
      <w:r>
        <w:rPr/>
        <w:t>        </w:t>
      </w:r>
      <w:r>
        <w:rPr>
          <w:rFonts w:ascii="times" w:hAnsi="times"/>
          <w:sz w:val="20"/>
        </w:rPr>
        <w:t xml:space="preserve">On April 7, 2010, the Company closed a private placement consisting of $600.0 million of guaranteed senior unsecured notes due in 2017, 2020 and 2022 (the "2010 Notes") with a weighted average maturity of 9.84 years and weighted average yield of 6.59%. Proceeds from the offering of the 2010 Notes were used to repay amounts under the Company's then outstanding credit facilities. </w:t>
      </w:r>
    </w:p>
    <w:p>
      <w:pPr>
        <w:pStyle w:val="TextBody"/>
        <w:rPr/>
      </w:pPr>
      <w:r>
        <w:rPr/>
        <w:t>        </w:t>
      </w:r>
      <w:r>
        <w:rPr>
          <w:rFonts w:ascii="times" w:hAnsi="times"/>
          <w:sz w:val="20"/>
        </w:rPr>
        <w:t xml:space="preserve">In June 2009, the Company entered into a C$95 million financial security guarantee issuance agreement with Export Development Canada (the "EDC Facility"). Under the agreement, which matures in June 2014, Export Development Canada agreed to provide guarantees in respect of letters of credit issued on behalf of the Company in favour of certain beneficiaries in respect of obligations relating to the Meadowbank mine. As at June 30, 2013, outstanding letters of credit drawn under the EDC Facility totalled nil. </w:t>
      </w:r>
    </w:p>
    <w:p>
      <w:pPr>
        <w:pStyle w:val="TextBody"/>
        <w:rPr/>
      </w:pPr>
      <w:r>
        <w:rPr/>
        <w:t>        </w:t>
      </w:r>
      <w:r>
        <w:rPr>
          <w:rFonts w:ascii="times" w:hAnsi="times"/>
          <w:sz w:val="20"/>
        </w:rPr>
        <w:t xml:space="preserve">The Company was in compliance with all covenants contained within the Credit Facility, 2012 Notes and 2010 Notes as at June 30, 2013. </w:t>
      </w:r>
    </w:p>
    <w:p>
      <w:pPr>
        <w:pStyle w:val="TextBody"/>
        <w:rPr/>
      </w:pPr>
      <w:r>
        <w:rPr/>
        <w:t>        </w:t>
      </w:r>
      <w:r>
        <w:rPr>
          <w:rFonts w:ascii="times" w:hAnsi="times"/>
          <w:sz w:val="20"/>
        </w:rPr>
        <w:t xml:space="preserve">The Company issued common shares for gross proceeds of $3.9 million in the second quarter of 2013 due primarily to issuances under the Company's employee share purchase plan. In the second quarter of 2012, the Company issued common shares for gross proceeds of $4.1 million. </w:t>
      </w:r>
    </w:p>
    <w:p>
      <w:pPr>
        <w:pStyle w:val="TextBody"/>
        <w:rPr>
          <w:rFonts w:ascii="times" w:hAnsi="times"/>
          <w:b/>
          <w:sz w:val="20"/>
        </w:rPr>
      </w:pPr>
      <w:r>
        <w:rPr>
          <w:rFonts w:ascii="times" w:hAnsi="times"/>
          <w:b/>
          <w:sz w:val="20"/>
        </w:rPr>
        <w:t xml:space="preserve">Risk Profile </w:t>
      </w:r>
    </w:p>
    <w:p>
      <w:pPr>
        <w:pStyle w:val="TextBody"/>
        <w:rPr/>
      </w:pPr>
      <w:r>
        <w:rPr/>
        <w:t>        </w:t>
      </w:r>
      <w:r>
        <w:rPr>
          <w:rFonts w:ascii="times" w:hAnsi="times"/>
          <w:sz w:val="20"/>
        </w:rPr>
        <w:t xml:space="preserve">Volatility remains high in global financial markets and weakness in the global economy continues to have a serious impact on the profitability and liquidity of many businesses. Although there are signs of stabilization, the timing of a return to historical market conditions is uncertain. Virtually all industries, including gold mining, have been affected by weak economic conditions and volatile financial markets. Continuation of volatility in world markets could have a significant impact on our business. In particular, the global credit/liquidity crisis could continue to affect the cost and availability of financing and our overall liquidity. The volatility in gold, silver, zinc and copper prices directly affects our revenues, earnings and cash flow. Volatile energy prices, commodity and consumables prices and currency exchange rates impact our production costs. The volatility of global stock markets impacts the valuation of our equity investments. The current economic turmoil in Europe is compounding global volatility issues. </w:t>
      </w:r>
    </w:p>
    <w:p>
      <w:pPr>
        <w:pStyle w:val="TextBody"/>
        <w:rPr>
          <w:rFonts w:ascii="times" w:hAnsi="times"/>
          <w:b/>
          <w:sz w:val="20"/>
        </w:rPr>
      </w:pPr>
      <w:r>
        <w:rPr>
          <w:rFonts w:ascii="times" w:hAnsi="times"/>
          <w:b/>
          <w:sz w:val="20"/>
        </w:rPr>
        <w:t xml:space="preserve">Recently Adopted and Recently Issued Accounting Pronouncements and Developments </w:t>
      </w:r>
    </w:p>
    <w:p>
      <w:pPr>
        <w:pStyle w:val="TextBody"/>
        <w:rPr/>
      </w:pPr>
      <w:r>
        <w:rPr/>
        <w:t>        </w:t>
      </w:r>
      <w:r>
        <w:rPr>
          <w:rFonts w:ascii="times" w:hAnsi="times"/>
          <w:sz w:val="20"/>
        </w:rPr>
        <w:t xml:space="preserve">See the Company's interim unaudited consolidated financial statements for Recently Adopted and Recently Issued Accounting Pronouncements and Developments (if applicable). </w:t>
      </w:r>
    </w:p>
    <w:p>
      <w:pPr>
        <w:pStyle w:val="TextBody"/>
        <w:rPr>
          <w:rFonts w:ascii="times" w:hAnsi="times"/>
          <w:b/>
          <w:sz w:val="20"/>
        </w:rPr>
      </w:pPr>
      <w:r>
        <w:rPr>
          <w:rFonts w:ascii="times" w:hAnsi="times"/>
          <w:b/>
          <w:sz w:val="20"/>
        </w:rPr>
        <w:t xml:space="preserve">Disclosure Controls and Procedures and Internal Controls over Financial Reporting </w:t>
      </w:r>
    </w:p>
    <w:p>
      <w:pPr>
        <w:pStyle w:val="TextBody"/>
        <w:rPr/>
      </w:pPr>
      <w:r>
        <w:rPr/>
        <w:t>        </w:t>
      </w:r>
      <w:r>
        <w:rPr>
          <w:rFonts w:ascii="times" w:hAnsi="times"/>
          <w:sz w:val="20"/>
        </w:rPr>
        <w:t xml:space="preserve">Pursuant to regulations adopted by the US Securities and Exchange Commission ("SEC"), under the Sarbanes-Oxley Act of 2002 and those of the CSA, the Company's management evaluates the effectiveness of the design and operation of the Company's disclosure controls and procedures, and internal controls over </w:t>
      </w:r>
    </w:p>
    <w:p>
      <w:pPr>
        <w:pStyle w:val="TextBody"/>
        <w:jc w:val="center"/>
        <w:rPr>
          <w:rFonts w:ascii="times" w:hAnsi="times"/>
          <w:sz w:val="20"/>
        </w:rPr>
      </w:pPr>
      <w:r>
        <w:rPr>
          <w:rFonts w:ascii="times" w:hAnsi="times"/>
          <w:sz w:val="20"/>
        </w:rPr>
        <w:t>14</w:t>
      </w:r>
    </w:p>
    <w:p>
      <w:pPr>
        <w:pStyle w:val="HorizontalLine"/>
        <w:pBdr>
          <w:bottom w:val="single" w:sz="20" w:space="0" w:color="808080"/>
        </w:pBdr>
        <w:rPr/>
      </w:pPr>
      <w:r>
        <w:rPr/>
      </w:r>
      <w:r>
        <w:br w:type="page"/>
      </w:r>
    </w:p>
    <w:p>
      <w:pPr>
        <w:pStyle w:val="TextBody"/>
        <w:rPr>
          <w:rFonts w:ascii="times" w:hAnsi="times"/>
          <w:sz w:val="20"/>
        </w:rPr>
      </w:pPr>
      <w:bookmarkStart w:id="27" w:name="page_de72201_1_15"/>
      <w:bookmarkEnd w:id="27"/>
      <w:r>
        <w:rPr>
          <w:rFonts w:ascii="times" w:hAnsi="times"/>
          <w:sz w:val="20"/>
        </w:rPr>
        <w:t xml:space="preserve">financial reporting. This evaluation is done under the supervision of, and with the participation of, the President and Chief Executive Officer ("CEO"). </w:t>
      </w:r>
    </w:p>
    <w:p>
      <w:pPr>
        <w:pStyle w:val="TextBody"/>
        <w:rPr/>
      </w:pPr>
      <w:r>
        <w:rPr/>
        <w:t>        </w:t>
      </w:r>
      <w:r>
        <w:rPr>
          <w:rFonts w:ascii="times" w:hAnsi="times"/>
          <w:sz w:val="20"/>
        </w:rPr>
        <w:t xml:space="preserve">As of the end of the period covered by this quarterly MD&amp;A and accompanying interim unaudited consolidated financial statements, the Company's management evaluated the effectiveness of its disclosure controls. Based on that evaluation, the CEO has concluded that the Company's disclosure controls and procedures were effective to provide reasonable assurance that the information required to be disclosed by the Company in reports it files was recorded, processed, summarized and reported, within the appropriate time periods. </w:t>
      </w:r>
    </w:p>
    <w:p>
      <w:pPr>
        <w:pStyle w:val="TextBody"/>
        <w:rPr/>
      </w:pPr>
      <w:r>
        <w:rPr/>
        <w:t>        </w:t>
      </w:r>
      <w:r>
        <w:rPr>
          <w:rFonts w:ascii="times" w:hAnsi="times"/>
          <w:sz w:val="20"/>
        </w:rPr>
        <w:t xml:space="preserve">Management of the Company, with the participation of the CEO, is responsible for establishing and maintaining adequate internal controls over financial reporting. The Company's internal controls over financial reporting are designed to provide reasonable assurance regarding the reliability of financial reporting and preparation of interim unaudited consolidated financial statements for external purposes in accordance with generally accepted accounting principles. There have been no significant changes in the Company's internal control over financial reporting in the second quarter of 2013 that have materially affected, or are reasonably likely to materially affect, internal control over financial reporting. </w:t>
      </w:r>
    </w:p>
    <w:p>
      <w:pPr>
        <w:pStyle w:val="TextBody"/>
        <w:rPr/>
      </w:pPr>
      <w:r>
        <w:rPr/>
        <w:t>        </w:t>
      </w:r>
      <w:r>
        <w:rPr>
          <w:rFonts w:ascii="times" w:hAnsi="times"/>
          <w:sz w:val="20"/>
        </w:rPr>
        <w:t xml:space="preserve">The Company's management including the CEO believe that any disclosure controls and procedures and internal controls over financial reporting, no matter how well designed, can have inherent limitations. Therefore, even those systems determined to be effective can provide only reasonable assurance that the objectives of the control system are met. </w:t>
      </w:r>
    </w:p>
    <w:p>
      <w:pPr>
        <w:pStyle w:val="TextBody"/>
        <w:rPr>
          <w:rFonts w:ascii="times" w:hAnsi="times"/>
          <w:b/>
          <w:sz w:val="20"/>
        </w:rPr>
      </w:pPr>
      <w:r>
        <w:rPr>
          <w:rFonts w:ascii="times" w:hAnsi="times"/>
          <w:b/>
          <w:sz w:val="20"/>
        </w:rPr>
        <w:t xml:space="preserve">Non-GAAP Financial Performance Measures </w:t>
      </w:r>
    </w:p>
    <w:p>
      <w:pPr>
        <w:pStyle w:val="TextBody"/>
        <w:rPr/>
      </w:pPr>
      <w:r>
        <w:rPr/>
        <w:t>        </w:t>
      </w:r>
      <w:r>
        <w:rPr>
          <w:rFonts w:ascii="times" w:hAnsi="times"/>
          <w:sz w:val="20"/>
        </w:rPr>
        <w:t xml:space="preserve">This MD&amp;A presents certain financial performance measures, including </w:t>
      </w:r>
      <w:r>
        <w:rPr>
          <w:rFonts w:ascii="times" w:hAnsi="times"/>
          <w:i/>
          <w:sz w:val="20"/>
        </w:rPr>
        <w:t>total cash costs per ounce of gold produced</w:t>
      </w:r>
      <w:r>
        <w:rPr>
          <w:rFonts w:ascii="times" w:hAnsi="times"/>
          <w:sz w:val="20"/>
        </w:rPr>
        <w:t xml:space="preserve">, </w:t>
      </w:r>
      <w:r>
        <w:rPr>
          <w:rFonts w:ascii="times" w:hAnsi="times"/>
          <w:i/>
          <w:sz w:val="20"/>
        </w:rPr>
        <w:t>minesite costs per tonne</w:t>
      </w:r>
      <w:r>
        <w:rPr>
          <w:rFonts w:ascii="times" w:hAnsi="times"/>
          <w:sz w:val="20"/>
        </w:rPr>
        <w:t xml:space="preserve">, </w:t>
      </w:r>
      <w:r>
        <w:rPr>
          <w:rFonts w:ascii="times" w:hAnsi="times"/>
          <w:i/>
          <w:sz w:val="20"/>
        </w:rPr>
        <w:t>adjusted net income</w:t>
      </w:r>
      <w:r>
        <w:rPr>
          <w:rFonts w:ascii="times" w:hAnsi="times"/>
        </w:rPr>
        <w:t xml:space="preserve"> </w:t>
      </w:r>
      <w:r>
        <w:rPr>
          <w:rFonts w:ascii="times" w:hAnsi="times"/>
          <w:sz w:val="20"/>
        </w:rPr>
        <w:t xml:space="preserve">and </w:t>
      </w:r>
      <w:r>
        <w:rPr>
          <w:rFonts w:ascii="times" w:hAnsi="times"/>
          <w:i/>
          <w:sz w:val="20"/>
        </w:rPr>
        <w:t>all-in sustaining costs per ounce of gold produced</w:t>
      </w:r>
      <w:r>
        <w:rPr>
          <w:rFonts w:ascii="times" w:hAnsi="times"/>
          <w:sz w:val="20"/>
        </w:rPr>
        <w:t xml:space="preserve">, that are not recognized measures under US GAAP. This data may not be comparable to data presented by other gold producers. Non-GAAP financial performance measures should be considered together with other data prepared in accordance with US GAAP. </w:t>
      </w:r>
    </w:p>
    <w:p>
      <w:pPr>
        <w:pStyle w:val="TextBody"/>
        <w:rPr>
          <w:rFonts w:ascii="times" w:hAnsi="times"/>
        </w:rPr>
      </w:pPr>
      <w:r>
        <w:rPr>
          <w:rFonts w:ascii="times" w:hAnsi="times"/>
          <w:b/>
          <w:i/>
          <w:sz w:val="20"/>
        </w:rPr>
        <w:t>Total Cash Costs per Ounce of Gold Produced</w:t>
      </w:r>
      <w:r>
        <w:rPr>
          <w:rFonts w:ascii="times" w:hAnsi="times"/>
        </w:rPr>
        <w:t xml:space="preserve"> </w:t>
      </w:r>
      <w:r>
        <w:rPr>
          <w:rFonts w:ascii="times" w:hAnsi="times"/>
          <w:b/>
          <w:sz w:val="20"/>
        </w:rPr>
        <w:t xml:space="preserve">and </w:t>
      </w:r>
      <w:r>
        <w:rPr>
          <w:rFonts w:ascii="times" w:hAnsi="times"/>
          <w:b/>
          <w:i/>
          <w:sz w:val="20"/>
        </w:rPr>
        <w:t xml:space="preserve">Minesite Costs per Tonne </w:t>
      </w:r>
    </w:p>
    <w:p>
      <w:pPr>
        <w:pStyle w:val="TextBody"/>
        <w:rPr/>
      </w:pPr>
      <w:r>
        <w:rPr/>
        <w:t>        </w:t>
      </w:r>
      <w:r>
        <w:rPr>
          <w:rFonts w:ascii="times" w:hAnsi="times"/>
          <w:sz w:val="20"/>
        </w:rPr>
        <w:t xml:space="preserve">For a reconciliation of </w:t>
      </w:r>
      <w:r>
        <w:rPr>
          <w:rFonts w:ascii="times" w:hAnsi="times"/>
          <w:i/>
          <w:sz w:val="20"/>
        </w:rPr>
        <w:t>total cash costs per ounce of gold produced</w:t>
      </w:r>
      <w:r>
        <w:rPr>
          <w:rFonts w:ascii="times" w:hAnsi="times"/>
        </w:rPr>
        <w:t xml:space="preserve"> </w:t>
      </w:r>
      <w:r>
        <w:rPr>
          <w:rFonts w:ascii="times" w:hAnsi="times"/>
          <w:sz w:val="20"/>
        </w:rPr>
        <w:t xml:space="preserve">and </w:t>
      </w:r>
      <w:r>
        <w:rPr>
          <w:rFonts w:ascii="times" w:hAnsi="times"/>
          <w:i/>
          <w:sz w:val="20"/>
        </w:rPr>
        <w:t>minesite costs per tonne</w:t>
      </w:r>
      <w:r>
        <w:rPr>
          <w:rFonts w:ascii="times" w:hAnsi="times"/>
        </w:rPr>
        <w:t xml:space="preserve"> </w:t>
      </w:r>
      <w:r>
        <w:rPr>
          <w:rFonts w:ascii="times" w:hAnsi="times"/>
          <w:sz w:val="20"/>
        </w:rPr>
        <w:t xml:space="preserve">to the figures presented in the interim unaudited consolidated financial statements prepared in accordance with US GAAP, see </w:t>
      </w:r>
      <w:r>
        <w:rPr>
          <w:rFonts w:ascii="times" w:hAnsi="times"/>
          <w:i/>
          <w:sz w:val="20"/>
        </w:rPr>
        <w:t>Results of Operations  Production Costs</w:t>
      </w:r>
      <w:r>
        <w:rPr>
          <w:rFonts w:ascii="times" w:hAnsi="times"/>
        </w:rPr>
        <w:t xml:space="preserve"> </w:t>
      </w:r>
      <w:r>
        <w:rPr>
          <w:rFonts w:ascii="times" w:hAnsi="times"/>
          <w:sz w:val="20"/>
        </w:rPr>
        <w:t xml:space="preserve">in the MD&amp;A. The Company believes that these generally accepted industry measures are realistic indicators of operating performance and are useful in allowing year over year comparisons. However, both of these non-US GAAP measures should be considered together with other data prepared in accordance with US GAAP. These measures, taken by themselves, are not necessarily indicative of operating costs or cash flow measures prepared in accordance with US GAAP. </w:t>
      </w:r>
    </w:p>
    <w:p>
      <w:pPr>
        <w:pStyle w:val="TextBody"/>
        <w:rPr>
          <w:rFonts w:ascii="times" w:hAnsi="times"/>
          <w:b/>
          <w:i/>
          <w:sz w:val="20"/>
        </w:rPr>
      </w:pPr>
      <w:r>
        <w:rPr>
          <w:rFonts w:ascii="times" w:hAnsi="times"/>
          <w:b/>
          <w:i/>
          <w:sz w:val="20"/>
        </w:rPr>
        <w:t xml:space="preserve">Adjusted Net Income </w:t>
      </w:r>
    </w:p>
    <w:p>
      <w:pPr>
        <w:pStyle w:val="TextBody"/>
        <w:rPr/>
      </w:pPr>
      <w:r>
        <w:rPr/>
        <w:t>        </w:t>
      </w:r>
      <w:r>
        <w:rPr>
          <w:rFonts w:ascii="times" w:hAnsi="times"/>
          <w:i/>
          <w:sz w:val="20"/>
        </w:rPr>
        <w:t>Adjusted net income</w:t>
      </w:r>
      <w:r>
        <w:rPr>
          <w:rFonts w:ascii="times" w:hAnsi="times"/>
        </w:rPr>
        <w:t xml:space="preserve"> </w:t>
      </w:r>
      <w:r>
        <w:rPr>
          <w:rFonts w:ascii="times" w:hAnsi="times"/>
          <w:sz w:val="20"/>
        </w:rPr>
        <w:t xml:space="preserve">is not a recognized measure under US GAAP and this data may not be comparable to data presented by other gold producers. This measure is calculated by adjusting net income as recorded in the interim unaudited consolidated statements of income (loss) and comprehensive income (loss) for non-recurring, unusual and other items. The Company believes that this generally accepted industry measure allows the evaluation of the results of continuing operations and is a useful comparison point between periods. </w:t>
      </w:r>
      <w:r>
        <w:rPr>
          <w:rFonts w:ascii="times" w:hAnsi="times"/>
          <w:i/>
          <w:sz w:val="20"/>
        </w:rPr>
        <w:t>Adjusted net income</w:t>
      </w:r>
      <w:r>
        <w:rPr>
          <w:rFonts w:ascii="times" w:hAnsi="times"/>
        </w:rPr>
        <w:t xml:space="preserve"> </w:t>
      </w:r>
      <w:r>
        <w:rPr>
          <w:rFonts w:ascii="times" w:hAnsi="times"/>
          <w:sz w:val="20"/>
        </w:rPr>
        <w:t xml:space="preserve">is intended to provide investors with information about the Company's continuing income generating </w:t>
      </w:r>
    </w:p>
    <w:p>
      <w:pPr>
        <w:pStyle w:val="TextBody"/>
        <w:jc w:val="center"/>
        <w:rPr>
          <w:rFonts w:ascii="times" w:hAnsi="times"/>
          <w:sz w:val="20"/>
        </w:rPr>
      </w:pPr>
      <w:r>
        <w:rPr>
          <w:rFonts w:ascii="times" w:hAnsi="times"/>
          <w:sz w:val="20"/>
        </w:rPr>
        <w:t>15</w:t>
      </w:r>
    </w:p>
    <w:p>
      <w:pPr>
        <w:pStyle w:val="HorizontalLine"/>
        <w:pBdr>
          <w:bottom w:val="single" w:sz="20" w:space="0" w:color="808080"/>
        </w:pBdr>
        <w:rPr/>
      </w:pPr>
      <w:r>
        <w:rPr/>
      </w:r>
      <w:r>
        <w:br w:type="page"/>
      </w:r>
    </w:p>
    <w:p>
      <w:pPr>
        <w:pStyle w:val="TextBody"/>
        <w:rPr>
          <w:rFonts w:ascii="times" w:hAnsi="times"/>
          <w:sz w:val="20"/>
        </w:rPr>
      </w:pPr>
      <w:bookmarkStart w:id="28" w:name="page_de72201_1_16"/>
      <w:bookmarkEnd w:id="28"/>
      <w:r>
        <w:rPr>
          <w:rFonts w:ascii="times" w:hAnsi="times"/>
          <w:sz w:val="20"/>
        </w:rPr>
        <w:t xml:space="preserve">capabilities. Management uses this measure to monitor and plan for the operating performance of the Company in conjunction with other data prepared in accordance with US GAAP. </w:t>
      </w:r>
    </w:p>
    <w:tbl>
      <w:tblPr>
        <w:tblW w:w="5000" w:type="pct"/>
        <w:jc w:val="center"/>
        <w:tblInd w:w="0" w:type="dxa"/>
        <w:tblCellMar>
          <w:top w:w="0" w:type="dxa"/>
          <w:left w:w="0" w:type="dxa"/>
          <w:bottom w:w="0" w:type="dxa"/>
          <w:right w:w="0" w:type="dxa"/>
        </w:tblCellMar>
      </w:tblPr>
      <w:tblGrid>
        <w:gridCol w:w="4784"/>
        <w:gridCol w:w="225"/>
        <w:gridCol w:w="156"/>
        <w:gridCol w:w="937"/>
        <w:gridCol w:w="224"/>
        <w:gridCol w:w="157"/>
        <w:gridCol w:w="936"/>
        <w:gridCol w:w="225"/>
        <w:gridCol w:w="156"/>
        <w:gridCol w:w="843"/>
        <w:gridCol w:w="225"/>
        <w:gridCol w:w="156"/>
        <w:gridCol w:w="956"/>
        <w:gridCol w:w="225"/>
      </w:tblGrid>
      <w:tr>
        <w:trPr/>
        <w:tc>
          <w:tcPr>
            <w:tcW w:w="4784"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937"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936"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843"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956"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r>
      <w:tr>
        <w:trPr/>
        <w:tc>
          <w:tcPr>
            <w:tcW w:w="4784" w:type="dxa"/>
            <w:tcBorders/>
            <w:shd w:fill="auto" w:val="clear"/>
            <w:vAlign w:val="bottom"/>
          </w:tcPr>
          <w:p>
            <w:pPr>
              <w:pStyle w:val="TableHeading"/>
              <w:spacing w:before="0" w:after="283"/>
              <w:jc w:val="left"/>
              <w:rPr/>
            </w:pPr>
            <w:r>
              <w:rPr/>
              <w:t> </w:t>
            </w:r>
          </w:p>
        </w:tc>
        <w:tc>
          <w:tcPr>
            <w:tcW w:w="225" w:type="dxa"/>
            <w:tcBorders/>
            <w:shd w:fill="auto" w:val="clear"/>
            <w:vAlign w:val="bottom"/>
          </w:tcPr>
          <w:p>
            <w:pPr>
              <w:pStyle w:val="TableHeading"/>
              <w:suppressLineNumbers/>
              <w:spacing w:before="0" w:after="283"/>
              <w:jc w:val="center"/>
              <w:rPr/>
            </w:pPr>
            <w:r>
              <w:rPr/>
              <w:t> </w:t>
            </w:r>
          </w:p>
        </w:tc>
        <w:tc>
          <w:tcPr>
            <w:tcW w:w="241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Three Months Ended June 30, </w:t>
            </w:r>
          </w:p>
        </w:tc>
        <w:tc>
          <w:tcPr>
            <w:tcW w:w="225" w:type="dxa"/>
            <w:tcBorders/>
            <w:shd w:fill="auto" w:val="clear"/>
            <w:vAlign w:val="bottom"/>
          </w:tcPr>
          <w:p>
            <w:pPr>
              <w:pStyle w:val="TableHeading"/>
              <w:suppressLineNumbers/>
              <w:spacing w:before="0" w:after="283"/>
              <w:jc w:val="center"/>
              <w:rPr/>
            </w:pPr>
            <w:r>
              <w:rPr/>
              <w:t> </w:t>
            </w:r>
          </w:p>
        </w:tc>
        <w:tc>
          <w:tcPr>
            <w:tcW w:w="233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Six Months Ended June 30, </w:t>
            </w:r>
          </w:p>
        </w:tc>
        <w:tc>
          <w:tcPr>
            <w:tcW w:w="225" w:type="dxa"/>
            <w:tcBorders/>
            <w:shd w:fill="auto" w:val="clear"/>
            <w:vAlign w:val="bottom"/>
          </w:tcPr>
          <w:p>
            <w:pPr>
              <w:pStyle w:val="TableHeading"/>
              <w:suppressLineNumbers/>
              <w:spacing w:before="0" w:after="283"/>
              <w:jc w:val="center"/>
              <w:rPr/>
            </w:pPr>
            <w:r>
              <w:rPr/>
              <w:t> </w:t>
            </w:r>
          </w:p>
        </w:tc>
      </w:tr>
      <w:tr>
        <w:trPr/>
        <w:tc>
          <w:tcPr>
            <w:tcW w:w="4784" w:type="dxa"/>
            <w:tcBorders/>
            <w:shd w:fill="auto" w:val="clear"/>
            <w:vAlign w:val="bottom"/>
          </w:tcPr>
          <w:p>
            <w:pPr>
              <w:pStyle w:val="TableHeading"/>
              <w:spacing w:before="0" w:after="283"/>
              <w:jc w:val="left"/>
              <w:rPr/>
            </w:pPr>
            <w:r>
              <w:rPr/>
              <w:t> </w:t>
            </w:r>
          </w:p>
        </w:tc>
        <w:tc>
          <w:tcPr>
            <w:tcW w:w="225" w:type="dxa"/>
            <w:tcBorders/>
            <w:shd w:fill="auto" w:val="clear"/>
            <w:vAlign w:val="bottom"/>
          </w:tcPr>
          <w:p>
            <w:pPr>
              <w:pStyle w:val="TableHeading"/>
              <w:suppressLineNumbers/>
              <w:spacing w:before="0" w:after="283"/>
              <w:jc w:val="center"/>
              <w:rPr/>
            </w:pPr>
            <w:r>
              <w:rPr/>
              <w:t> </w:t>
            </w:r>
          </w:p>
        </w:tc>
        <w:tc>
          <w:tcPr>
            <w:tcW w:w="109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24" w:type="dxa"/>
            <w:tcBorders/>
            <w:shd w:fill="auto" w:val="clear"/>
            <w:vAlign w:val="bottom"/>
          </w:tcPr>
          <w:p>
            <w:pPr>
              <w:pStyle w:val="TableHeading"/>
              <w:suppressLineNumbers/>
              <w:spacing w:before="0" w:after="283"/>
              <w:jc w:val="center"/>
              <w:rPr/>
            </w:pPr>
            <w:r>
              <w:rPr/>
              <w:t> </w:t>
            </w:r>
          </w:p>
        </w:tc>
        <w:tc>
          <w:tcPr>
            <w:tcW w:w="109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25" w:type="dxa"/>
            <w:tcBorders/>
            <w:shd w:fill="auto" w:val="clear"/>
            <w:vAlign w:val="bottom"/>
          </w:tcPr>
          <w:p>
            <w:pPr>
              <w:pStyle w:val="TableHeading"/>
              <w:suppressLineNumbers/>
              <w:spacing w:before="0" w:after="283"/>
              <w:jc w:val="center"/>
              <w:rPr/>
            </w:pPr>
            <w:r>
              <w:rPr/>
              <w:t> </w:t>
            </w:r>
          </w:p>
        </w:tc>
        <w:tc>
          <w:tcPr>
            <w:tcW w:w="99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25" w:type="dxa"/>
            <w:tcBorders/>
            <w:shd w:fill="auto" w:val="clear"/>
            <w:vAlign w:val="bottom"/>
          </w:tcPr>
          <w:p>
            <w:pPr>
              <w:pStyle w:val="TableHeading"/>
              <w:suppressLineNumbers/>
              <w:spacing w:before="0" w:after="283"/>
              <w:jc w:val="center"/>
              <w:rPr/>
            </w:pPr>
            <w:r>
              <w:rPr/>
              <w:t> </w:t>
            </w:r>
          </w:p>
        </w:tc>
        <w:tc>
          <w:tcPr>
            <w:tcW w:w="111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25" w:type="dxa"/>
            <w:tcBorders/>
            <w:shd w:fill="auto" w:val="clear"/>
            <w:vAlign w:val="bottom"/>
          </w:tcPr>
          <w:p>
            <w:pPr>
              <w:pStyle w:val="TableHeading"/>
              <w:suppressLineNumbers/>
              <w:spacing w:before="0" w:after="283"/>
              <w:jc w:val="center"/>
              <w:rPr/>
            </w:pPr>
            <w:r>
              <w:rPr/>
              <w:t> </w:t>
            </w:r>
          </w:p>
        </w:tc>
      </w:tr>
      <w:tr>
        <w:trPr/>
        <w:tc>
          <w:tcPr>
            <w:tcW w:w="4784"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Net income (loss) for the period</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7" w:type="dxa"/>
            <w:tcBorders/>
            <w:shd w:fill="CCEEFF" w:val="clear"/>
            <w:vAlign w:val="bottom"/>
          </w:tcPr>
          <w:p>
            <w:pPr>
              <w:pStyle w:val="TableContents"/>
              <w:spacing w:before="0" w:after="283"/>
              <w:jc w:val="right"/>
              <w:rPr>
                <w:rFonts w:ascii="times" w:hAnsi="times"/>
                <w:sz w:val="20"/>
              </w:rPr>
            </w:pPr>
            <w:r>
              <w:rPr>
                <w:rFonts w:ascii="times" w:hAnsi="times"/>
                <w:sz w:val="20"/>
              </w:rPr>
              <w:t>(24,380</w:t>
            </w:r>
          </w:p>
        </w:tc>
        <w:tc>
          <w:tcPr>
            <w:tcW w:w="2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6" w:type="dxa"/>
            <w:tcBorders/>
            <w:shd w:fill="CCEEFF" w:val="clear"/>
            <w:vAlign w:val="bottom"/>
          </w:tcPr>
          <w:p>
            <w:pPr>
              <w:pStyle w:val="TableContents"/>
              <w:spacing w:before="0" w:after="283"/>
              <w:jc w:val="right"/>
              <w:rPr>
                <w:rFonts w:ascii="times" w:hAnsi="times"/>
                <w:sz w:val="20"/>
              </w:rPr>
            </w:pPr>
            <w:r>
              <w:rPr>
                <w:rFonts w:ascii="times" w:hAnsi="times"/>
                <w:sz w:val="20"/>
              </w:rPr>
              <w:t>43,272</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43" w:type="dxa"/>
            <w:tcBorders/>
            <w:shd w:fill="CCEEFF" w:val="clear"/>
            <w:vAlign w:val="bottom"/>
          </w:tcPr>
          <w:p>
            <w:pPr>
              <w:pStyle w:val="TableContents"/>
              <w:spacing w:before="0" w:after="283"/>
              <w:jc w:val="right"/>
              <w:rPr>
                <w:rFonts w:ascii="times" w:hAnsi="times"/>
                <w:sz w:val="20"/>
              </w:rPr>
            </w:pPr>
            <w:r>
              <w:rPr>
                <w:rFonts w:ascii="times" w:hAnsi="times"/>
                <w:sz w:val="20"/>
              </w:rPr>
              <w:t>(521</w:t>
            </w:r>
          </w:p>
        </w:tc>
        <w:tc>
          <w:tcPr>
            <w:tcW w:w="2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6" w:type="dxa"/>
            <w:tcBorders/>
            <w:shd w:fill="CCEEFF" w:val="clear"/>
            <w:vAlign w:val="bottom"/>
          </w:tcPr>
          <w:p>
            <w:pPr>
              <w:pStyle w:val="TableContents"/>
              <w:spacing w:before="0" w:after="283"/>
              <w:jc w:val="right"/>
              <w:rPr>
                <w:rFonts w:ascii="times" w:hAnsi="times"/>
                <w:sz w:val="20"/>
              </w:rPr>
            </w:pPr>
            <w:r>
              <w:rPr>
                <w:rFonts w:ascii="times" w:hAnsi="times"/>
                <w:sz w:val="20"/>
              </w:rPr>
              <w:t>121,820</w:t>
            </w:r>
          </w:p>
        </w:tc>
        <w:tc>
          <w:tcPr>
            <w:tcW w:w="225" w:type="dxa"/>
            <w:tcBorders/>
            <w:shd w:fill="CCEEFF" w:val="clear"/>
            <w:vAlign w:val="bottom"/>
          </w:tcPr>
          <w:p>
            <w:pPr>
              <w:pStyle w:val="TableContents"/>
              <w:spacing w:before="0" w:after="283"/>
              <w:rPr/>
            </w:pPr>
            <w:r>
              <w:rPr/>
              <w:t> </w:t>
            </w:r>
          </w:p>
        </w:tc>
      </w:tr>
      <w:tr>
        <w:trPr/>
        <w:tc>
          <w:tcPr>
            <w:tcW w:w="4784"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Impairment loss on available-for-sale securities</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37" w:type="dxa"/>
            <w:tcBorders/>
            <w:shd w:fill="FFFFFF" w:val="clear"/>
            <w:vAlign w:val="bottom"/>
          </w:tcPr>
          <w:p>
            <w:pPr>
              <w:pStyle w:val="TableContents"/>
              <w:spacing w:before="0" w:after="283"/>
              <w:jc w:val="right"/>
              <w:rPr>
                <w:rFonts w:ascii="times" w:hAnsi="times"/>
                <w:sz w:val="20"/>
              </w:rPr>
            </w:pPr>
            <w:r>
              <w:rPr>
                <w:rFonts w:ascii="times" w:hAnsi="times"/>
                <w:sz w:val="20"/>
              </w:rPr>
              <w:t>17,313</w:t>
            </w:r>
          </w:p>
        </w:tc>
        <w:tc>
          <w:tcPr>
            <w:tcW w:w="224" w:type="dxa"/>
            <w:tcBorders/>
            <w:shd w:fill="FFFFFF" w:val="clear"/>
            <w:vAlign w:val="bottom"/>
          </w:tcPr>
          <w:p>
            <w:pPr>
              <w:pStyle w:val="TableContents"/>
              <w:spacing w:before="0" w:after="283"/>
              <w:rPr/>
            </w:pPr>
            <w:r>
              <w:rPr/>
              <w:t> </w:t>
            </w:r>
          </w:p>
        </w:tc>
        <w:tc>
          <w:tcPr>
            <w:tcW w:w="157" w:type="dxa"/>
            <w:tcBorders/>
            <w:shd w:fill="FFFFFF" w:val="clear"/>
            <w:vAlign w:val="bottom"/>
          </w:tcPr>
          <w:p>
            <w:pPr>
              <w:pStyle w:val="TableContents"/>
              <w:spacing w:before="0" w:after="283"/>
              <w:rPr/>
            </w:pPr>
            <w:r>
              <w:rPr/>
              <w:t> </w:t>
            </w:r>
          </w:p>
        </w:tc>
        <w:tc>
          <w:tcPr>
            <w:tcW w:w="936"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843" w:type="dxa"/>
            <w:tcBorders/>
            <w:shd w:fill="FFFFFF" w:val="clear"/>
            <w:vAlign w:val="bottom"/>
          </w:tcPr>
          <w:p>
            <w:pPr>
              <w:pStyle w:val="TableContents"/>
              <w:spacing w:before="0" w:after="283"/>
              <w:jc w:val="right"/>
              <w:rPr>
                <w:rFonts w:ascii="times" w:hAnsi="times"/>
                <w:sz w:val="20"/>
              </w:rPr>
            </w:pPr>
            <w:r>
              <w:rPr>
                <w:rFonts w:ascii="times" w:hAnsi="times"/>
                <w:sz w:val="20"/>
              </w:rPr>
              <w:t>28,308</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56"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225" w:type="dxa"/>
            <w:tcBorders/>
            <w:shd w:fill="FFFFFF" w:val="clear"/>
            <w:vAlign w:val="bottom"/>
          </w:tcPr>
          <w:p>
            <w:pPr>
              <w:pStyle w:val="TableContents"/>
              <w:spacing w:before="0" w:after="283"/>
              <w:rPr/>
            </w:pPr>
            <w:r>
              <w:rPr/>
              <w:t> </w:t>
            </w:r>
          </w:p>
        </w:tc>
      </w:tr>
      <w:tr>
        <w:trPr/>
        <w:tc>
          <w:tcPr>
            <w:tcW w:w="4784"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Foreign currency translation (gain) loss</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rFonts w:ascii="times" w:hAnsi="times"/>
                <w:sz w:val="20"/>
              </w:rPr>
            </w:pPr>
            <w:r>
              <w:rPr>
                <w:rFonts w:ascii="times" w:hAnsi="times"/>
                <w:sz w:val="20"/>
              </w:rPr>
              <w:t>(11,120</w:t>
            </w:r>
          </w:p>
        </w:tc>
        <w:tc>
          <w:tcPr>
            <w:tcW w:w="2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7" w:type="dxa"/>
            <w:tcBorders/>
            <w:shd w:fill="CCEEFF" w:val="clear"/>
            <w:vAlign w:val="bottom"/>
          </w:tcPr>
          <w:p>
            <w:pPr>
              <w:pStyle w:val="TableContents"/>
              <w:spacing w:before="0" w:after="283"/>
              <w:rPr/>
            </w:pPr>
            <w:r>
              <w:rPr/>
              <w:t> </w:t>
            </w:r>
          </w:p>
        </w:tc>
        <w:tc>
          <w:tcPr>
            <w:tcW w:w="936" w:type="dxa"/>
            <w:tcBorders/>
            <w:shd w:fill="CCEEFF" w:val="clear"/>
            <w:vAlign w:val="bottom"/>
          </w:tcPr>
          <w:p>
            <w:pPr>
              <w:pStyle w:val="TableContents"/>
              <w:spacing w:before="0" w:after="283"/>
              <w:jc w:val="right"/>
              <w:rPr>
                <w:rFonts w:ascii="times" w:hAnsi="times"/>
                <w:sz w:val="20"/>
              </w:rPr>
            </w:pPr>
            <w:r>
              <w:rPr>
                <w:rFonts w:ascii="times" w:hAnsi="times"/>
                <w:sz w:val="20"/>
              </w:rPr>
              <w:t>(11,009</w:t>
            </w:r>
          </w:p>
        </w:tc>
        <w:tc>
          <w:tcPr>
            <w:tcW w:w="2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6" w:type="dxa"/>
            <w:tcBorders/>
            <w:shd w:fill="CCEEFF" w:val="clear"/>
            <w:vAlign w:val="bottom"/>
          </w:tcPr>
          <w:p>
            <w:pPr>
              <w:pStyle w:val="TableContents"/>
              <w:spacing w:before="0" w:after="283"/>
              <w:rPr/>
            </w:pPr>
            <w:r>
              <w:rPr/>
              <w:t> </w:t>
            </w:r>
          </w:p>
        </w:tc>
        <w:tc>
          <w:tcPr>
            <w:tcW w:w="843" w:type="dxa"/>
            <w:tcBorders/>
            <w:shd w:fill="CCEEFF" w:val="clear"/>
            <w:vAlign w:val="bottom"/>
          </w:tcPr>
          <w:p>
            <w:pPr>
              <w:pStyle w:val="TableContents"/>
              <w:spacing w:before="0" w:after="283"/>
              <w:jc w:val="right"/>
              <w:rPr>
                <w:rFonts w:ascii="times" w:hAnsi="times"/>
                <w:sz w:val="20"/>
              </w:rPr>
            </w:pPr>
            <w:r>
              <w:rPr>
                <w:rFonts w:ascii="times" w:hAnsi="times"/>
                <w:sz w:val="20"/>
              </w:rPr>
              <w:t>(7,462</w:t>
            </w:r>
          </w:p>
        </w:tc>
        <w:tc>
          <w:tcPr>
            <w:tcW w:w="2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6"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w:hAnsi="times"/>
                <w:sz w:val="20"/>
              </w:rPr>
            </w:pPr>
            <w:r>
              <w:rPr>
                <w:rFonts w:ascii="times" w:hAnsi="times"/>
                <w:sz w:val="20"/>
              </w:rPr>
              <w:t>4,508</w:t>
            </w:r>
          </w:p>
        </w:tc>
        <w:tc>
          <w:tcPr>
            <w:tcW w:w="225" w:type="dxa"/>
            <w:tcBorders/>
            <w:shd w:fill="CCEEFF" w:val="clear"/>
            <w:vAlign w:val="bottom"/>
          </w:tcPr>
          <w:p>
            <w:pPr>
              <w:pStyle w:val="TableContents"/>
              <w:spacing w:before="0" w:after="283"/>
              <w:rPr/>
            </w:pPr>
            <w:r>
              <w:rPr/>
              <w:t> </w:t>
            </w:r>
          </w:p>
        </w:tc>
      </w:tr>
      <w:tr>
        <w:trPr/>
        <w:tc>
          <w:tcPr>
            <w:tcW w:w="4784"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Stock options expense</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37" w:type="dxa"/>
            <w:tcBorders/>
            <w:shd w:fill="FFFFFF" w:val="clear"/>
            <w:vAlign w:val="bottom"/>
          </w:tcPr>
          <w:p>
            <w:pPr>
              <w:pStyle w:val="TableContents"/>
              <w:spacing w:before="0" w:after="283"/>
              <w:jc w:val="right"/>
              <w:rPr>
                <w:rFonts w:ascii="times" w:hAnsi="times"/>
                <w:sz w:val="20"/>
              </w:rPr>
            </w:pPr>
            <w:r>
              <w:rPr>
                <w:rFonts w:ascii="times" w:hAnsi="times"/>
                <w:sz w:val="20"/>
              </w:rPr>
              <w:t>4,289</w:t>
            </w:r>
          </w:p>
        </w:tc>
        <w:tc>
          <w:tcPr>
            <w:tcW w:w="224" w:type="dxa"/>
            <w:tcBorders/>
            <w:shd w:fill="FFFFFF" w:val="clear"/>
            <w:vAlign w:val="bottom"/>
          </w:tcPr>
          <w:p>
            <w:pPr>
              <w:pStyle w:val="TableContents"/>
              <w:spacing w:before="0" w:after="283"/>
              <w:rPr/>
            </w:pPr>
            <w:r>
              <w:rPr/>
              <w:t> </w:t>
            </w:r>
          </w:p>
        </w:tc>
        <w:tc>
          <w:tcPr>
            <w:tcW w:w="157" w:type="dxa"/>
            <w:tcBorders/>
            <w:shd w:fill="FFFFFF" w:val="clear"/>
            <w:vAlign w:val="bottom"/>
          </w:tcPr>
          <w:p>
            <w:pPr>
              <w:pStyle w:val="TableContents"/>
              <w:spacing w:before="0" w:after="283"/>
              <w:rPr/>
            </w:pPr>
            <w:r>
              <w:rPr/>
              <w:t> </w:t>
            </w:r>
          </w:p>
        </w:tc>
        <w:tc>
          <w:tcPr>
            <w:tcW w:w="936" w:type="dxa"/>
            <w:tcBorders/>
            <w:shd w:fill="FFFFFF" w:val="clear"/>
            <w:vAlign w:val="bottom"/>
          </w:tcPr>
          <w:p>
            <w:pPr>
              <w:pStyle w:val="TableContents"/>
              <w:spacing w:before="0" w:after="283"/>
              <w:jc w:val="right"/>
              <w:rPr>
                <w:rFonts w:ascii="times" w:hAnsi="times"/>
                <w:sz w:val="20"/>
              </w:rPr>
            </w:pPr>
            <w:r>
              <w:rPr>
                <w:rFonts w:ascii="times" w:hAnsi="times"/>
                <w:sz w:val="20"/>
              </w:rPr>
              <w:t>7,820</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843" w:type="dxa"/>
            <w:tcBorders/>
            <w:shd w:fill="FFFFFF" w:val="clear"/>
            <w:vAlign w:val="bottom"/>
          </w:tcPr>
          <w:p>
            <w:pPr>
              <w:pStyle w:val="TableContents"/>
              <w:spacing w:before="0" w:after="283"/>
              <w:jc w:val="right"/>
              <w:rPr>
                <w:rFonts w:ascii="times" w:hAnsi="times"/>
                <w:sz w:val="20"/>
              </w:rPr>
            </w:pPr>
            <w:r>
              <w:rPr>
                <w:rFonts w:ascii="times" w:hAnsi="times"/>
                <w:sz w:val="20"/>
              </w:rPr>
              <w:t>15,497</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56" w:type="dxa"/>
            <w:tcBorders/>
            <w:shd w:fill="FFFFFF" w:val="clear"/>
            <w:vAlign w:val="bottom"/>
          </w:tcPr>
          <w:p>
            <w:pPr>
              <w:pStyle w:val="TableContents"/>
              <w:spacing w:before="0" w:after="283"/>
              <w:jc w:val="right"/>
              <w:rPr>
                <w:rFonts w:ascii="times" w:hAnsi="times"/>
                <w:sz w:val="20"/>
              </w:rPr>
            </w:pPr>
            <w:r>
              <w:rPr>
                <w:rFonts w:ascii="times" w:hAnsi="times"/>
                <w:sz w:val="20"/>
              </w:rPr>
              <w:t>19,599</w:t>
            </w:r>
          </w:p>
        </w:tc>
        <w:tc>
          <w:tcPr>
            <w:tcW w:w="225" w:type="dxa"/>
            <w:tcBorders/>
            <w:shd w:fill="FFFFFF" w:val="clear"/>
            <w:vAlign w:val="bottom"/>
          </w:tcPr>
          <w:p>
            <w:pPr>
              <w:pStyle w:val="TableContents"/>
              <w:spacing w:before="0" w:after="283"/>
              <w:rPr/>
            </w:pPr>
            <w:r>
              <w:rPr/>
              <w:t> </w:t>
            </w:r>
          </w:p>
        </w:tc>
      </w:tr>
      <w:tr>
        <w:trPr/>
        <w:tc>
          <w:tcPr>
            <w:tcW w:w="4784"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Other</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rFonts w:ascii="times" w:hAnsi="times"/>
                <w:sz w:val="20"/>
              </w:rPr>
            </w:pPr>
            <w:r>
              <w:rPr>
                <w:rFonts w:ascii="times" w:hAnsi="times"/>
                <w:sz w:val="20"/>
              </w:rPr>
              <w:t>9,330</w:t>
            </w:r>
          </w:p>
        </w:tc>
        <w:tc>
          <w:tcPr>
            <w:tcW w:w="22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36" w:type="dxa"/>
            <w:tcBorders/>
            <w:shd w:fill="CCEEFF" w:val="clear"/>
            <w:vAlign w:val="bottom"/>
          </w:tcPr>
          <w:p>
            <w:pPr>
              <w:pStyle w:val="TableContents"/>
              <w:spacing w:before="0" w:after="283"/>
              <w:jc w:val="right"/>
              <w:rPr>
                <w:rFonts w:ascii="times" w:hAnsi="times"/>
                <w:sz w:val="20"/>
              </w:rPr>
            </w:pPr>
            <w:r>
              <w:rPr>
                <w:rFonts w:ascii="times" w:hAnsi="times"/>
                <w:sz w:val="20"/>
              </w:rPr>
              <w:t>17,219</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43" w:type="dxa"/>
            <w:tcBorders/>
            <w:shd w:fill="CCEEFF" w:val="clear"/>
            <w:vAlign w:val="bottom"/>
          </w:tcPr>
          <w:p>
            <w:pPr>
              <w:pStyle w:val="TableContents"/>
              <w:spacing w:before="0" w:after="283"/>
              <w:jc w:val="right"/>
              <w:rPr>
                <w:rFonts w:ascii="times" w:hAnsi="times"/>
                <w:sz w:val="20"/>
              </w:rPr>
            </w:pPr>
            <w:r>
              <w:rPr>
                <w:rFonts w:ascii="times" w:hAnsi="times"/>
                <w:sz w:val="20"/>
              </w:rPr>
              <w:t>13,258</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56" w:type="dxa"/>
            <w:tcBorders/>
            <w:shd w:fill="CCEEFF" w:val="clear"/>
            <w:vAlign w:val="bottom"/>
          </w:tcPr>
          <w:p>
            <w:pPr>
              <w:pStyle w:val="TableContents"/>
              <w:spacing w:before="0" w:after="283"/>
              <w:jc w:val="right"/>
              <w:rPr>
                <w:rFonts w:ascii="times" w:hAnsi="times"/>
                <w:sz w:val="20"/>
              </w:rPr>
            </w:pPr>
            <w:r>
              <w:rPr>
                <w:rFonts w:ascii="times" w:hAnsi="times"/>
                <w:sz w:val="20"/>
              </w:rPr>
              <w:t>12,798</w:t>
            </w:r>
          </w:p>
        </w:tc>
        <w:tc>
          <w:tcPr>
            <w:tcW w:w="225" w:type="dxa"/>
            <w:tcBorders/>
            <w:shd w:fill="CCEEFF" w:val="clear"/>
            <w:vAlign w:val="bottom"/>
          </w:tcPr>
          <w:p>
            <w:pPr>
              <w:pStyle w:val="TableContents"/>
              <w:spacing w:before="0" w:after="283"/>
              <w:rPr/>
            </w:pPr>
            <w:r>
              <w:rPr/>
              <w:t> </w:t>
            </w:r>
          </w:p>
        </w:tc>
      </w:tr>
      <w:tr>
        <w:trPr/>
        <w:tc>
          <w:tcPr>
            <w:tcW w:w="478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0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5" w:type="dxa"/>
            <w:tcBorders/>
            <w:shd w:fill="auto" w:val="clear"/>
            <w:vAlign w:val="bottom"/>
          </w:tcPr>
          <w:p>
            <w:pPr>
              <w:pStyle w:val="TableContents"/>
              <w:spacing w:before="0" w:after="283"/>
              <w:rPr/>
            </w:pPr>
            <w:r>
              <w:rPr/>
              <w:t> </w:t>
            </w:r>
          </w:p>
        </w:tc>
        <w:tc>
          <w:tcPr>
            <w:tcW w:w="99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5" w:type="dxa"/>
            <w:tcBorders/>
            <w:shd w:fill="auto" w:val="clear"/>
            <w:vAlign w:val="bottom"/>
          </w:tcPr>
          <w:p>
            <w:pPr>
              <w:pStyle w:val="TableContents"/>
              <w:spacing w:before="0" w:after="283"/>
              <w:rPr/>
            </w:pPr>
            <w:r>
              <w:rPr/>
              <w:t> </w:t>
            </w:r>
          </w:p>
        </w:tc>
        <w:tc>
          <w:tcPr>
            <w:tcW w:w="111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5" w:type="dxa"/>
            <w:tcBorders/>
            <w:shd w:fill="auto" w:val="clear"/>
            <w:vAlign w:val="bottom"/>
          </w:tcPr>
          <w:p>
            <w:pPr>
              <w:pStyle w:val="TableContents"/>
              <w:spacing w:before="0" w:after="283"/>
              <w:rPr/>
            </w:pPr>
            <w:r>
              <w:rPr/>
              <w:t> </w:t>
            </w:r>
          </w:p>
        </w:tc>
      </w:tr>
      <w:tr>
        <w:trPr/>
        <w:tc>
          <w:tcPr>
            <w:tcW w:w="4784" w:type="dxa"/>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Adjusted net income (loss) for the period</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7" w:type="dxa"/>
            <w:tcBorders/>
            <w:shd w:fill="FFFFFF" w:val="clear"/>
            <w:vAlign w:val="bottom"/>
          </w:tcPr>
          <w:p>
            <w:pPr>
              <w:pStyle w:val="TableContents"/>
              <w:spacing w:before="0" w:after="283"/>
              <w:jc w:val="right"/>
              <w:rPr>
                <w:rFonts w:ascii="times" w:hAnsi="times"/>
                <w:sz w:val="20"/>
              </w:rPr>
            </w:pPr>
            <w:r>
              <w:rPr>
                <w:rFonts w:ascii="times" w:hAnsi="times"/>
                <w:sz w:val="20"/>
              </w:rPr>
              <w:t>(4,568</w:t>
            </w:r>
          </w:p>
        </w:tc>
        <w:tc>
          <w:tcPr>
            <w:tcW w:w="2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6" w:type="dxa"/>
            <w:tcBorders/>
            <w:shd w:fill="FFFFFF" w:val="clear"/>
            <w:vAlign w:val="bottom"/>
          </w:tcPr>
          <w:p>
            <w:pPr>
              <w:pStyle w:val="TableContents"/>
              <w:spacing w:before="0" w:after="283"/>
              <w:jc w:val="right"/>
              <w:rPr>
                <w:rFonts w:ascii="times" w:hAnsi="times"/>
                <w:sz w:val="20"/>
              </w:rPr>
            </w:pPr>
            <w:r>
              <w:rPr>
                <w:rFonts w:ascii="times" w:hAnsi="times"/>
                <w:sz w:val="20"/>
              </w:rPr>
              <w:t>68,883</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43" w:type="dxa"/>
            <w:tcBorders/>
            <w:shd w:fill="FFFFFF" w:val="clear"/>
            <w:vAlign w:val="bottom"/>
          </w:tcPr>
          <w:p>
            <w:pPr>
              <w:pStyle w:val="TableContents"/>
              <w:spacing w:before="0" w:after="283"/>
              <w:jc w:val="right"/>
              <w:rPr>
                <w:rFonts w:ascii="times" w:hAnsi="times"/>
                <w:sz w:val="20"/>
              </w:rPr>
            </w:pPr>
            <w:r>
              <w:rPr>
                <w:rFonts w:ascii="times" w:hAnsi="times"/>
                <w:sz w:val="20"/>
              </w:rPr>
              <w:t>49,080</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6" w:type="dxa"/>
            <w:tcBorders/>
            <w:shd w:fill="FFFFFF" w:val="clear"/>
            <w:vAlign w:val="bottom"/>
          </w:tcPr>
          <w:p>
            <w:pPr>
              <w:pStyle w:val="TableContents"/>
              <w:spacing w:before="0" w:after="283"/>
              <w:jc w:val="right"/>
              <w:rPr>
                <w:rFonts w:ascii="times" w:hAnsi="times"/>
                <w:sz w:val="20"/>
              </w:rPr>
            </w:pPr>
            <w:r>
              <w:rPr>
                <w:rFonts w:ascii="times" w:hAnsi="times"/>
                <w:sz w:val="20"/>
              </w:rPr>
              <w:t>170,306</w:t>
            </w:r>
          </w:p>
        </w:tc>
        <w:tc>
          <w:tcPr>
            <w:tcW w:w="225" w:type="dxa"/>
            <w:tcBorders/>
            <w:shd w:fill="FFFFFF" w:val="clear"/>
            <w:vAlign w:val="bottom"/>
          </w:tcPr>
          <w:p>
            <w:pPr>
              <w:pStyle w:val="TableContents"/>
              <w:spacing w:before="0" w:after="283"/>
              <w:rPr/>
            </w:pPr>
            <w:r>
              <w:rPr/>
              <w:t> </w:t>
            </w:r>
          </w:p>
        </w:tc>
      </w:tr>
      <w:tr>
        <w:trPr/>
        <w:tc>
          <w:tcPr>
            <w:tcW w:w="478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0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5" w:type="dxa"/>
            <w:tcBorders/>
            <w:shd w:fill="auto" w:val="clear"/>
            <w:vAlign w:val="bottom"/>
          </w:tcPr>
          <w:p>
            <w:pPr>
              <w:pStyle w:val="TableContents"/>
              <w:spacing w:before="0" w:after="283"/>
              <w:rPr/>
            </w:pPr>
            <w:r>
              <w:rPr/>
              <w:t> </w:t>
            </w:r>
          </w:p>
        </w:tc>
        <w:tc>
          <w:tcPr>
            <w:tcW w:w="99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5" w:type="dxa"/>
            <w:tcBorders/>
            <w:shd w:fill="auto" w:val="clear"/>
            <w:vAlign w:val="bottom"/>
          </w:tcPr>
          <w:p>
            <w:pPr>
              <w:pStyle w:val="TableContents"/>
              <w:spacing w:before="0" w:after="283"/>
              <w:rPr/>
            </w:pPr>
            <w:r>
              <w:rPr/>
              <w:t> </w:t>
            </w:r>
          </w:p>
        </w:tc>
        <w:tc>
          <w:tcPr>
            <w:tcW w:w="111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5" w:type="dxa"/>
            <w:tcBorders/>
            <w:shd w:fill="auto" w:val="clear"/>
            <w:vAlign w:val="bottom"/>
          </w:tcPr>
          <w:p>
            <w:pPr>
              <w:pStyle w:val="TableContents"/>
              <w:spacing w:before="0" w:after="283"/>
              <w:rPr/>
            </w:pPr>
            <w:r>
              <w:rPr/>
              <w:t> </w:t>
            </w:r>
          </w:p>
        </w:tc>
      </w:tr>
      <w:tr>
        <w:trPr/>
        <w:tc>
          <w:tcPr>
            <w:tcW w:w="47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per share  basic</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7" w:type="dxa"/>
            <w:tcBorders/>
            <w:shd w:fill="CCEEFF" w:val="clear"/>
            <w:vAlign w:val="bottom"/>
          </w:tcPr>
          <w:p>
            <w:pPr>
              <w:pStyle w:val="TableContents"/>
              <w:spacing w:before="0" w:after="283"/>
              <w:jc w:val="right"/>
              <w:rPr>
                <w:rFonts w:ascii="times" w:hAnsi="times"/>
                <w:sz w:val="20"/>
              </w:rPr>
            </w:pPr>
            <w:r>
              <w:rPr>
                <w:rFonts w:ascii="times" w:hAnsi="times"/>
                <w:sz w:val="20"/>
              </w:rPr>
              <w:t>(0.14</w:t>
            </w:r>
          </w:p>
        </w:tc>
        <w:tc>
          <w:tcPr>
            <w:tcW w:w="2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6" w:type="dxa"/>
            <w:tcBorders/>
            <w:shd w:fill="CCEEFF" w:val="clear"/>
            <w:vAlign w:val="bottom"/>
          </w:tcPr>
          <w:p>
            <w:pPr>
              <w:pStyle w:val="TableContents"/>
              <w:spacing w:before="0" w:after="283"/>
              <w:jc w:val="right"/>
              <w:rPr>
                <w:rFonts w:ascii="times" w:hAnsi="times"/>
                <w:sz w:val="20"/>
              </w:rPr>
            </w:pPr>
            <w:r>
              <w:rPr>
                <w:rFonts w:ascii="times" w:hAnsi="times"/>
                <w:sz w:val="20"/>
              </w:rPr>
              <w:t>0.25</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43" w:type="dxa"/>
            <w:tcBorders/>
            <w:shd w:fill="CCEEFF" w:val="clear"/>
            <w:vAlign w:val="bottom"/>
          </w:tcPr>
          <w:p>
            <w:pPr>
              <w:pStyle w:val="TableContents"/>
              <w:spacing w:before="0" w:after="283"/>
              <w:jc w:val="right"/>
              <w:rPr>
                <w:rFonts w:ascii="times" w:hAnsi="times"/>
                <w:sz w:val="20"/>
              </w:rPr>
            </w:pPr>
            <w:r>
              <w:rPr>
                <w:rFonts w:ascii="times" w:hAnsi="times"/>
                <w:sz w:val="20"/>
              </w:rPr>
              <w:t>(0.00</w:t>
            </w:r>
          </w:p>
        </w:tc>
        <w:tc>
          <w:tcPr>
            <w:tcW w:w="2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6" w:type="dxa"/>
            <w:tcBorders/>
            <w:shd w:fill="CCEEFF" w:val="clear"/>
            <w:vAlign w:val="bottom"/>
          </w:tcPr>
          <w:p>
            <w:pPr>
              <w:pStyle w:val="TableContents"/>
              <w:spacing w:before="0" w:after="283"/>
              <w:jc w:val="right"/>
              <w:rPr>
                <w:rFonts w:ascii="times" w:hAnsi="times"/>
                <w:sz w:val="20"/>
              </w:rPr>
            </w:pPr>
            <w:r>
              <w:rPr>
                <w:rFonts w:ascii="times" w:hAnsi="times"/>
                <w:sz w:val="20"/>
              </w:rPr>
              <w:t>0.71</w:t>
            </w:r>
          </w:p>
        </w:tc>
        <w:tc>
          <w:tcPr>
            <w:tcW w:w="225" w:type="dxa"/>
            <w:tcBorders/>
            <w:shd w:fill="CCEEFF" w:val="clear"/>
            <w:vAlign w:val="bottom"/>
          </w:tcPr>
          <w:p>
            <w:pPr>
              <w:pStyle w:val="TableContents"/>
              <w:spacing w:before="0" w:after="283"/>
              <w:rPr/>
            </w:pPr>
            <w:r>
              <w:rPr/>
              <w:t> </w:t>
            </w:r>
          </w:p>
        </w:tc>
      </w:tr>
      <w:tr>
        <w:trPr/>
        <w:tc>
          <w:tcPr>
            <w:tcW w:w="47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per share  diluted</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7" w:type="dxa"/>
            <w:tcBorders/>
            <w:shd w:fill="FFFFFF" w:val="clear"/>
            <w:vAlign w:val="bottom"/>
          </w:tcPr>
          <w:p>
            <w:pPr>
              <w:pStyle w:val="TableContents"/>
              <w:spacing w:before="0" w:after="283"/>
              <w:jc w:val="right"/>
              <w:rPr>
                <w:rFonts w:ascii="times" w:hAnsi="times"/>
                <w:sz w:val="20"/>
              </w:rPr>
            </w:pPr>
            <w:r>
              <w:rPr>
                <w:rFonts w:ascii="times" w:hAnsi="times"/>
                <w:sz w:val="20"/>
              </w:rPr>
              <w:t>(0.14</w:t>
            </w:r>
          </w:p>
        </w:tc>
        <w:tc>
          <w:tcPr>
            <w:tcW w:w="2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6" w:type="dxa"/>
            <w:tcBorders/>
            <w:shd w:fill="FFFFFF" w:val="clear"/>
            <w:vAlign w:val="bottom"/>
          </w:tcPr>
          <w:p>
            <w:pPr>
              <w:pStyle w:val="TableContents"/>
              <w:spacing w:before="0" w:after="283"/>
              <w:jc w:val="right"/>
              <w:rPr>
                <w:rFonts w:ascii="times" w:hAnsi="times"/>
                <w:sz w:val="20"/>
              </w:rPr>
            </w:pPr>
            <w:r>
              <w:rPr>
                <w:rFonts w:ascii="times" w:hAnsi="times"/>
                <w:sz w:val="20"/>
              </w:rPr>
              <w:t>0.25</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43" w:type="dxa"/>
            <w:tcBorders/>
            <w:shd w:fill="FFFFFF" w:val="clear"/>
            <w:vAlign w:val="bottom"/>
          </w:tcPr>
          <w:p>
            <w:pPr>
              <w:pStyle w:val="TableContents"/>
              <w:spacing w:before="0" w:after="283"/>
              <w:jc w:val="right"/>
              <w:rPr>
                <w:rFonts w:ascii="times" w:hAnsi="times"/>
                <w:sz w:val="20"/>
              </w:rPr>
            </w:pPr>
            <w:r>
              <w:rPr>
                <w:rFonts w:ascii="times" w:hAnsi="times"/>
                <w:sz w:val="20"/>
              </w:rPr>
              <w:t>(0.00</w:t>
            </w:r>
          </w:p>
        </w:tc>
        <w:tc>
          <w:tcPr>
            <w:tcW w:w="2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6" w:type="dxa"/>
            <w:tcBorders/>
            <w:shd w:fill="FFFFFF" w:val="clear"/>
            <w:vAlign w:val="bottom"/>
          </w:tcPr>
          <w:p>
            <w:pPr>
              <w:pStyle w:val="TableContents"/>
              <w:spacing w:before="0" w:after="283"/>
              <w:jc w:val="right"/>
              <w:rPr>
                <w:rFonts w:ascii="times" w:hAnsi="times"/>
                <w:sz w:val="20"/>
              </w:rPr>
            </w:pPr>
            <w:r>
              <w:rPr>
                <w:rFonts w:ascii="times" w:hAnsi="times"/>
                <w:sz w:val="20"/>
              </w:rPr>
              <w:t>0.71</w:t>
            </w:r>
          </w:p>
        </w:tc>
        <w:tc>
          <w:tcPr>
            <w:tcW w:w="225" w:type="dxa"/>
            <w:tcBorders/>
            <w:shd w:fill="FFFFFF" w:val="clear"/>
            <w:vAlign w:val="bottom"/>
          </w:tcPr>
          <w:p>
            <w:pPr>
              <w:pStyle w:val="TableContents"/>
              <w:spacing w:before="0" w:after="283"/>
              <w:rPr/>
            </w:pPr>
            <w:r>
              <w:rPr/>
              <w:t> </w:t>
            </w:r>
          </w:p>
        </w:tc>
      </w:tr>
      <w:tr>
        <w:trPr/>
        <w:tc>
          <w:tcPr>
            <w:tcW w:w="478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Adjusted net income (loss) per share  basic</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7" w:type="dxa"/>
            <w:tcBorders/>
            <w:shd w:fill="CCEEFF" w:val="clear"/>
            <w:vAlign w:val="bottom"/>
          </w:tcPr>
          <w:p>
            <w:pPr>
              <w:pStyle w:val="TableContents"/>
              <w:spacing w:before="0" w:after="283"/>
              <w:jc w:val="right"/>
              <w:rPr>
                <w:rFonts w:ascii="times" w:hAnsi="times"/>
                <w:sz w:val="20"/>
              </w:rPr>
            </w:pPr>
            <w:r>
              <w:rPr>
                <w:rFonts w:ascii="times" w:hAnsi="times"/>
                <w:sz w:val="20"/>
              </w:rPr>
              <w:t>(0.03</w:t>
            </w:r>
          </w:p>
        </w:tc>
        <w:tc>
          <w:tcPr>
            <w:tcW w:w="2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7"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6" w:type="dxa"/>
            <w:tcBorders/>
            <w:shd w:fill="CCEEFF" w:val="clear"/>
            <w:vAlign w:val="bottom"/>
          </w:tcPr>
          <w:p>
            <w:pPr>
              <w:pStyle w:val="TableContents"/>
              <w:spacing w:before="0" w:after="283"/>
              <w:jc w:val="right"/>
              <w:rPr>
                <w:rFonts w:ascii="times" w:hAnsi="times"/>
                <w:sz w:val="20"/>
              </w:rPr>
            </w:pPr>
            <w:r>
              <w:rPr>
                <w:rFonts w:ascii="times" w:hAnsi="times"/>
                <w:sz w:val="20"/>
              </w:rPr>
              <w:t>0.40</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43" w:type="dxa"/>
            <w:tcBorders/>
            <w:shd w:fill="CCEEFF" w:val="clear"/>
            <w:vAlign w:val="bottom"/>
          </w:tcPr>
          <w:p>
            <w:pPr>
              <w:pStyle w:val="TableContents"/>
              <w:spacing w:before="0" w:after="283"/>
              <w:jc w:val="right"/>
              <w:rPr>
                <w:rFonts w:ascii="times" w:hAnsi="times"/>
                <w:sz w:val="20"/>
              </w:rPr>
            </w:pPr>
            <w:r>
              <w:rPr>
                <w:rFonts w:ascii="times" w:hAnsi="times"/>
                <w:sz w:val="20"/>
              </w:rPr>
              <w:t>0.28</w:t>
            </w:r>
          </w:p>
        </w:tc>
        <w:tc>
          <w:tcPr>
            <w:tcW w:w="225"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6" w:type="dxa"/>
            <w:tcBorders/>
            <w:shd w:fill="CCEEFF" w:val="clear"/>
            <w:vAlign w:val="bottom"/>
          </w:tcPr>
          <w:p>
            <w:pPr>
              <w:pStyle w:val="TableContents"/>
              <w:spacing w:before="0" w:after="283"/>
              <w:jc w:val="right"/>
              <w:rPr>
                <w:rFonts w:ascii="times" w:hAnsi="times"/>
                <w:sz w:val="20"/>
              </w:rPr>
            </w:pPr>
            <w:r>
              <w:rPr>
                <w:rFonts w:ascii="times" w:hAnsi="times"/>
                <w:sz w:val="20"/>
              </w:rPr>
              <w:t>1.00</w:t>
            </w:r>
          </w:p>
        </w:tc>
        <w:tc>
          <w:tcPr>
            <w:tcW w:w="225" w:type="dxa"/>
            <w:tcBorders/>
            <w:shd w:fill="CCEEFF" w:val="clear"/>
            <w:vAlign w:val="bottom"/>
          </w:tcPr>
          <w:p>
            <w:pPr>
              <w:pStyle w:val="TableContents"/>
              <w:spacing w:before="0" w:after="283"/>
              <w:rPr/>
            </w:pPr>
            <w:r>
              <w:rPr/>
              <w:t> </w:t>
            </w:r>
          </w:p>
        </w:tc>
      </w:tr>
      <w:tr>
        <w:trPr/>
        <w:tc>
          <w:tcPr>
            <w:tcW w:w="478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Adjusted net income (loss) per share  diluted</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7" w:type="dxa"/>
            <w:tcBorders/>
            <w:shd w:fill="FFFFFF" w:val="clear"/>
            <w:vAlign w:val="bottom"/>
          </w:tcPr>
          <w:p>
            <w:pPr>
              <w:pStyle w:val="TableContents"/>
              <w:spacing w:before="0" w:after="283"/>
              <w:jc w:val="right"/>
              <w:rPr>
                <w:rFonts w:ascii="times" w:hAnsi="times"/>
                <w:sz w:val="20"/>
              </w:rPr>
            </w:pPr>
            <w:r>
              <w:rPr>
                <w:rFonts w:ascii="times" w:hAnsi="times"/>
                <w:sz w:val="20"/>
              </w:rPr>
              <w:t>(0.03</w:t>
            </w:r>
          </w:p>
        </w:tc>
        <w:tc>
          <w:tcPr>
            <w:tcW w:w="2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7"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6" w:type="dxa"/>
            <w:tcBorders/>
            <w:shd w:fill="FFFFFF" w:val="clear"/>
            <w:vAlign w:val="bottom"/>
          </w:tcPr>
          <w:p>
            <w:pPr>
              <w:pStyle w:val="TableContents"/>
              <w:spacing w:before="0" w:after="283"/>
              <w:jc w:val="right"/>
              <w:rPr>
                <w:rFonts w:ascii="times" w:hAnsi="times"/>
                <w:sz w:val="20"/>
              </w:rPr>
            </w:pPr>
            <w:r>
              <w:rPr>
                <w:rFonts w:ascii="times" w:hAnsi="times"/>
                <w:sz w:val="20"/>
              </w:rPr>
              <w:t>0.40</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43" w:type="dxa"/>
            <w:tcBorders/>
            <w:shd w:fill="FFFFFF" w:val="clear"/>
            <w:vAlign w:val="bottom"/>
          </w:tcPr>
          <w:p>
            <w:pPr>
              <w:pStyle w:val="TableContents"/>
              <w:spacing w:before="0" w:after="283"/>
              <w:jc w:val="right"/>
              <w:rPr>
                <w:rFonts w:ascii="times" w:hAnsi="times"/>
                <w:sz w:val="20"/>
              </w:rPr>
            </w:pPr>
            <w:r>
              <w:rPr>
                <w:rFonts w:ascii="times" w:hAnsi="times"/>
                <w:sz w:val="20"/>
              </w:rPr>
              <w:t>0.28</w:t>
            </w:r>
          </w:p>
        </w:tc>
        <w:tc>
          <w:tcPr>
            <w:tcW w:w="225"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6" w:type="dxa"/>
            <w:tcBorders/>
            <w:shd w:fill="FFFFFF" w:val="clear"/>
            <w:vAlign w:val="bottom"/>
          </w:tcPr>
          <w:p>
            <w:pPr>
              <w:pStyle w:val="TableContents"/>
              <w:spacing w:before="0" w:after="283"/>
              <w:jc w:val="right"/>
              <w:rPr>
                <w:rFonts w:ascii="times" w:hAnsi="times"/>
                <w:sz w:val="20"/>
              </w:rPr>
            </w:pPr>
            <w:r>
              <w:rPr>
                <w:rFonts w:ascii="times" w:hAnsi="times"/>
                <w:sz w:val="20"/>
              </w:rPr>
              <w:t>1.00</w:t>
            </w:r>
          </w:p>
        </w:tc>
        <w:tc>
          <w:tcPr>
            <w:tcW w:w="225" w:type="dxa"/>
            <w:tcBorders/>
            <w:shd w:fill="FFFFFF" w:val="clear"/>
            <w:vAlign w:val="bottom"/>
          </w:tcPr>
          <w:p>
            <w:pPr>
              <w:pStyle w:val="TableContents"/>
              <w:spacing w:before="0" w:after="283"/>
              <w:rPr/>
            </w:pPr>
            <w:r>
              <w:rPr/>
              <w:t> </w:t>
            </w:r>
          </w:p>
        </w:tc>
      </w:tr>
    </w:tbl>
    <w:p>
      <w:pPr>
        <w:pStyle w:val="TextBody"/>
        <w:rPr>
          <w:rFonts w:ascii="times" w:hAnsi="times"/>
          <w:b/>
          <w:i/>
          <w:sz w:val="20"/>
        </w:rPr>
      </w:pPr>
      <w:r>
        <w:rPr>
          <w:rFonts w:ascii="times" w:hAnsi="times"/>
          <w:b/>
          <w:i/>
          <w:sz w:val="20"/>
        </w:rPr>
        <w:t xml:space="preserve">All-in Sustaining Costs per Ounce of Gold Produced </w:t>
      </w:r>
    </w:p>
    <w:p>
      <w:pPr>
        <w:pStyle w:val="TextBody"/>
        <w:rPr/>
      </w:pPr>
      <w:r>
        <w:rPr/>
        <w:t>        </w:t>
      </w:r>
      <w:r>
        <w:rPr>
          <w:rFonts w:ascii="times" w:hAnsi="times"/>
          <w:i/>
          <w:sz w:val="20"/>
        </w:rPr>
        <w:t>All-in sustaining costs per ounce of gold produced</w:t>
      </w:r>
      <w:r>
        <w:rPr>
          <w:rFonts w:ascii="times" w:hAnsi="times"/>
          <w:sz w:val="20"/>
        </w:rPr>
        <w:t xml:space="preserve">, calculated beginning in 2013, is not a recognized measure under US GAAP and this data may not be comparable to data presented by other gold producers. The Company believes that this measure provides a realistic indicator of operating performance. However, this non-US GAAP measure should be considered together with other data prepared in accordance with US GAAP as it is not necessarily indicative of operating costs or cash flow measures prepared in accordance with US GAAP. </w:t>
      </w:r>
    </w:p>
    <w:p>
      <w:pPr>
        <w:pStyle w:val="TextBody"/>
        <w:rPr/>
      </w:pPr>
      <w:r>
        <w:rPr/>
        <w:t>        </w:t>
      </w:r>
      <w:r>
        <w:rPr>
          <w:rFonts w:ascii="times" w:hAnsi="times"/>
          <w:sz w:val="20"/>
        </w:rPr>
        <w:t xml:space="preserve">For the three months ended June 30, 2013, </w:t>
      </w:r>
      <w:r>
        <w:rPr>
          <w:rFonts w:ascii="times" w:hAnsi="times"/>
          <w:i/>
          <w:sz w:val="20"/>
        </w:rPr>
        <w:t>all-in sustaining costs per ounce of gold produced</w:t>
      </w:r>
      <w:r>
        <w:rPr>
          <w:rFonts w:ascii="times" w:hAnsi="times"/>
        </w:rPr>
        <w:t xml:space="preserve"> </w:t>
      </w:r>
      <w:r>
        <w:rPr>
          <w:rFonts w:ascii="times" w:hAnsi="times"/>
          <w:sz w:val="20"/>
        </w:rPr>
        <w:t xml:space="preserve">amounted to $1,127, calculated as the accumulation of total cash costs per ounce of gold produced of $785, sustaining capital expenditures per ounce of $215, exploration and corporate development expenses (excluding greenfield exploration) per ounce of $19 and general and administrative expenses (net of stock options) per ounce of $108. The calculation excludes the Kittila mine's results for the second quarter of 2013. Due to scheduled maintenance, the Kittila mine only operated for 14 days during the second quarter of 2013. </w:t>
      </w:r>
    </w:p>
    <w:p>
      <w:pPr>
        <w:pStyle w:val="TextBody"/>
        <w:rPr/>
      </w:pPr>
      <w:r>
        <w:rPr/>
        <w:t>        </w:t>
      </w:r>
      <w:r>
        <w:rPr>
          <w:rFonts w:ascii="times" w:hAnsi="times"/>
          <w:sz w:val="20"/>
        </w:rPr>
        <w:t xml:space="preserve">For the six months ended June 30, 2013, </w:t>
      </w:r>
      <w:r>
        <w:rPr>
          <w:rFonts w:ascii="times" w:hAnsi="times"/>
          <w:i/>
          <w:sz w:val="20"/>
        </w:rPr>
        <w:t>all-in sustaining costs per ounce of gold produced</w:t>
      </w:r>
      <w:r>
        <w:rPr>
          <w:rFonts w:ascii="times" w:hAnsi="times"/>
        </w:rPr>
        <w:t xml:space="preserve"> </w:t>
      </w:r>
      <w:r>
        <w:rPr>
          <w:rFonts w:ascii="times" w:hAnsi="times"/>
          <w:sz w:val="20"/>
        </w:rPr>
        <w:t xml:space="preserve">amounted to $1,071, calculated as the accumulation of total cash costs per ounce of gold produced of $762, sustaining capital expenditures per ounce of $184, exploration and corporate development expenses (excluding greenfield exploration) per ounce of $17 and general and administrative expenses (net of stock options) per ounce of $108. The calculation excludes the Kittila mine's results for the second quarter of 2013. Due to scheduled maintenance, the Kittila mine only operated for 14 days during the second quarter of 2013. The calculation excludes the results of the Creston Mascota deposit at Pinos Altos for the first quarter of 2013 due to the temporary suspension of active leaching at the Creston Mascota deposit at Pinos Altos between October 1, 2012 and March 13, 2013. </w:t>
      </w:r>
    </w:p>
    <w:p>
      <w:pPr>
        <w:pStyle w:val="TextBody"/>
        <w:jc w:val="center"/>
        <w:rPr>
          <w:rFonts w:ascii="times" w:hAnsi="times"/>
          <w:sz w:val="20"/>
        </w:rPr>
      </w:pPr>
      <w:r>
        <w:rPr>
          <w:rFonts w:ascii="times" w:hAnsi="times"/>
          <w:sz w:val="20"/>
        </w:rPr>
        <w:t>16</w:t>
      </w:r>
    </w:p>
    <w:p>
      <w:pPr>
        <w:pStyle w:val="HorizontalLine"/>
        <w:pBdr>
          <w:bottom w:val="single" w:sz="20" w:space="0" w:color="808080"/>
        </w:pBdr>
        <w:rPr/>
      </w:pPr>
      <w:r>
        <w:rPr/>
      </w:r>
      <w:r>
        <w:br w:type="page"/>
      </w:r>
    </w:p>
    <w:p>
      <w:pPr>
        <w:pStyle w:val="TextBody"/>
        <w:jc w:val="center"/>
        <w:rPr>
          <w:rFonts w:ascii="times" w:hAnsi="times"/>
          <w:b/>
          <w:sz w:val="20"/>
        </w:rPr>
      </w:pPr>
      <w:bookmarkStart w:id="29" w:name="toc_fc72201_1"/>
      <w:bookmarkStart w:id="30" w:name="fc72201_agnico_eagle_mines_limited_sum__"/>
      <w:bookmarkStart w:id="31" w:name="page_fc72201_1_17"/>
      <w:bookmarkEnd w:id="29"/>
      <w:bookmarkEnd w:id="30"/>
      <w:bookmarkEnd w:id="31"/>
      <w:r>
        <w:rPr>
          <w:rFonts w:ascii="times" w:hAnsi="times"/>
          <w:b/>
          <w:sz w:val="20"/>
        </w:rPr>
        <w:br/>
        <w:t xml:space="preserve">AGNICO EAGLE MINES LIMITED </w:t>
        <w:br/>
        <w:br/>
        <w:t xml:space="preserve">SUMMARY OF OPERATIONS KEY PERFORMANCE INDICATORS </w:t>
        <w:br/>
        <w:br/>
        <w:t xml:space="preserve">(thousands of United States dollars, except where noted) </w:t>
      </w:r>
    </w:p>
    <w:tbl>
      <w:tblPr>
        <w:tblW w:w="5000" w:type="pct"/>
        <w:jc w:val="center"/>
        <w:tblInd w:w="0" w:type="dxa"/>
        <w:tblCellMar>
          <w:top w:w="0" w:type="dxa"/>
          <w:left w:w="0" w:type="dxa"/>
          <w:bottom w:w="0" w:type="dxa"/>
          <w:right w:w="0" w:type="dxa"/>
        </w:tblCellMar>
      </w:tblPr>
      <w:tblGrid>
        <w:gridCol w:w="4936"/>
        <w:gridCol w:w="200"/>
        <w:gridCol w:w="138"/>
        <w:gridCol w:w="930"/>
        <w:gridCol w:w="199"/>
        <w:gridCol w:w="138"/>
        <w:gridCol w:w="930"/>
        <w:gridCol w:w="199"/>
        <w:gridCol w:w="138"/>
        <w:gridCol w:w="930"/>
        <w:gridCol w:w="199"/>
        <w:gridCol w:w="139"/>
        <w:gridCol w:w="929"/>
        <w:gridCol w:w="200"/>
      </w:tblGrid>
      <w:tr>
        <w:trPr/>
        <w:tc>
          <w:tcPr>
            <w:tcW w:w="4936"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3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3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3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929"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r>
      <w:tr>
        <w:trPr/>
        <w:tc>
          <w:tcPr>
            <w:tcW w:w="4936" w:type="dxa"/>
            <w:tcBorders/>
            <w:shd w:fill="auto" w:val="clear"/>
            <w:vAlign w:val="bottom"/>
          </w:tcPr>
          <w:p>
            <w:pPr>
              <w:pStyle w:val="TableHeading"/>
              <w:spacing w:before="0" w:after="283"/>
              <w:jc w:val="left"/>
              <w:rPr/>
            </w:pPr>
            <w:r>
              <w:rPr/>
              <w:t> </w:t>
            </w:r>
          </w:p>
        </w:tc>
        <w:tc>
          <w:tcPr>
            <w:tcW w:w="200" w:type="dxa"/>
            <w:tcBorders/>
            <w:shd w:fill="auto" w:val="clear"/>
            <w:vAlign w:val="bottom"/>
          </w:tcPr>
          <w:p>
            <w:pPr>
              <w:pStyle w:val="TableHeading"/>
              <w:suppressLineNumbers/>
              <w:spacing w:before="0" w:after="283"/>
              <w:jc w:val="center"/>
              <w:rPr/>
            </w:pPr>
            <w:r>
              <w:rPr/>
              <w:t> </w:t>
            </w:r>
          </w:p>
        </w:tc>
        <w:tc>
          <w:tcPr>
            <w:tcW w:w="233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w:t>
            </w:r>
          </w:p>
        </w:tc>
        <w:tc>
          <w:tcPr>
            <w:tcW w:w="199" w:type="dxa"/>
            <w:tcBorders/>
            <w:shd w:fill="auto" w:val="clear"/>
            <w:vAlign w:val="bottom"/>
          </w:tcPr>
          <w:p>
            <w:pPr>
              <w:pStyle w:val="TableHeading"/>
              <w:suppressLineNumbers/>
              <w:spacing w:before="0" w:after="283"/>
              <w:jc w:val="center"/>
              <w:rPr/>
            </w:pPr>
            <w:r>
              <w:rPr/>
              <w:t> </w:t>
            </w:r>
          </w:p>
        </w:tc>
        <w:tc>
          <w:tcPr>
            <w:tcW w:w="233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200" w:type="dxa"/>
            <w:tcBorders/>
            <w:shd w:fill="auto" w:val="clear"/>
            <w:vAlign w:val="bottom"/>
          </w:tcPr>
          <w:p>
            <w:pPr>
              <w:pStyle w:val="TableHeading"/>
              <w:suppressLineNumbers/>
              <w:spacing w:before="0" w:after="283"/>
              <w:jc w:val="center"/>
              <w:rPr/>
            </w:pPr>
            <w:r>
              <w:rPr/>
              <w:t> </w:t>
            </w:r>
          </w:p>
        </w:tc>
      </w:tr>
      <w:tr>
        <w:trPr/>
        <w:tc>
          <w:tcPr>
            <w:tcW w:w="4936" w:type="dxa"/>
            <w:tcBorders/>
            <w:shd w:fill="auto" w:val="clear"/>
            <w:vAlign w:val="bottom"/>
          </w:tcPr>
          <w:p>
            <w:pPr>
              <w:pStyle w:val="TableHeading"/>
              <w:spacing w:before="0" w:after="283"/>
              <w:jc w:val="left"/>
              <w:rPr/>
            </w:pPr>
            <w:r>
              <w:rPr/>
              <w:t> </w:t>
            </w:r>
          </w:p>
        </w:tc>
        <w:tc>
          <w:tcPr>
            <w:tcW w:w="200"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9"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99"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9"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00" w:type="dxa"/>
            <w:tcBorders/>
            <w:shd w:fill="auto" w:val="clear"/>
            <w:vAlign w:val="bottom"/>
          </w:tcPr>
          <w:p>
            <w:pPr>
              <w:pStyle w:val="TableHeading"/>
              <w:suppressLineNumbers/>
              <w:spacing w:before="0" w:after="283"/>
              <w:jc w:val="center"/>
              <w:rPr/>
            </w:pPr>
            <w:r>
              <w:rPr/>
              <w:t> </w:t>
            </w:r>
          </w:p>
        </w:tc>
      </w:tr>
      <w:tr>
        <w:trPr/>
        <w:tc>
          <w:tcPr>
            <w:tcW w:w="4936"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Operating margin</w:t>
            </w:r>
            <w:r>
              <w:rPr>
                <w:rFonts w:ascii="times" w:hAnsi="times"/>
                <w:b/>
                <w:position w:val="7"/>
                <w:sz w:val="16"/>
                <w:sz w:val="20"/>
              </w:rPr>
              <w:t>(i)</w:t>
            </w:r>
            <w:r>
              <w:rPr>
                <w:rFonts w:ascii="times" w:hAnsi="times"/>
                <w:b/>
                <w:sz w:val="20"/>
              </w:rPr>
              <w:t xml:space="preserve"> by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14,372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29,342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47,667</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92,608</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16,643</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26,222</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38,431</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53,899</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(112</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31,489</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44,844</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80,538</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w:t>
            </w:r>
            <w:r>
              <w:rPr>
                <w:rFonts w:ascii="times" w:hAnsi="times"/>
                <w:position w:val="7"/>
                <w:sz w:val="16"/>
                <w:sz w:val="20"/>
              </w:rPr>
              <w:t>(ii)</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47,188</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79,887</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101,015</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149,022</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Meadowbank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32,382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72,715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68,885</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121,487</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operating margin</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110,473</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239,655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300,842</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497,554</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property, plant and mine development</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70,128</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66,310</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140,199</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130,863</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Exploration, corporate and other</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63,805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96,169</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135,495</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182,005</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(loss) before income and mining taxes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(23,460</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77,176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25,148</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184,686</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and mining taxes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920</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33,904</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25,669</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62,866</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(24,380</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43,272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(521</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121,820</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per share  basic (US$)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(0.14</w:t>
            </w:r>
          </w:p>
        </w:tc>
        <w:tc>
          <w:tcPr>
            <w:tcW w:w="19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0.25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0.00</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0.71</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per share  diluted (US$)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(0.14</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0.25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0.00</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0.71</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Cash flows: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provided by operating activities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75,298</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194,082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221,370</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390,579</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used in investing activities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(218,282</w:t>
            </w:r>
          </w:p>
        </w:tc>
        <w:tc>
          <w:tcPr>
            <w:tcW w:w="19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(68,619</w:t>
            </w:r>
          </w:p>
        </w:tc>
        <w:tc>
          <w:tcPr>
            <w:tcW w:w="19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(359,761</w:t>
            </w:r>
          </w:p>
        </w:tc>
        <w:tc>
          <w:tcPr>
            <w:tcW w:w="19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(157,527</w:t>
            </w:r>
          </w:p>
        </w:tc>
        <w:tc>
          <w:tcPr>
            <w:tcW w:w="20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provided by (used in) financing activities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18,677</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(29,258</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(50,827</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(161,336</w:t>
            </w:r>
          </w:p>
        </w:tc>
        <w:tc>
          <w:tcPr>
            <w:tcW w:w="20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936"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Realized prices (US$):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(per ounce)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1,336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1,602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1,474</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1,642</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Silver (per ounce)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18.72</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26.33</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23.77</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30.75</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Zinc (per tonne)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1,753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1,901</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1,895</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2,026</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Copper (per tonne)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6,551</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6,455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7,012</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7,842</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240" w:after="283"/>
              <w:ind w:left="200" w:right="0" w:hanging="200"/>
              <w:rPr>
                <w:rFonts w:ascii="times" w:hAnsi="times"/>
                <w:b/>
                <w:sz w:val="20"/>
              </w:rPr>
            </w:pPr>
            <w:r>
              <w:rPr>
                <w:rFonts w:ascii="times" w:hAnsi="times"/>
                <w:b/>
                <w:sz w:val="20"/>
              </w:rPr>
              <w:t>Payable production</w:t>
            </w:r>
            <w:r>
              <w:rPr>
                <w:rFonts w:ascii="times" w:hAnsi="times"/>
                <w:b/>
                <w:position w:val="7"/>
                <w:sz w:val="16"/>
                <w:sz w:val="20"/>
              </w:rPr>
              <w:t>(iii)</w:t>
            </w:r>
            <w:r>
              <w:rPr>
                <w:rFonts w:ascii="times" w:hAnsi="times"/>
                <w:b/>
                <w:sz w:val="20"/>
              </w:rPr>
              <w:t>:</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rPr/>
            </w:pPr>
            <w:r>
              <w:rPr/>
              <w:t> </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(ounces):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46,119</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40,206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85,192</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83,487</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Lapa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23,178</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28,157</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50,046</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56,656</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5,389</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35,228</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48,534</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81,986</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57,530</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63,356</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103,601</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120,372</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91,873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98,403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173,691</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177,804</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gold (ounces)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224,089</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265,350</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461,064</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520,305</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Silver (thousands of ounces):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rPr/>
            </w:pPr>
            <w:r>
              <w:rPr/>
              <w:t> </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424</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532</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1,035</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1,222</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619</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537</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1,235</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1,044</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45</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44</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Silver (thousands of ounces)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1,066</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1,095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2,317</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2,310</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Zinc (LaRonde mine) (tonnes)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3,455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9,558</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11,694</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22,536</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Copper (LaRonde mine) (tonnes)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1,280</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1,004</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2,362</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2,330</w:t>
            </w:r>
          </w:p>
        </w:tc>
        <w:tc>
          <w:tcPr>
            <w:tcW w:w="200" w:type="dxa"/>
            <w:tcBorders/>
            <w:shd w:fill="CCEEFF"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17</w:t>
      </w:r>
    </w:p>
    <w:p>
      <w:pPr>
        <w:pStyle w:val="HorizontalLine"/>
        <w:pBdr>
          <w:bottom w:val="single" w:sz="20" w:space="0" w:color="808080"/>
        </w:pBdr>
        <w:rPr/>
      </w:pPr>
      <w:r>
        <w:rPr/>
      </w:r>
      <w:r>
        <w:br w:type="page"/>
      </w:r>
    </w:p>
    <w:p>
      <w:pPr>
        <w:pStyle w:val="TextBody"/>
        <w:jc w:val="center"/>
        <w:rPr>
          <w:rFonts w:ascii="times" w:hAnsi="times"/>
          <w:b/>
          <w:sz w:val="20"/>
        </w:rPr>
      </w:pPr>
      <w:bookmarkStart w:id="32" w:name="page_fc72201_1_18"/>
      <w:bookmarkEnd w:id="32"/>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SUMMARY OF OPERATIONS KEY PERFORMANCE INDICATORS </w:t>
      </w:r>
    </w:p>
    <w:p>
      <w:pPr>
        <w:pStyle w:val="TextBody"/>
        <w:jc w:val="center"/>
        <w:rPr>
          <w:rFonts w:ascii="times" w:hAnsi="times"/>
          <w:b/>
          <w:sz w:val="20"/>
        </w:rPr>
      </w:pPr>
      <w:r>
        <w:rPr>
          <w:rFonts w:ascii="times" w:hAnsi="times"/>
          <w:b/>
          <w:sz w:val="20"/>
        </w:rPr>
        <w:t xml:space="preserve">(thousands of United States dollars, except where noted) </w:t>
      </w:r>
    </w:p>
    <w:tbl>
      <w:tblPr>
        <w:tblW w:w="5000" w:type="pct"/>
        <w:jc w:val="center"/>
        <w:tblInd w:w="0" w:type="dxa"/>
        <w:tblCellMar>
          <w:top w:w="0" w:type="dxa"/>
          <w:left w:w="0" w:type="dxa"/>
          <w:bottom w:w="0" w:type="dxa"/>
          <w:right w:w="0" w:type="dxa"/>
        </w:tblCellMar>
      </w:tblPr>
      <w:tblGrid>
        <w:gridCol w:w="5251"/>
        <w:gridCol w:w="187"/>
        <w:gridCol w:w="130"/>
        <w:gridCol w:w="874"/>
        <w:gridCol w:w="188"/>
        <w:gridCol w:w="130"/>
        <w:gridCol w:w="874"/>
        <w:gridCol w:w="187"/>
        <w:gridCol w:w="130"/>
        <w:gridCol w:w="875"/>
        <w:gridCol w:w="187"/>
        <w:gridCol w:w="130"/>
        <w:gridCol w:w="874"/>
        <w:gridCol w:w="188"/>
      </w:tblGrid>
      <w:tr>
        <w:trPr/>
        <w:tc>
          <w:tcPr>
            <w:tcW w:w="5251"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4"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4"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5"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4"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r>
      <w:tr>
        <w:trPr/>
        <w:tc>
          <w:tcPr>
            <w:tcW w:w="5251" w:type="dxa"/>
            <w:tcBorders/>
            <w:shd w:fill="auto" w:val="clear"/>
            <w:vAlign w:val="bottom"/>
          </w:tcPr>
          <w:p>
            <w:pPr>
              <w:pStyle w:val="TableHeading"/>
              <w:spacing w:before="0" w:after="283"/>
              <w:jc w:val="left"/>
              <w:rPr/>
            </w:pPr>
            <w:r>
              <w:rPr/>
              <w:t> </w:t>
            </w:r>
          </w:p>
        </w:tc>
        <w:tc>
          <w:tcPr>
            <w:tcW w:w="187" w:type="dxa"/>
            <w:tcBorders/>
            <w:shd w:fill="auto" w:val="clear"/>
            <w:vAlign w:val="bottom"/>
          </w:tcPr>
          <w:p>
            <w:pPr>
              <w:pStyle w:val="TableHeading"/>
              <w:suppressLineNumbers/>
              <w:spacing w:before="0" w:after="283"/>
              <w:jc w:val="center"/>
              <w:rPr/>
            </w:pPr>
            <w:r>
              <w:rPr/>
              <w:t> </w:t>
            </w:r>
          </w:p>
        </w:tc>
        <w:tc>
          <w:tcPr>
            <w:tcW w:w="21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w:t>
            </w:r>
          </w:p>
        </w:tc>
        <w:tc>
          <w:tcPr>
            <w:tcW w:w="187" w:type="dxa"/>
            <w:tcBorders/>
            <w:shd w:fill="auto" w:val="clear"/>
            <w:vAlign w:val="bottom"/>
          </w:tcPr>
          <w:p>
            <w:pPr>
              <w:pStyle w:val="TableHeading"/>
              <w:suppressLineNumbers/>
              <w:spacing w:before="0" w:after="283"/>
              <w:jc w:val="center"/>
              <w:rPr/>
            </w:pPr>
            <w:r>
              <w:rPr/>
              <w:t> </w:t>
            </w:r>
          </w:p>
        </w:tc>
        <w:tc>
          <w:tcPr>
            <w:tcW w:w="21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188" w:type="dxa"/>
            <w:tcBorders/>
            <w:shd w:fill="auto" w:val="clear"/>
            <w:vAlign w:val="bottom"/>
          </w:tcPr>
          <w:p>
            <w:pPr>
              <w:pStyle w:val="TableHeading"/>
              <w:suppressLineNumbers/>
              <w:spacing w:before="0" w:after="283"/>
              <w:jc w:val="center"/>
              <w:rPr/>
            </w:pPr>
            <w:r>
              <w:rPr/>
              <w:t> </w:t>
            </w:r>
          </w:p>
        </w:tc>
      </w:tr>
      <w:tr>
        <w:trPr/>
        <w:tc>
          <w:tcPr>
            <w:tcW w:w="5251" w:type="dxa"/>
            <w:tcBorders/>
            <w:shd w:fill="auto" w:val="clear"/>
            <w:vAlign w:val="bottom"/>
          </w:tcPr>
          <w:p>
            <w:pPr>
              <w:pStyle w:val="TableHeading"/>
              <w:spacing w:before="0" w:after="283"/>
              <w:jc w:val="left"/>
              <w:rPr/>
            </w:pPr>
            <w:r>
              <w:rPr/>
              <w:t> </w:t>
            </w:r>
          </w:p>
        </w:tc>
        <w:tc>
          <w:tcPr>
            <w:tcW w:w="187" w:type="dxa"/>
            <w:tcBorders/>
            <w:shd w:fill="auto" w:val="clear"/>
            <w:vAlign w:val="bottom"/>
          </w:tcPr>
          <w:p>
            <w:pPr>
              <w:pStyle w:val="TableHeading"/>
              <w:suppressLineNumbers/>
              <w:spacing w:before="0" w:after="283"/>
              <w:jc w:val="center"/>
              <w:rPr/>
            </w:pPr>
            <w:r>
              <w:rPr/>
              <w:t> </w:t>
            </w:r>
          </w:p>
        </w:tc>
        <w:tc>
          <w:tcPr>
            <w:tcW w:w="10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88" w:type="dxa"/>
            <w:tcBorders/>
            <w:shd w:fill="auto" w:val="clear"/>
            <w:vAlign w:val="bottom"/>
          </w:tcPr>
          <w:p>
            <w:pPr>
              <w:pStyle w:val="TableHeading"/>
              <w:suppressLineNumbers/>
              <w:spacing w:before="0" w:after="283"/>
              <w:jc w:val="center"/>
              <w:rPr/>
            </w:pPr>
            <w:r>
              <w:rPr/>
              <w:t> </w:t>
            </w:r>
          </w:p>
        </w:tc>
        <w:tc>
          <w:tcPr>
            <w:tcW w:w="10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87" w:type="dxa"/>
            <w:tcBorders/>
            <w:shd w:fill="auto" w:val="clear"/>
            <w:vAlign w:val="bottom"/>
          </w:tcPr>
          <w:p>
            <w:pPr>
              <w:pStyle w:val="TableHeading"/>
              <w:suppressLineNumbers/>
              <w:spacing w:before="0" w:after="283"/>
              <w:jc w:val="center"/>
              <w:rPr/>
            </w:pPr>
            <w:r>
              <w:rPr/>
              <w:t> </w:t>
            </w:r>
          </w:p>
        </w:tc>
        <w:tc>
          <w:tcPr>
            <w:tcW w:w="100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87" w:type="dxa"/>
            <w:tcBorders/>
            <w:shd w:fill="auto" w:val="clear"/>
            <w:vAlign w:val="bottom"/>
          </w:tcPr>
          <w:p>
            <w:pPr>
              <w:pStyle w:val="TableHeading"/>
              <w:suppressLineNumbers/>
              <w:spacing w:before="0" w:after="283"/>
              <w:jc w:val="center"/>
              <w:rPr/>
            </w:pPr>
            <w:r>
              <w:rPr/>
              <w:t> </w:t>
            </w:r>
          </w:p>
        </w:tc>
        <w:tc>
          <w:tcPr>
            <w:tcW w:w="10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88" w:type="dxa"/>
            <w:tcBorders/>
            <w:shd w:fill="auto" w:val="clear"/>
            <w:vAlign w:val="bottom"/>
          </w:tcPr>
          <w:p>
            <w:pPr>
              <w:pStyle w:val="TableHeading"/>
              <w:suppressLineNumbers/>
              <w:spacing w:before="0" w:after="283"/>
              <w:jc w:val="center"/>
              <w:rPr/>
            </w:pPr>
            <w:r>
              <w:rPr/>
              <w:t> </w:t>
            </w:r>
          </w:p>
        </w:tc>
      </w:tr>
      <w:tr>
        <w:trPr/>
        <w:tc>
          <w:tcPr>
            <w:tcW w:w="5251"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Payable metal sold:</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(ounces):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rPr/>
            </w:pPr>
            <w:r>
              <w:rPr/>
              <w:t> </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rPr/>
            </w:pPr>
            <w:r>
              <w:rPr/>
              <w:t> </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rPr/>
            </w:pPr>
            <w:r>
              <w:rPr/>
              <w:t> </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rPr/>
            </w:pPr>
            <w:r>
              <w:rPr/>
              <w:t> </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46,953</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39,886</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86,541</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83,631</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Lapa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25,644</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27,793</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49,583</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55,690</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12,752</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34,476</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57,092</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78,703</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56,882</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66,373</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101,992</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118,518</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87,798</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93,299</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167,810</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167,913</w:t>
            </w:r>
          </w:p>
        </w:tc>
        <w:tc>
          <w:tcPr>
            <w:tcW w:w="188" w:type="dxa"/>
            <w:tcBorders/>
            <w:shd w:fill="CCEE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gold (ounces)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230,029</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261,827</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463,018</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504,455</w:t>
            </w:r>
          </w:p>
        </w:tc>
        <w:tc>
          <w:tcPr>
            <w:tcW w:w="188" w:type="dxa"/>
            <w:tcBorders/>
            <w:shd w:fill="FFFF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Silver (thousands of ounces):</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487</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482</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1,070</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1,200</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3</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654</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525</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1,240</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1,018</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23</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24</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45</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42</w:t>
            </w:r>
          </w:p>
        </w:tc>
        <w:tc>
          <w:tcPr>
            <w:tcW w:w="188" w:type="dxa"/>
            <w:tcBorders/>
            <w:shd w:fill="CCEE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Silver (thousands of ounces):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1,166</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1,031</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2,358</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2,260</w:t>
            </w:r>
          </w:p>
        </w:tc>
        <w:tc>
          <w:tcPr>
            <w:tcW w:w="188" w:type="dxa"/>
            <w:tcBorders/>
            <w:shd w:fill="FFFF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Zinc (LaRonde mine) (tonnes)</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5,280</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10,379</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12,279</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23,411</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Copper (LaRonde mine) (tonnes)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1,291</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1,085</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2,358</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2,378</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Total cash costs per ounce of gold produced (US$)</w:t>
            </w:r>
            <w:r>
              <w:rPr>
                <w:rFonts w:ascii="times" w:hAnsi="times"/>
                <w:b/>
                <w:position w:val="7"/>
                <w:sz w:val="16"/>
                <w:sz w:val="20"/>
              </w:rPr>
              <w:t>(iv)</w:t>
            </w:r>
            <w:r>
              <w:rPr>
                <w:rFonts w:ascii="times" w:hAnsi="times"/>
                <w:b/>
                <w:sz w:val="20"/>
              </w:rPr>
              <w:t>:</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927</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784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831</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489</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720</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634</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699</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650</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w:t>
            </w:r>
            <w:r>
              <w:rPr>
                <w:rFonts w:ascii="times" w:hAnsi="times"/>
                <w:position w:val="7"/>
                <w:sz w:val="16"/>
                <w:sz w:val="20"/>
              </w:rPr>
              <w:t>(v)</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681</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624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615</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w:t>
            </w:r>
            <w:r>
              <w:rPr>
                <w:rFonts w:ascii="times" w:hAnsi="times"/>
                <w:position w:val="7"/>
                <w:sz w:val="16"/>
                <w:sz w:val="20"/>
              </w:rPr>
              <w:t>(ii)</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496</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358</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411</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320</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Meadowbank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912</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804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sz w:val="20"/>
              </w:rPr>
            </w:pPr>
            <w:r>
              <w:rPr>
                <w:rFonts w:ascii="times" w:hAnsi="times"/>
                <w:sz w:val="20"/>
              </w:rPr>
              <w:t>986</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901</w:t>
            </w:r>
          </w:p>
        </w:tc>
        <w:tc>
          <w:tcPr>
            <w:tcW w:w="188" w:type="dxa"/>
            <w:tcBorders/>
            <w:shd w:fill="FFFF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Weighted average total cash costs per ounce of gold produced</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785</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660</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75" w:type="dxa"/>
            <w:tcBorders/>
            <w:shd w:fill="CCEEFF" w:val="clear"/>
            <w:vAlign w:val="bottom"/>
          </w:tcPr>
          <w:p>
            <w:pPr>
              <w:pStyle w:val="TableContents"/>
              <w:spacing w:before="0" w:after="283"/>
              <w:jc w:val="right"/>
              <w:rPr>
                <w:rFonts w:ascii="times" w:hAnsi="times"/>
                <w:sz w:val="20"/>
              </w:rPr>
            </w:pPr>
            <w:r>
              <w:rPr>
                <w:rFonts w:ascii="times" w:hAnsi="times"/>
                <w:sz w:val="20"/>
              </w:rPr>
              <w:t>762</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628</w:t>
            </w:r>
          </w:p>
        </w:tc>
        <w:tc>
          <w:tcPr>
            <w:tcW w:w="188" w:type="dxa"/>
            <w:tcBorders/>
            <w:shd w:fill="CCEE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Operating margin is calculated as revenues from mining operations less production costs. </w:t>
      </w:r>
    </w:p>
    <w:p>
      <w:pPr>
        <w:pStyle w:val="ListHeading"/>
        <w:spacing w:before="0" w:after="0"/>
        <w:rPr>
          <w:rFonts w:ascii="times" w:hAnsi="times"/>
          <w:sz w:val="14"/>
        </w:rPr>
      </w:pPr>
      <w:r>
        <w:rPr>
          <w:rFonts w:ascii="times" w:hAnsi="times"/>
          <w:sz w:val="14"/>
        </w:rPr>
        <w:t>(ii)</w:t>
      </w:r>
    </w:p>
    <w:p>
      <w:pPr>
        <w:pStyle w:val="ListContents"/>
        <w:spacing w:before="0" w:after="283"/>
        <w:rPr>
          <w:rFonts w:ascii="times" w:hAnsi="times"/>
          <w:sz w:val="14"/>
        </w:rPr>
      </w:pPr>
      <w:r>
        <w:rPr>
          <w:rFonts w:ascii="times" w:hAnsi="times"/>
          <w:sz w:val="14"/>
        </w:rPr>
        <w:t xml:space="preserve">Includes the Creston Mascota deposit at Pinos Altos, except for total cash costs per ounce of gold produced in the first quarter of 2013 due to the temporary suspension of active leaching at the Creston Mascota deposit at Pinos Altos between October 1, 2012 and March 13, 2013. </w:t>
      </w:r>
    </w:p>
    <w:p>
      <w:pPr>
        <w:pStyle w:val="ListHeading"/>
        <w:spacing w:before="0" w:after="0"/>
        <w:rPr>
          <w:rFonts w:ascii="times" w:hAnsi="times"/>
          <w:sz w:val="14"/>
        </w:rPr>
      </w:pPr>
      <w:r>
        <w:rPr>
          <w:rFonts w:ascii="times" w:hAnsi="times"/>
          <w:sz w:val="14"/>
        </w:rPr>
        <w:t>(iii)</w:t>
      </w:r>
    </w:p>
    <w:p>
      <w:pPr>
        <w:pStyle w:val="ListContents"/>
        <w:spacing w:before="0" w:after="283"/>
        <w:rPr>
          <w:rFonts w:ascii="times" w:hAnsi="times"/>
          <w:sz w:val="14"/>
        </w:rPr>
      </w:pPr>
      <w:r>
        <w:rPr>
          <w:rFonts w:ascii="times" w:hAnsi="times"/>
          <w:sz w:val="14"/>
        </w:rPr>
        <w:t xml:space="preserve">Payable production is the quantity of mineral produced during a period contained in products that are or will be sold by the Company, whether such products are sold during the period or held as inventory at the end of the period. </w:t>
      </w:r>
    </w:p>
    <w:p>
      <w:pPr>
        <w:pStyle w:val="ListHeading"/>
        <w:spacing w:before="0" w:after="0"/>
        <w:rPr>
          <w:rFonts w:ascii="times" w:hAnsi="times"/>
          <w:sz w:val="14"/>
        </w:rPr>
      </w:pPr>
      <w:r>
        <w:rPr>
          <w:rFonts w:ascii="times" w:hAnsi="times"/>
          <w:sz w:val="14"/>
        </w:rPr>
        <w:t>(iv)</w:t>
      </w:r>
    </w:p>
    <w:p>
      <w:pPr>
        <w:pStyle w:val="ListContents"/>
        <w:spacing w:before="0" w:after="283"/>
        <w:rPr>
          <w:rFonts w:ascii="times" w:hAnsi="times"/>
          <w:sz w:val="14"/>
        </w:rPr>
      </w:pPr>
      <w:r>
        <w:rPr>
          <w:rFonts w:ascii="times" w:hAnsi="times"/>
          <w:sz w:val="14"/>
        </w:rPr>
        <w:t xml:space="preserve">Total cash costs per ounce of gold produced is calculated net of silver, zinc, copper and other byproduct revenue credits. The weighted average total cash costs per ounce of gold produced is based on commercial production ounces. Total cash costs per ounce of gold produced is a non-GAAP measure that the Company uses to monitor the performance of its operations. See "Reconciliation of Production Costs to Total Cash Costs per Ounce of Gold Produced by Mine" contained herein for details. </w:t>
      </w:r>
    </w:p>
    <w:p>
      <w:pPr>
        <w:pStyle w:val="ListHeading"/>
        <w:spacing w:before="0" w:after="0"/>
        <w:rPr>
          <w:rFonts w:ascii="times" w:hAnsi="times"/>
          <w:sz w:val="14"/>
        </w:rPr>
      </w:pPr>
      <w:r>
        <w:rPr>
          <w:rFonts w:ascii="times" w:hAnsi="times"/>
          <w:sz w:val="14"/>
        </w:rPr>
        <w:t>(v)</w:t>
      </w:r>
    </w:p>
    <w:p>
      <w:pPr>
        <w:pStyle w:val="ListContents"/>
        <w:spacing w:before="0" w:after="283"/>
        <w:rPr>
          <w:rFonts w:ascii="times" w:hAnsi="times"/>
          <w:sz w:val="14"/>
        </w:rPr>
      </w:pPr>
      <w:r>
        <w:rPr>
          <w:rFonts w:ascii="times" w:hAnsi="times"/>
          <w:sz w:val="14"/>
        </w:rPr>
        <w:t xml:space="preserve">Excludes the Kittila mine's results for the second quarter of 2013. Due to scheduled maintenance, the Kittila mine only operated for 14 days during the second quarter of 2013. </w:t>
      </w:r>
    </w:p>
    <w:p>
      <w:pPr>
        <w:pStyle w:val="TextBody"/>
        <w:jc w:val="center"/>
        <w:rPr>
          <w:rFonts w:ascii="times" w:hAnsi="times"/>
          <w:sz w:val="20"/>
        </w:rPr>
      </w:pPr>
      <w:r>
        <w:rPr>
          <w:rFonts w:ascii="times" w:hAnsi="times"/>
          <w:sz w:val="20"/>
        </w:rPr>
        <w:t>18</w:t>
      </w:r>
    </w:p>
    <w:p>
      <w:pPr>
        <w:pStyle w:val="HorizontalLine"/>
        <w:pBdr>
          <w:bottom w:val="single" w:sz="20" w:space="0" w:color="808080"/>
        </w:pBdr>
        <w:rPr/>
      </w:pPr>
      <w:r>
        <w:rPr/>
      </w:r>
      <w:r>
        <w:br w:type="page"/>
      </w:r>
    </w:p>
    <w:p>
      <w:pPr>
        <w:pStyle w:val="TextBody"/>
        <w:jc w:val="center"/>
        <w:rPr>
          <w:rFonts w:ascii="times" w:hAnsi="times"/>
          <w:b/>
          <w:sz w:val="20"/>
        </w:rPr>
      </w:pPr>
      <w:bookmarkStart w:id="33" w:name="toc_fc72201_2"/>
      <w:bookmarkStart w:id="34" w:name="fc72201_agnico_eagle_mines_limited_sum__"/>
      <w:bookmarkStart w:id="35" w:name="page_fc72201_1_19"/>
      <w:bookmarkEnd w:id="33"/>
      <w:bookmarkEnd w:id="34"/>
      <w:bookmarkEnd w:id="35"/>
      <w:r>
        <w:rPr>
          <w:rFonts w:ascii="times" w:hAnsi="times"/>
          <w:b/>
          <w:sz w:val="20"/>
        </w:rPr>
        <w:br/>
        <w:t xml:space="preserve">AGNICO EAGLE MINES LIMITED </w:t>
        <w:br/>
        <w:br/>
        <w:t xml:space="preserve">SUMMARIZED QUARTERLY DATA </w:t>
        <w:br/>
        <w:br/>
        <w:t xml:space="preserve">(thousands of United States dollars, except where noted) </w:t>
      </w:r>
    </w:p>
    <w:tbl>
      <w:tblPr>
        <w:tblW w:w="5000" w:type="pct"/>
        <w:jc w:val="center"/>
        <w:tblInd w:w="0" w:type="dxa"/>
        <w:tblCellMar>
          <w:top w:w="0" w:type="dxa"/>
          <w:left w:w="0" w:type="dxa"/>
          <w:bottom w:w="0" w:type="dxa"/>
          <w:right w:w="0" w:type="dxa"/>
        </w:tblCellMar>
      </w:tblPr>
      <w:tblGrid>
        <w:gridCol w:w="2199"/>
        <w:gridCol w:w="131"/>
        <w:gridCol w:w="95"/>
        <w:gridCol w:w="902"/>
        <w:gridCol w:w="133"/>
        <w:gridCol w:w="95"/>
        <w:gridCol w:w="857"/>
        <w:gridCol w:w="133"/>
        <w:gridCol w:w="95"/>
        <w:gridCol w:w="658"/>
        <w:gridCol w:w="133"/>
        <w:gridCol w:w="95"/>
        <w:gridCol w:w="577"/>
        <w:gridCol w:w="133"/>
        <w:gridCol w:w="95"/>
        <w:gridCol w:w="902"/>
        <w:gridCol w:w="133"/>
        <w:gridCol w:w="95"/>
        <w:gridCol w:w="857"/>
        <w:gridCol w:w="133"/>
        <w:gridCol w:w="95"/>
        <w:gridCol w:w="658"/>
        <w:gridCol w:w="133"/>
        <w:gridCol w:w="95"/>
        <w:gridCol w:w="631"/>
        <w:gridCol w:w="142"/>
      </w:tblGrid>
      <w:tr>
        <w:trPr/>
        <w:tc>
          <w:tcPr>
            <w:tcW w:w="2199"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5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7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5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r>
      <w:tr>
        <w:trPr/>
        <w:tc>
          <w:tcPr>
            <w:tcW w:w="2199" w:type="dxa"/>
            <w:tcBorders/>
            <w:shd w:fill="auto" w:val="clear"/>
            <w:vAlign w:val="bottom"/>
          </w:tcPr>
          <w:p>
            <w:pPr>
              <w:pStyle w:val="TableHeading"/>
              <w:spacing w:before="0" w:after="283"/>
              <w:jc w:val="left"/>
              <w:rPr/>
            </w:pPr>
            <w:r>
              <w:rPr/>
              <w:t> </w:t>
            </w:r>
          </w:p>
        </w:tc>
        <w:tc>
          <w:tcPr>
            <w:tcW w:w="131" w:type="dxa"/>
            <w:tcBorders/>
            <w:shd w:fill="auto" w:val="clear"/>
            <w:vAlign w:val="bottom"/>
          </w:tcPr>
          <w:p>
            <w:pPr>
              <w:pStyle w:val="TableHeading"/>
              <w:suppressLineNumbers/>
              <w:spacing w:before="0" w:after="283"/>
              <w:jc w:val="center"/>
              <w:rPr/>
            </w:pPr>
            <w:r>
              <w:rPr/>
              <w:t> </w:t>
            </w:r>
          </w:p>
        </w:tc>
        <w:tc>
          <w:tcPr>
            <w:tcW w:w="7733" w:type="dxa"/>
            <w:gridSpan w:val="23"/>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Three Months Ended </w:t>
            </w:r>
          </w:p>
        </w:tc>
        <w:tc>
          <w:tcPr>
            <w:tcW w:w="142" w:type="dxa"/>
            <w:tcBorders/>
            <w:shd w:fill="auto" w:val="clear"/>
            <w:vAlign w:val="bottom"/>
          </w:tcPr>
          <w:p>
            <w:pPr>
              <w:pStyle w:val="TableHeading"/>
              <w:suppressLineNumbers/>
              <w:spacing w:before="0" w:after="283"/>
              <w:jc w:val="center"/>
              <w:rPr/>
            </w:pPr>
            <w:r>
              <w:rPr/>
              <w:t> </w:t>
            </w:r>
          </w:p>
        </w:tc>
      </w:tr>
      <w:tr>
        <w:trPr/>
        <w:tc>
          <w:tcPr>
            <w:tcW w:w="2199" w:type="dxa"/>
            <w:tcBorders/>
            <w:shd w:fill="auto" w:val="clear"/>
            <w:vAlign w:val="bottom"/>
          </w:tcPr>
          <w:p>
            <w:pPr>
              <w:pStyle w:val="TableHeading"/>
              <w:spacing w:before="0" w:after="283"/>
              <w:jc w:val="left"/>
              <w:rPr/>
            </w:pPr>
            <w:r>
              <w:rPr/>
              <w:t> </w:t>
            </w:r>
          </w:p>
        </w:tc>
        <w:tc>
          <w:tcPr>
            <w:tcW w:w="131" w:type="dxa"/>
            <w:tcBorders/>
            <w:shd w:fill="auto" w:val="clear"/>
            <w:vAlign w:val="bottom"/>
          </w:tcPr>
          <w:p>
            <w:pPr>
              <w:pStyle w:val="TableHeading"/>
              <w:suppressLineNumbers/>
              <w:spacing w:before="0" w:after="283"/>
              <w:jc w:val="center"/>
              <w:rPr/>
            </w:pPr>
            <w:r>
              <w:rPr/>
              <w:t> </w:t>
            </w:r>
          </w:p>
        </w:tc>
        <w:tc>
          <w:tcPr>
            <w:tcW w:w="9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2011 </w:t>
            </w:r>
          </w:p>
        </w:tc>
        <w:tc>
          <w:tcPr>
            <w:tcW w:w="133" w:type="dxa"/>
            <w:tcBorders/>
            <w:shd w:fill="auto" w:val="clear"/>
            <w:vAlign w:val="bottom"/>
          </w:tcPr>
          <w:p>
            <w:pPr>
              <w:pStyle w:val="TableHeading"/>
              <w:suppressLineNumbers/>
              <w:spacing w:before="0" w:after="283"/>
              <w:jc w:val="center"/>
              <w:rPr/>
            </w:pPr>
            <w:r>
              <w:rPr/>
              <w:t> </w:t>
            </w:r>
          </w:p>
        </w:tc>
        <w:tc>
          <w:tcPr>
            <w:tcW w:w="9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2011 </w:t>
            </w:r>
          </w:p>
        </w:tc>
        <w:tc>
          <w:tcPr>
            <w:tcW w:w="133" w:type="dxa"/>
            <w:tcBorders/>
            <w:shd w:fill="auto" w:val="clear"/>
            <w:vAlign w:val="bottom"/>
          </w:tcPr>
          <w:p>
            <w:pPr>
              <w:pStyle w:val="TableHeading"/>
              <w:suppressLineNumbers/>
              <w:spacing w:before="0" w:after="283"/>
              <w:jc w:val="center"/>
              <w:rPr/>
            </w:pPr>
            <w:r>
              <w:rPr/>
              <w:t> </w:t>
            </w:r>
          </w:p>
        </w:tc>
        <w:tc>
          <w:tcPr>
            <w:tcW w:w="75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67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9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9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75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2013 </w:t>
            </w:r>
          </w:p>
        </w:tc>
        <w:tc>
          <w:tcPr>
            <w:tcW w:w="133" w:type="dxa"/>
            <w:tcBorders/>
            <w:shd w:fill="auto" w:val="clear"/>
            <w:vAlign w:val="bottom"/>
          </w:tcPr>
          <w:p>
            <w:pPr>
              <w:pStyle w:val="TableHeading"/>
              <w:suppressLineNumbers/>
              <w:spacing w:before="0" w:after="283"/>
              <w:jc w:val="center"/>
              <w:rPr/>
            </w:pPr>
            <w:r>
              <w:rPr/>
              <w:t> </w:t>
            </w:r>
          </w:p>
        </w:tc>
        <w:tc>
          <w:tcPr>
            <w:tcW w:w="72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2013 </w:t>
            </w:r>
          </w:p>
        </w:tc>
        <w:tc>
          <w:tcPr>
            <w:tcW w:w="142" w:type="dxa"/>
            <w:tcBorders/>
            <w:shd w:fill="auto" w:val="clear"/>
            <w:vAlign w:val="bottom"/>
          </w:tcPr>
          <w:p>
            <w:pPr>
              <w:pStyle w:val="TableHeading"/>
              <w:suppressLineNumbers/>
              <w:spacing w:before="0" w:after="283"/>
              <w:jc w:val="center"/>
              <w:rPr/>
            </w:pPr>
            <w:r>
              <w:rPr/>
              <w:t> </w:t>
            </w:r>
          </w:p>
        </w:tc>
      </w:tr>
      <w:tr>
        <w:trPr/>
        <w:tc>
          <w:tcPr>
            <w:tcW w:w="219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Operating margin:</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Revenues from mining operations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520,537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455,503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472,934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459,561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535,836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449,383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420,422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336,424</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Production costs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237,190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227,567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215,035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219,906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220,408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242,363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230,053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225,951</w:t>
            </w:r>
          </w:p>
        </w:tc>
        <w:tc>
          <w:tcPr>
            <w:tcW w:w="142" w:type="dxa"/>
            <w:tcBorders/>
            <w:shd w:fill="CCEE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Total operating margin</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283,347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227,936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257,899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239,655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315,428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207,020</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190,369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110,473</w:t>
            </w:r>
          </w:p>
        </w:tc>
        <w:tc>
          <w:tcPr>
            <w:tcW w:w="142" w:type="dxa"/>
            <w:tcBorders/>
            <w:shd w:fill="FFFFFF" w:val="clear"/>
            <w:vAlign w:val="bottom"/>
          </w:tcPr>
          <w:p>
            <w:pPr>
              <w:pStyle w:val="TableContents"/>
              <w:spacing w:before="0" w:after="283"/>
              <w:rPr/>
            </w:pPr>
            <w:r>
              <w:rPr/>
              <w:t> </w:t>
            </w:r>
          </w:p>
        </w:tc>
      </w:tr>
      <w:tr>
        <w:trPr/>
        <w:tc>
          <w:tcPr>
            <w:tcW w:w="3327" w:type="dxa"/>
            <w:gridSpan w:val="4"/>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Operating margin by mine:</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59,081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34,581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63,266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29,342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45,625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35,363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33,295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14,372</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Goldex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48,974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24,677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Lapa mine</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28,286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23,736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27,677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26,222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25,723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20,755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21,788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16,643</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Kittila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34,751</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33,619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49,049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31,489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52,655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53,199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44,956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(112</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Pinos Altos mine</w:t>
            </w:r>
            <w:r>
              <w:rPr>
                <w:rFonts w:ascii="times" w:hAnsi="times"/>
                <w:position w:val="5"/>
                <w:sz w:val="11"/>
                <w:sz w:val="14"/>
              </w:rPr>
              <w:t>(i)</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65,777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67,111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69,135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79,887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87,167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61,533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53,827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47,188</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Meadowbank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46,478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44,212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48,772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72,715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104,258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36,170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36,503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32,382</w:t>
            </w:r>
          </w:p>
        </w:tc>
        <w:tc>
          <w:tcPr>
            <w:tcW w:w="142" w:type="dxa"/>
            <w:tcBorders/>
            <w:shd w:fill="CCEE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Total operating margin</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283,347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227,936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257,899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239,655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315,428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207,020</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190,369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110,473</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Amortization of property, plant and mine development</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67,104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73,513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64,553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66,310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68,318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72,680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70,071</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70,128</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Impairment Loss on Meadowbank mine</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907,681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Loss on Goldex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298,183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4,710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 corporate and other</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28,644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92,204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85,836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96,169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94,763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36,232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71,690</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63,805</w:t>
            </w:r>
          </w:p>
        </w:tc>
        <w:tc>
          <w:tcPr>
            <w:tcW w:w="142" w:type="dxa"/>
            <w:tcBorders/>
            <w:shd w:fill="FFFF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Income (loss) before income and mining taxes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(110,584</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(850,172</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107,510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77,176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152,347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98,108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48,608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(23,460</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Income and mining taxes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(28,970</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(248,742</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28,962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33,904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46,021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15,338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24,749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920</w:t>
            </w:r>
          </w:p>
        </w:tc>
        <w:tc>
          <w:tcPr>
            <w:tcW w:w="142" w:type="dxa"/>
            <w:tcBorders/>
            <w:shd w:fill="FFFF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 for the period</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(81,614</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(601,430</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78,548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43,272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106,326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82,770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23,859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(24,380</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Attributed to non-controlling interest</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(60</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Attributed to common shareholders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(81,614</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(601,370</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78,548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43,272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106,326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82,770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23,859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(24,380</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(loss) per share  basic (US$)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(0.48</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(3.53</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0.46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0.25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0.62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0.48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0.14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(0.14</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 per share  diluted (US$)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(0.48</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(3.53</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0.46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0.25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0.62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0.48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0.14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(0.14</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Cash flows: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operating activities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197,570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132,028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196,497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194,082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199,464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105,964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146,072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75,298</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used in investing activities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(247,772</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(306,583</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(88,908</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(68,619</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(121,837</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(96,792</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(141,479</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(218,282</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(used in) financing activities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29,106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244,461</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(132,078</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(29,258</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(55,406</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14,136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(69,504</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18,677</w:t>
            </w:r>
          </w:p>
        </w:tc>
        <w:tc>
          <w:tcPr>
            <w:tcW w:w="142"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Includes the Creston Mascota deposit at Pinos Altos. </w:t>
      </w:r>
    </w:p>
    <w:p>
      <w:pPr>
        <w:pStyle w:val="TextBody"/>
        <w:jc w:val="center"/>
        <w:rPr>
          <w:rFonts w:ascii="times" w:hAnsi="times"/>
          <w:sz w:val="20"/>
        </w:rPr>
      </w:pPr>
      <w:r>
        <w:rPr>
          <w:rFonts w:ascii="times" w:hAnsi="times"/>
          <w:sz w:val="20"/>
        </w:rPr>
        <w:t>19</w:t>
      </w:r>
    </w:p>
    <w:p>
      <w:pPr>
        <w:pStyle w:val="HorizontalLine"/>
        <w:pBdr>
          <w:bottom w:val="single" w:sz="20" w:space="0" w:color="808080"/>
        </w:pBdr>
        <w:rPr/>
      </w:pPr>
      <w:r>
        <w:rPr/>
      </w:r>
      <w:r>
        <w:br w:type="page"/>
      </w:r>
    </w:p>
    <w:p>
      <w:pPr>
        <w:pStyle w:val="TextBody"/>
        <w:jc w:val="center"/>
        <w:rPr>
          <w:rFonts w:ascii="times" w:hAnsi="times"/>
          <w:b/>
          <w:sz w:val="20"/>
        </w:rPr>
      </w:pPr>
      <w:bookmarkStart w:id="36" w:name="toc_fe72201_1"/>
      <w:bookmarkStart w:id="37" w:name="fe72201_agnico_eagle_mines_limited_con__"/>
      <w:bookmarkStart w:id="38" w:name="page_fe72201_1_20"/>
      <w:bookmarkEnd w:id="36"/>
      <w:bookmarkEnd w:id="37"/>
      <w:bookmarkEnd w:id="38"/>
      <w:r>
        <w:rPr>
          <w:rFonts w:ascii="times" w:hAnsi="times"/>
          <w:b/>
          <w:sz w:val="20"/>
        </w:rPr>
        <w:br/>
        <w:t xml:space="preserve">AGNICO EAGLE MINES LIMITED </w:t>
        <w:br/>
        <w:br/>
        <w:t xml:space="preserve">CONSOLIDATED BALANCE SHEETS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7336"/>
        <w:gridCol w:w="194"/>
        <w:gridCol w:w="134"/>
        <w:gridCol w:w="985"/>
        <w:gridCol w:w="194"/>
        <w:gridCol w:w="134"/>
        <w:gridCol w:w="1034"/>
        <w:gridCol w:w="194"/>
      </w:tblGrid>
      <w:tr>
        <w:trPr/>
        <w:tc>
          <w:tcPr>
            <w:tcW w:w="7336"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034"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r>
      <w:tr>
        <w:trPr/>
        <w:tc>
          <w:tcPr>
            <w:tcW w:w="7336" w:type="dxa"/>
            <w:tcBorders/>
            <w:shd w:fill="auto" w:val="clear"/>
            <w:vAlign w:val="bottom"/>
          </w:tcPr>
          <w:p>
            <w:pPr>
              <w:pStyle w:val="TableHeading"/>
              <w:spacing w:before="0" w:after="283"/>
              <w:jc w:val="left"/>
              <w:rPr/>
            </w:pPr>
            <w:r>
              <w:rPr/>
              <w:t> </w:t>
            </w:r>
          </w:p>
        </w:tc>
        <w:tc>
          <w:tcPr>
            <w:tcW w:w="194" w:type="dxa"/>
            <w:tcBorders/>
            <w:shd w:fill="auto" w:val="clear"/>
            <w:vAlign w:val="bottom"/>
          </w:tcPr>
          <w:p>
            <w:pPr>
              <w:pStyle w:val="TableHeading"/>
              <w:suppressLineNumbers/>
              <w:spacing w:before="0" w:after="283"/>
              <w:jc w:val="center"/>
              <w:rPr/>
            </w:pPr>
            <w:r>
              <w:rPr/>
              <w:t> </w:t>
            </w:r>
          </w:p>
        </w:tc>
        <w:tc>
          <w:tcPr>
            <w:tcW w:w="11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June 30,</w:t>
              <w:br/>
              <w:t xml:space="preserve">2013 </w:t>
            </w:r>
          </w:p>
        </w:tc>
        <w:tc>
          <w:tcPr>
            <w:tcW w:w="194" w:type="dxa"/>
            <w:tcBorders/>
            <w:shd w:fill="auto" w:val="clear"/>
            <w:vAlign w:val="bottom"/>
          </w:tcPr>
          <w:p>
            <w:pPr>
              <w:pStyle w:val="TableHeading"/>
              <w:suppressLineNumbers/>
              <w:spacing w:before="0" w:after="283"/>
              <w:jc w:val="center"/>
              <w:rPr/>
            </w:pPr>
            <w:r>
              <w:rPr/>
              <w:t> </w:t>
            </w:r>
          </w:p>
        </w:tc>
        <w:tc>
          <w:tcPr>
            <w:tcW w:w="11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December 31,</w:t>
              <w:br/>
              <w:t xml:space="preserve">2012 </w:t>
            </w:r>
          </w:p>
        </w:tc>
        <w:tc>
          <w:tcPr>
            <w:tcW w:w="194" w:type="dxa"/>
            <w:tcBorders/>
            <w:shd w:fill="auto" w:val="clear"/>
            <w:vAlign w:val="bottom"/>
          </w:tcPr>
          <w:p>
            <w:pPr>
              <w:pStyle w:val="TableHeading"/>
              <w:suppressLineNumbers/>
              <w:spacing w:before="0" w:after="283"/>
              <w:jc w:val="center"/>
              <w:rPr/>
            </w:pPr>
            <w:r>
              <w:rPr/>
              <w:t> </w:t>
            </w:r>
          </w:p>
        </w:tc>
      </w:tr>
      <w:tr>
        <w:trPr/>
        <w:tc>
          <w:tcPr>
            <w:tcW w:w="7336"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ASSETS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Current</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rPr/>
            </w:pPr>
            <w:r>
              <w:rPr/>
              <w:t> </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Cash and cash equivalents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107,379</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298,068</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Short-term investments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4,878</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8,490</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Restricted cash</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24,106</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25,450</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Trade receivables (note 4)</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60,001</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67,750</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Inventories: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Ore stockpiles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69,012</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52,342</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Concentrates and dore bars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59,646</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69,695</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Supplies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192,870</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222,630</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Income taxes recoverable</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21,804</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19,313</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Available-for-sale securities (notes 4 and 8)</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68,805</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44,719</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Fair value of derivative financial instruments (notes 4 and 10)</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7,135</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1,835</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Other current assets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115,242</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92,977</w:t>
            </w:r>
          </w:p>
        </w:tc>
        <w:tc>
          <w:tcPr>
            <w:tcW w:w="194" w:type="dxa"/>
            <w:tcBorders/>
            <w:shd w:fill="FFFF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current assets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730,878</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903,269</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Other assets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43,401</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55,838</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Goodwill (note 14)</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235,414</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229,279</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Property, plant and mine development (note 5)</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4,241,107</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4,067,456</w:t>
            </w:r>
          </w:p>
        </w:tc>
        <w:tc>
          <w:tcPr>
            <w:tcW w:w="194" w:type="dxa"/>
            <w:tcBorders/>
            <w:shd w:fill="FFFF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200" w:right="0" w:hanging="200"/>
              <w:rPr>
                <w:sz w:val="4"/>
                <w:szCs w:val="4"/>
              </w:rPr>
            </w:pPr>
            <w:r>
              <w:rPr>
                <w:sz w:val="4"/>
                <w:szCs w:val="4"/>
              </w:rPr>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5,250,800</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5,255,842</w:t>
            </w:r>
          </w:p>
        </w:tc>
        <w:tc>
          <w:tcPr>
            <w:tcW w:w="194" w:type="dxa"/>
            <w:tcBorders/>
            <w:shd w:fill="CCEE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240" w:after="283"/>
              <w:ind w:left="200" w:right="0" w:hanging="200"/>
              <w:rPr>
                <w:rFonts w:ascii="times" w:hAnsi="times"/>
                <w:b/>
                <w:sz w:val="20"/>
              </w:rPr>
            </w:pPr>
            <w:r>
              <w:rPr>
                <w:rFonts w:ascii="times" w:hAnsi="times"/>
                <w:b/>
                <w:sz w:val="20"/>
              </w:rPr>
              <w:t>LIABILITIES AND SHAREHOLDERS' EQUITY</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rPr/>
            </w:pPr>
            <w:r>
              <w:rPr/>
              <w:t> </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Current</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Accounts payable and accrued liabilities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207,539</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185,329</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Reclamation provision (note 13)</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11,022</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16,816</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Dividends payable</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37,905</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Interest payable (note 9)</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13,383</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13,602</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Income taxes payable</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4,445</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10,061</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Capital lease obligations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10,959</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12,955</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Fair value of derivative financial instruments (notes 4 and 10)</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1,968</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94" w:type="dxa"/>
            <w:tcBorders/>
            <w:shd w:fill="FFFF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current liabilities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249,316</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276,668</w:t>
            </w:r>
          </w:p>
        </w:tc>
        <w:tc>
          <w:tcPr>
            <w:tcW w:w="194" w:type="dxa"/>
            <w:tcBorders/>
            <w:shd w:fill="CCEE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Long-term debt (note 9)</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850,000</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830,000</w:t>
            </w:r>
          </w:p>
        </w:tc>
        <w:tc>
          <w:tcPr>
            <w:tcW w:w="194" w:type="dxa"/>
            <w:tcBorders/>
            <w:shd w:fill="FFFF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Reclamation provision and other liabilities</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119,894</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127,735</w:t>
            </w:r>
          </w:p>
        </w:tc>
        <w:tc>
          <w:tcPr>
            <w:tcW w:w="194" w:type="dxa"/>
            <w:tcBorders/>
            <w:shd w:fill="CCEE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Deferred income and mining tax liabilities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614,764</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611,227</w:t>
            </w:r>
          </w:p>
        </w:tc>
        <w:tc>
          <w:tcPr>
            <w:tcW w:w="194" w:type="dxa"/>
            <w:tcBorders/>
            <w:shd w:fill="FFFF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SHAREHOLDERS' EQUITY</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Common shares (note 6):</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rPr/>
            </w:pPr>
            <w:r>
              <w:rPr/>
              <w:t> </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rPr/>
            </w:pPr>
            <w:r>
              <w:rPr/>
              <w:t> </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Outstanding  173,311,379 common shares issued, less 396,685 shares held in trust</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3,265,068</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3,241,922</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Stock options (notes 6 and 7)</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163,835</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148,032</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Warrants (note 6)</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24,858</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24,858</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Contributed surplus</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15,665</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15,665</w:t>
            </w:r>
          </w:p>
        </w:tc>
        <w:tc>
          <w:tcPr>
            <w:tcW w:w="194" w:type="dxa"/>
            <w:tcBorders/>
            <w:shd w:fill="FFFFFF"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Retained earnings (deficit)</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(31,468</w:t>
            </w:r>
          </w:p>
        </w:tc>
        <w:tc>
          <w:tcPr>
            <w:tcW w:w="19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7,046</w:t>
            </w:r>
          </w:p>
        </w:tc>
        <w:tc>
          <w:tcPr>
            <w:tcW w:w="194" w:type="dxa"/>
            <w:tcBorders/>
            <w:shd w:fill="CCEEFF"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Accumulated other comprehensive loss (note 6)</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(21,132</w:t>
            </w:r>
          </w:p>
        </w:tc>
        <w:tc>
          <w:tcPr>
            <w:tcW w:w="19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34" w:type="dxa"/>
            <w:tcBorders/>
            <w:shd w:fill="FFFFFF" w:val="clear"/>
            <w:vAlign w:val="bottom"/>
          </w:tcPr>
          <w:p>
            <w:pPr>
              <w:pStyle w:val="TableContents"/>
              <w:spacing w:before="0" w:after="283"/>
              <w:rPr/>
            </w:pPr>
            <w:r>
              <w:rPr/>
              <w:t> </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(27,311</w:t>
            </w:r>
          </w:p>
        </w:tc>
        <w:tc>
          <w:tcPr>
            <w:tcW w:w="194"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shareholders' equity</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w:hAnsi="times"/>
                <w:b/>
                <w:sz w:val="20"/>
              </w:rPr>
            </w:pPr>
            <w:r>
              <w:rPr>
                <w:rFonts w:ascii="times" w:hAnsi="times"/>
                <w:b/>
                <w:sz w:val="20"/>
              </w:rPr>
              <w:t>3,416,826</w:t>
            </w:r>
          </w:p>
        </w:tc>
        <w:tc>
          <w:tcPr>
            <w:tcW w:w="19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34" w:type="dxa"/>
            <w:tcBorders/>
            <w:shd w:fill="CCEEFF" w:val="clear"/>
            <w:vAlign w:val="bottom"/>
          </w:tcPr>
          <w:p>
            <w:pPr>
              <w:pStyle w:val="TableContents"/>
              <w:spacing w:before="0" w:after="283"/>
              <w:jc w:val="right"/>
              <w:rPr>
                <w:rFonts w:ascii="times" w:hAnsi="times"/>
                <w:sz w:val="20"/>
              </w:rPr>
            </w:pPr>
            <w:r>
              <w:rPr>
                <w:rFonts w:ascii="times" w:hAnsi="times"/>
                <w:sz w:val="20"/>
              </w:rPr>
              <w:t>3,410,212</w:t>
            </w:r>
          </w:p>
        </w:tc>
        <w:tc>
          <w:tcPr>
            <w:tcW w:w="194" w:type="dxa"/>
            <w:tcBorders/>
            <w:shd w:fill="CCEE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7336" w:type="dxa"/>
            <w:tcBorders/>
            <w:shd w:fill="FFFFFF" w:val="clear"/>
            <w:vAlign w:val="bottom"/>
          </w:tcPr>
          <w:p>
            <w:pPr>
              <w:pStyle w:val="TableContents"/>
              <w:spacing w:before="0" w:after="283"/>
              <w:ind w:left="200" w:right="0" w:hanging="200"/>
              <w:rPr>
                <w:sz w:val="4"/>
                <w:szCs w:val="4"/>
              </w:rPr>
            </w:pPr>
            <w:r>
              <w:rPr>
                <w:sz w:val="4"/>
                <w:szCs w:val="4"/>
              </w:rPr>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85" w:type="dxa"/>
            <w:tcBorders/>
            <w:shd w:fill="FFFFFF" w:val="clear"/>
            <w:vAlign w:val="bottom"/>
          </w:tcPr>
          <w:p>
            <w:pPr>
              <w:pStyle w:val="TableContents"/>
              <w:spacing w:before="0" w:after="283"/>
              <w:jc w:val="right"/>
              <w:rPr>
                <w:rFonts w:ascii="times" w:hAnsi="times"/>
                <w:b/>
                <w:sz w:val="20"/>
              </w:rPr>
            </w:pPr>
            <w:r>
              <w:rPr>
                <w:rFonts w:ascii="times" w:hAnsi="times"/>
                <w:b/>
                <w:sz w:val="20"/>
              </w:rPr>
              <w:t>5,250,800</w:t>
            </w:r>
          </w:p>
        </w:tc>
        <w:tc>
          <w:tcPr>
            <w:tcW w:w="194"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034" w:type="dxa"/>
            <w:tcBorders/>
            <w:shd w:fill="FFFFFF" w:val="clear"/>
            <w:vAlign w:val="bottom"/>
          </w:tcPr>
          <w:p>
            <w:pPr>
              <w:pStyle w:val="TableContents"/>
              <w:spacing w:before="0" w:after="283"/>
              <w:jc w:val="right"/>
              <w:rPr>
                <w:rFonts w:ascii="times" w:hAnsi="times"/>
                <w:sz w:val="20"/>
              </w:rPr>
            </w:pPr>
            <w:r>
              <w:rPr>
                <w:rFonts w:ascii="times" w:hAnsi="times"/>
                <w:sz w:val="20"/>
              </w:rPr>
              <w:t>5,255,842</w:t>
            </w:r>
          </w:p>
        </w:tc>
        <w:tc>
          <w:tcPr>
            <w:tcW w:w="194" w:type="dxa"/>
            <w:tcBorders/>
            <w:shd w:fill="FFFFFF" w:val="clear"/>
            <w:vAlign w:val="bottom"/>
          </w:tcPr>
          <w:p>
            <w:pPr>
              <w:pStyle w:val="TableContents"/>
              <w:spacing w:before="0" w:after="283"/>
              <w:rPr/>
            </w:pPr>
            <w:r>
              <w:rPr/>
              <w:t> </w:t>
            </w:r>
          </w:p>
        </w:tc>
      </w:tr>
      <w:tr>
        <w:trPr/>
        <w:tc>
          <w:tcPr>
            <w:tcW w:w="733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1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1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20</w:t>
      </w:r>
    </w:p>
    <w:p>
      <w:pPr>
        <w:pStyle w:val="HorizontalLine"/>
        <w:pBdr>
          <w:bottom w:val="single" w:sz="20" w:space="0" w:color="808080"/>
        </w:pBdr>
        <w:rPr/>
      </w:pPr>
      <w:r>
        <w:rPr/>
      </w:r>
      <w:r>
        <w:br w:type="page"/>
      </w:r>
    </w:p>
    <w:p>
      <w:pPr>
        <w:pStyle w:val="TextBody"/>
        <w:jc w:val="center"/>
        <w:rPr>
          <w:rFonts w:ascii="times" w:hAnsi="times"/>
          <w:b/>
          <w:sz w:val="20"/>
        </w:rPr>
      </w:pPr>
      <w:bookmarkStart w:id="39" w:name="toc_fe72201_2"/>
      <w:bookmarkStart w:id="40" w:name="fe72201_agnico_eagle_mines_limited_con__"/>
      <w:bookmarkStart w:id="41" w:name="page_fe72201_1_21"/>
      <w:bookmarkEnd w:id="39"/>
      <w:bookmarkEnd w:id="40"/>
      <w:bookmarkEnd w:id="41"/>
      <w:r>
        <w:rPr>
          <w:rFonts w:ascii="times" w:hAnsi="times"/>
          <w:b/>
          <w:sz w:val="20"/>
        </w:rPr>
        <w:br/>
        <w:t xml:space="preserve">AGNICO EAGLE MINES LIMITED </w:t>
        <w:br/>
        <w:br/>
        <w:t xml:space="preserve">CONSOLIDATED STATEMENTS OF INCOME (LOSS) AND COMPREHENSIVE INCOME (LOSS) </w:t>
        <w:br/>
        <w:br/>
        <w:t>(thousands of United States dollars, except share and per share amounts, US GAAP basis)</w:t>
        <w:br/>
        <w:t xml:space="preserve">(Unaudited) </w:t>
      </w:r>
    </w:p>
    <w:tbl>
      <w:tblPr>
        <w:tblW w:w="5000" w:type="pct"/>
        <w:jc w:val="center"/>
        <w:tblInd w:w="0" w:type="dxa"/>
        <w:tblCellMar>
          <w:top w:w="0" w:type="dxa"/>
          <w:left w:w="0" w:type="dxa"/>
          <w:bottom w:w="0" w:type="dxa"/>
          <w:right w:w="0" w:type="dxa"/>
        </w:tblCellMar>
      </w:tblPr>
      <w:tblGrid>
        <w:gridCol w:w="5889"/>
        <w:gridCol w:w="158"/>
        <w:gridCol w:w="125"/>
        <w:gridCol w:w="752"/>
        <w:gridCol w:w="161"/>
        <w:gridCol w:w="125"/>
        <w:gridCol w:w="752"/>
        <w:gridCol w:w="161"/>
        <w:gridCol w:w="125"/>
        <w:gridCol w:w="752"/>
        <w:gridCol w:w="160"/>
        <w:gridCol w:w="125"/>
        <w:gridCol w:w="752"/>
        <w:gridCol w:w="168"/>
      </w:tblGrid>
      <w:tr>
        <w:trPr/>
        <w:tc>
          <w:tcPr>
            <w:tcW w:w="5889"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2"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2"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2"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2"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r>
      <w:tr>
        <w:trPr/>
        <w:tc>
          <w:tcPr>
            <w:tcW w:w="5889" w:type="dxa"/>
            <w:tcBorders/>
            <w:shd w:fill="auto" w:val="clear"/>
            <w:vAlign w:val="bottom"/>
          </w:tcPr>
          <w:p>
            <w:pPr>
              <w:pStyle w:val="TableHeading"/>
              <w:spacing w:before="0" w:after="283"/>
              <w:jc w:val="left"/>
              <w:rPr/>
            </w:pPr>
            <w:r>
              <w:rPr/>
              <w:t> </w:t>
            </w:r>
          </w:p>
        </w:tc>
        <w:tc>
          <w:tcPr>
            <w:tcW w:w="158" w:type="dxa"/>
            <w:tcBorders/>
            <w:shd w:fill="auto" w:val="clear"/>
            <w:vAlign w:val="bottom"/>
          </w:tcPr>
          <w:p>
            <w:pPr>
              <w:pStyle w:val="TableHeading"/>
              <w:suppressLineNumbers/>
              <w:spacing w:before="0" w:after="283"/>
              <w:jc w:val="center"/>
              <w:rPr/>
            </w:pPr>
            <w:r>
              <w:rPr/>
              <w:t> </w:t>
            </w:r>
          </w:p>
        </w:tc>
        <w:tc>
          <w:tcPr>
            <w:tcW w:w="191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w:t>
            </w:r>
          </w:p>
        </w:tc>
        <w:tc>
          <w:tcPr>
            <w:tcW w:w="161" w:type="dxa"/>
            <w:tcBorders/>
            <w:shd w:fill="auto" w:val="clear"/>
            <w:vAlign w:val="bottom"/>
          </w:tcPr>
          <w:p>
            <w:pPr>
              <w:pStyle w:val="TableHeading"/>
              <w:suppressLineNumbers/>
              <w:spacing w:before="0" w:after="283"/>
              <w:jc w:val="center"/>
              <w:rPr/>
            </w:pPr>
            <w:r>
              <w:rPr/>
              <w:t> </w:t>
            </w:r>
          </w:p>
        </w:tc>
        <w:tc>
          <w:tcPr>
            <w:tcW w:w="1914"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168" w:type="dxa"/>
            <w:tcBorders/>
            <w:shd w:fill="auto" w:val="clear"/>
            <w:vAlign w:val="bottom"/>
          </w:tcPr>
          <w:p>
            <w:pPr>
              <w:pStyle w:val="TableHeading"/>
              <w:suppressLineNumbers/>
              <w:spacing w:before="0" w:after="283"/>
              <w:jc w:val="center"/>
              <w:rPr/>
            </w:pPr>
            <w:r>
              <w:rPr/>
              <w:t> </w:t>
            </w:r>
          </w:p>
        </w:tc>
      </w:tr>
      <w:tr>
        <w:trPr/>
        <w:tc>
          <w:tcPr>
            <w:tcW w:w="5889" w:type="dxa"/>
            <w:tcBorders/>
            <w:shd w:fill="auto" w:val="clear"/>
            <w:vAlign w:val="bottom"/>
          </w:tcPr>
          <w:p>
            <w:pPr>
              <w:pStyle w:val="TableHeading"/>
              <w:spacing w:before="0" w:after="283"/>
              <w:jc w:val="left"/>
              <w:rPr/>
            </w:pPr>
            <w:r>
              <w:rPr/>
              <w:t> </w:t>
            </w:r>
          </w:p>
        </w:tc>
        <w:tc>
          <w:tcPr>
            <w:tcW w:w="158" w:type="dxa"/>
            <w:tcBorders/>
            <w:shd w:fill="auto" w:val="clear"/>
            <w:vAlign w:val="bottom"/>
          </w:tcPr>
          <w:p>
            <w:pPr>
              <w:pStyle w:val="TableHeading"/>
              <w:suppressLineNumbers/>
              <w:spacing w:before="0" w:after="283"/>
              <w:jc w:val="center"/>
              <w:rPr/>
            </w:pPr>
            <w:r>
              <w:rPr/>
              <w:t> </w:t>
            </w:r>
          </w:p>
        </w:tc>
        <w:tc>
          <w:tcPr>
            <w:tcW w:w="87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61" w:type="dxa"/>
            <w:tcBorders/>
            <w:shd w:fill="auto" w:val="clear"/>
            <w:vAlign w:val="bottom"/>
          </w:tcPr>
          <w:p>
            <w:pPr>
              <w:pStyle w:val="TableHeading"/>
              <w:suppressLineNumbers/>
              <w:spacing w:before="0" w:after="283"/>
              <w:jc w:val="center"/>
              <w:rPr/>
            </w:pPr>
            <w:r>
              <w:rPr/>
              <w:t> </w:t>
            </w:r>
          </w:p>
        </w:tc>
        <w:tc>
          <w:tcPr>
            <w:tcW w:w="87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61" w:type="dxa"/>
            <w:tcBorders/>
            <w:shd w:fill="auto" w:val="clear"/>
            <w:vAlign w:val="bottom"/>
          </w:tcPr>
          <w:p>
            <w:pPr>
              <w:pStyle w:val="TableHeading"/>
              <w:suppressLineNumbers/>
              <w:spacing w:before="0" w:after="283"/>
              <w:jc w:val="center"/>
              <w:rPr/>
            </w:pPr>
            <w:r>
              <w:rPr/>
              <w:t> </w:t>
            </w:r>
          </w:p>
        </w:tc>
        <w:tc>
          <w:tcPr>
            <w:tcW w:w="87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60" w:type="dxa"/>
            <w:tcBorders/>
            <w:shd w:fill="auto" w:val="clear"/>
            <w:vAlign w:val="bottom"/>
          </w:tcPr>
          <w:p>
            <w:pPr>
              <w:pStyle w:val="TableHeading"/>
              <w:suppressLineNumbers/>
              <w:spacing w:before="0" w:after="283"/>
              <w:jc w:val="center"/>
              <w:rPr/>
            </w:pPr>
            <w:r>
              <w:rPr/>
              <w:t> </w:t>
            </w:r>
          </w:p>
        </w:tc>
        <w:tc>
          <w:tcPr>
            <w:tcW w:w="87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68" w:type="dxa"/>
            <w:tcBorders/>
            <w:shd w:fill="auto" w:val="clear"/>
            <w:vAlign w:val="bottom"/>
          </w:tcPr>
          <w:p>
            <w:pPr>
              <w:pStyle w:val="TableHeading"/>
              <w:suppressLineNumbers/>
              <w:spacing w:before="0" w:after="283"/>
              <w:jc w:val="center"/>
              <w:rPr/>
            </w:pPr>
            <w:r>
              <w:rPr/>
              <w:t> </w:t>
            </w:r>
          </w:p>
        </w:tc>
      </w:tr>
      <w:tr>
        <w:trPr/>
        <w:tc>
          <w:tcPr>
            <w:tcW w:w="5889"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REVENUES</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Revenues from mining operations</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336,424</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459,561</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756,846</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932,495</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COSTS, EXPENSES AND OTHER INCOME</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Production</w:t>
            </w:r>
            <w:r>
              <w:rPr>
                <w:rFonts w:ascii="times" w:hAnsi="times"/>
                <w:position w:val="7"/>
                <w:sz w:val="16"/>
                <w:sz w:val="20"/>
              </w:rPr>
              <w:t>(1)</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225,951</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219,906</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456,004</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434,941</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Exploration and corporate development</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11,326</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34,286</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19,897</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57,394</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property, plant and mine development (note 5)</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70,128</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66,310</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140,199</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130,863</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General and administrative (note 15)</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28,385</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32,015</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65,705</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65,943</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Impairment loss on available-for-sale securities (note 8)</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17,313</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28,308</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Provincial capital tax</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(1,504</w:t>
            </w:r>
          </w:p>
        </w:tc>
        <w:tc>
          <w:tcPr>
            <w:tcW w:w="161"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4,001</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(1,504</w:t>
            </w:r>
          </w:p>
        </w:tc>
        <w:tc>
          <w:tcPr>
            <w:tcW w:w="16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4,001</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Interest expense (note 9)</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13,735</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14,220</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27,651</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28,667</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 and sundry expense (income)</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3,734</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23</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3,946</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(246</w:t>
            </w:r>
          </w:p>
        </w:tc>
        <w:tc>
          <w:tcPr>
            <w:tcW w:w="16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Loss (gain) on derivative financial instruments (notes 4 and 10)</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1,936</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4,321</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(1,046</w:t>
            </w:r>
          </w:p>
        </w:tc>
        <w:tc>
          <w:tcPr>
            <w:tcW w:w="16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3,426</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Loss on sale of available-for-sale securities (note 8)</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Foreign currency translation (gain) loss</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(11,120</w:t>
            </w:r>
          </w:p>
        </w:tc>
        <w:tc>
          <w:tcPr>
            <w:tcW w:w="161"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(11,009</w:t>
            </w:r>
          </w:p>
        </w:tc>
        <w:tc>
          <w:tcPr>
            <w:tcW w:w="16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(7,462</w:t>
            </w:r>
          </w:p>
        </w:tc>
        <w:tc>
          <w:tcPr>
            <w:tcW w:w="16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4,508</w:t>
            </w:r>
          </w:p>
        </w:tc>
        <w:tc>
          <w:tcPr>
            <w:tcW w:w="168" w:type="dxa"/>
            <w:tcBorders/>
            <w:shd w:fill="FFFF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(loss) before income and mining taxes</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(23,460</w:t>
            </w:r>
          </w:p>
        </w:tc>
        <w:tc>
          <w:tcPr>
            <w:tcW w:w="161"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77,176</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25,148</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184,686</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and mining taxes</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920</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33,904</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25,669</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62,866</w:t>
            </w:r>
          </w:p>
        </w:tc>
        <w:tc>
          <w:tcPr>
            <w:tcW w:w="168" w:type="dxa"/>
            <w:tcBorders/>
            <w:shd w:fill="FFFF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(24,380</w:t>
            </w:r>
          </w:p>
        </w:tc>
        <w:tc>
          <w:tcPr>
            <w:tcW w:w="161"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43,272</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(521</w:t>
            </w:r>
          </w:p>
        </w:tc>
        <w:tc>
          <w:tcPr>
            <w:tcW w:w="16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121,820</w:t>
            </w:r>
          </w:p>
        </w:tc>
        <w:tc>
          <w:tcPr>
            <w:tcW w:w="168" w:type="dxa"/>
            <w:tcBorders/>
            <w:shd w:fill="CCEE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per share  basic (note 6)</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(0.14</w:t>
            </w:r>
          </w:p>
        </w:tc>
        <w:tc>
          <w:tcPr>
            <w:tcW w:w="161"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0.25</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(0.00</w:t>
            </w:r>
          </w:p>
        </w:tc>
        <w:tc>
          <w:tcPr>
            <w:tcW w:w="16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0.71</w:t>
            </w:r>
          </w:p>
        </w:tc>
        <w:tc>
          <w:tcPr>
            <w:tcW w:w="168" w:type="dxa"/>
            <w:tcBorders/>
            <w:shd w:fill="FFFF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(loss) per share  diluted (note 6)</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(0.14</w:t>
            </w:r>
          </w:p>
        </w:tc>
        <w:tc>
          <w:tcPr>
            <w:tcW w:w="161"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0.25</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(0.00</w:t>
            </w:r>
          </w:p>
        </w:tc>
        <w:tc>
          <w:tcPr>
            <w:tcW w:w="16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0.71</w:t>
            </w:r>
          </w:p>
        </w:tc>
        <w:tc>
          <w:tcPr>
            <w:tcW w:w="168" w:type="dxa"/>
            <w:tcBorders/>
            <w:shd w:fill="CCEE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dividends declared per common share</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0.22</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0.20</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0.22</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0.40</w:t>
            </w:r>
          </w:p>
        </w:tc>
        <w:tc>
          <w:tcPr>
            <w:tcW w:w="168" w:type="dxa"/>
            <w:tcBorders/>
            <w:shd w:fill="FFFF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COMPREHENSIVE INCOME (LOSS)</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(loss) for the period</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(24,380</w:t>
            </w:r>
          </w:p>
        </w:tc>
        <w:tc>
          <w:tcPr>
            <w:tcW w:w="161"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43,272</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(521</w:t>
            </w:r>
          </w:p>
        </w:tc>
        <w:tc>
          <w:tcPr>
            <w:tcW w:w="16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121,820</w:t>
            </w:r>
          </w:p>
        </w:tc>
        <w:tc>
          <w:tcPr>
            <w:tcW w:w="168" w:type="dxa"/>
            <w:tcBorders/>
            <w:shd w:fill="FFFF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 comprehensive income (loss):</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Available-for-sale securities and other investments:</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Unrealized loss</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(20,802</w:t>
            </w:r>
          </w:p>
        </w:tc>
        <w:tc>
          <w:tcPr>
            <w:tcW w:w="161"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(22,058</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(20,975</w:t>
            </w:r>
          </w:p>
        </w:tc>
        <w:tc>
          <w:tcPr>
            <w:tcW w:w="16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(37,077</w:t>
            </w:r>
          </w:p>
        </w:tc>
        <w:tc>
          <w:tcPr>
            <w:tcW w:w="16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889"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Reclassification to impairment loss on avalable-for-sale securities (notes 4 and 8)</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17,313</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28,308</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Reclassification to realized loss on sale of avalable-for-sale securities (notes 4 and 8)</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Derivative financial instruments (notes 4 and 10):</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Unrealized (loss) gain</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(1,932</w:t>
            </w:r>
          </w:p>
        </w:tc>
        <w:tc>
          <w:tcPr>
            <w:tcW w:w="161"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(5,540</w:t>
            </w:r>
          </w:p>
        </w:tc>
        <w:tc>
          <w:tcPr>
            <w:tcW w:w="16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(1,851</w:t>
            </w:r>
          </w:p>
        </w:tc>
        <w:tc>
          <w:tcPr>
            <w:tcW w:w="16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1,734</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Reclassification to production costs</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527</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17</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Reclassification to interest expense</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10</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20</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Pension benefits:</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rPr/>
            </w:pPr>
            <w:r>
              <w:rPr/>
              <w:t> </w:t>
            </w:r>
          </w:p>
        </w:tc>
        <w:tc>
          <w:tcPr>
            <w:tcW w:w="168" w:type="dxa"/>
            <w:tcBorders/>
            <w:shd w:fill="FFFFFF"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Reclassification to general and administrative expense</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131</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1,379</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262</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1,603</w:t>
            </w:r>
          </w:p>
        </w:tc>
        <w:tc>
          <w:tcPr>
            <w:tcW w:w="168" w:type="dxa"/>
            <w:tcBorders/>
            <w:shd w:fill="CCEEFF"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Income tax impact of reclassification items</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(37</w:t>
            </w:r>
          </w:p>
        </w:tc>
        <w:tc>
          <w:tcPr>
            <w:tcW w:w="161"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(502</w:t>
            </w:r>
          </w:p>
        </w:tc>
        <w:tc>
          <w:tcPr>
            <w:tcW w:w="16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(74</w:t>
            </w:r>
          </w:p>
        </w:tc>
        <w:tc>
          <w:tcPr>
            <w:tcW w:w="16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(427</w:t>
            </w:r>
          </w:p>
        </w:tc>
        <w:tc>
          <w:tcPr>
            <w:tcW w:w="16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88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Income tax impact of other comprehensive income (loss) items</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508</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1,196</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489</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(723</w:t>
            </w:r>
          </w:p>
        </w:tc>
        <w:tc>
          <w:tcPr>
            <w:tcW w:w="168"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Other comprehensive income (loss) for the period</w:t>
            </w:r>
          </w:p>
        </w:tc>
        <w:tc>
          <w:tcPr>
            <w:tcW w:w="15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(4,809</w:t>
            </w:r>
          </w:p>
        </w:tc>
        <w:tc>
          <w:tcPr>
            <w:tcW w:w="161"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(6,686</w:t>
            </w:r>
          </w:p>
        </w:tc>
        <w:tc>
          <w:tcPr>
            <w:tcW w:w="16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b/>
                <w:sz w:val="20"/>
              </w:rPr>
            </w:pPr>
            <w:r>
              <w:rPr>
                <w:rFonts w:ascii="times" w:hAnsi="times"/>
                <w:b/>
                <w:sz w:val="20"/>
              </w:rPr>
              <w:t>6,179</w:t>
            </w:r>
          </w:p>
        </w:tc>
        <w:tc>
          <w:tcPr>
            <w:tcW w:w="160"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20"/>
              </w:rPr>
            </w:pPr>
            <w:r>
              <w:rPr>
                <w:rFonts w:ascii="times" w:hAnsi="times"/>
                <w:sz w:val="20"/>
              </w:rPr>
              <w:t>(16,561</w:t>
            </w:r>
          </w:p>
        </w:tc>
        <w:tc>
          <w:tcPr>
            <w:tcW w:w="16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r>
        <w:trPr/>
        <w:tc>
          <w:tcPr>
            <w:tcW w:w="588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Comprehensive income (loss) for the period</w:t>
            </w:r>
          </w:p>
        </w:tc>
        <w:tc>
          <w:tcPr>
            <w:tcW w:w="1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(29,189</w:t>
            </w:r>
          </w:p>
        </w:tc>
        <w:tc>
          <w:tcPr>
            <w:tcW w:w="161"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36,586</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2" w:type="dxa"/>
            <w:tcBorders/>
            <w:shd w:fill="CCEEFF" w:val="clear"/>
            <w:vAlign w:val="bottom"/>
          </w:tcPr>
          <w:p>
            <w:pPr>
              <w:pStyle w:val="TableContents"/>
              <w:spacing w:before="0" w:after="283"/>
              <w:jc w:val="right"/>
              <w:rPr>
                <w:rFonts w:ascii="times" w:hAnsi="times"/>
                <w:b/>
                <w:sz w:val="20"/>
              </w:rPr>
            </w:pPr>
            <w:r>
              <w:rPr>
                <w:rFonts w:ascii="times" w:hAnsi="times"/>
                <w:b/>
                <w:sz w:val="20"/>
              </w:rPr>
              <w:t>5,658</w:t>
            </w:r>
          </w:p>
        </w:tc>
        <w:tc>
          <w:tcPr>
            <w:tcW w:w="1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2" w:type="dxa"/>
            <w:tcBorders/>
            <w:shd w:fill="CCEEFF" w:val="clear"/>
            <w:vAlign w:val="bottom"/>
          </w:tcPr>
          <w:p>
            <w:pPr>
              <w:pStyle w:val="TableContents"/>
              <w:spacing w:before="0" w:after="283"/>
              <w:jc w:val="right"/>
              <w:rPr>
                <w:rFonts w:ascii="times" w:hAnsi="times"/>
                <w:sz w:val="20"/>
              </w:rPr>
            </w:pPr>
            <w:r>
              <w:rPr>
                <w:rFonts w:ascii="times" w:hAnsi="times"/>
                <w:sz w:val="20"/>
              </w:rPr>
              <w:t>105,259</w:t>
            </w:r>
          </w:p>
        </w:tc>
        <w:tc>
          <w:tcPr>
            <w:tcW w:w="168" w:type="dxa"/>
            <w:tcBorders/>
            <w:shd w:fill="CCEEFF" w:val="clear"/>
            <w:vAlign w:val="bottom"/>
          </w:tcPr>
          <w:p>
            <w:pPr>
              <w:pStyle w:val="TableContents"/>
              <w:spacing w:before="0" w:after="283"/>
              <w:rPr/>
            </w:pPr>
            <w:r>
              <w:rPr/>
              <w:t> </w:t>
            </w:r>
          </w:p>
        </w:tc>
      </w:tr>
      <w:tr>
        <w:trPr/>
        <w:tc>
          <w:tcPr>
            <w:tcW w:w="588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1"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0" w:type="dxa"/>
            <w:tcBorders/>
            <w:shd w:fill="auto" w:val="clear"/>
            <w:vAlign w:val="bottom"/>
          </w:tcPr>
          <w:p>
            <w:pPr>
              <w:pStyle w:val="TableContents"/>
              <w:spacing w:before="0" w:after="283"/>
              <w:rPr/>
            </w:pPr>
            <w:r>
              <w:rPr/>
              <w:t> </w:t>
            </w:r>
          </w:p>
        </w:tc>
        <w:tc>
          <w:tcPr>
            <w:tcW w:w="8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8"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(1)</w:t>
      </w:r>
    </w:p>
    <w:p>
      <w:pPr>
        <w:pStyle w:val="ListContents"/>
        <w:spacing w:before="0" w:after="283"/>
        <w:rPr>
          <w:rFonts w:ascii="times" w:hAnsi="times"/>
          <w:sz w:val="14"/>
        </w:rPr>
      </w:pPr>
      <w:r>
        <w:rPr>
          <w:rFonts w:ascii="times" w:hAnsi="times"/>
          <w:sz w:val="14"/>
        </w:rPr>
        <w:t xml:space="preserve">Exclusive of amortization shown separately. </w:t>
      </w:r>
    </w:p>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21</w:t>
      </w:r>
    </w:p>
    <w:p>
      <w:pPr>
        <w:pStyle w:val="HorizontalLine"/>
        <w:pBdr>
          <w:bottom w:val="single" w:sz="20" w:space="0" w:color="808080"/>
        </w:pBdr>
        <w:rPr/>
      </w:pPr>
      <w:r>
        <w:rPr/>
      </w:r>
      <w:r>
        <w:br w:type="page"/>
      </w:r>
    </w:p>
    <w:p>
      <w:pPr>
        <w:pStyle w:val="TextBody"/>
        <w:jc w:val="center"/>
        <w:rPr>
          <w:rFonts w:ascii="times" w:hAnsi="times"/>
          <w:b/>
          <w:sz w:val="20"/>
        </w:rPr>
      </w:pPr>
      <w:bookmarkStart w:id="42" w:name="toc_fg72201_1"/>
      <w:bookmarkStart w:id="43" w:name="fg72201_agnico_eagle_mines_limited_con__"/>
      <w:bookmarkStart w:id="44" w:name="page_fg72201_1_22"/>
      <w:bookmarkEnd w:id="42"/>
      <w:bookmarkEnd w:id="43"/>
      <w:bookmarkEnd w:id="44"/>
      <w:r>
        <w:rPr>
          <w:rFonts w:ascii="times" w:hAnsi="times"/>
          <w:b/>
          <w:sz w:val="20"/>
        </w:rPr>
        <w:br/>
        <w:t xml:space="preserve">AGNICO EAGLE MINES LIMITED </w:t>
        <w:br/>
        <w:br/>
        <w:t xml:space="preserve">CONSOLIDATED STATEMENTS OF SHAREHOLDERS' EQUITY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2736"/>
        <w:gridCol w:w="140"/>
        <w:gridCol w:w="60"/>
        <w:gridCol w:w="761"/>
        <w:gridCol w:w="142"/>
        <w:gridCol w:w="95"/>
        <w:gridCol w:w="661"/>
        <w:gridCol w:w="142"/>
        <w:gridCol w:w="95"/>
        <w:gridCol w:w="566"/>
        <w:gridCol w:w="142"/>
        <w:gridCol w:w="95"/>
        <w:gridCol w:w="570"/>
        <w:gridCol w:w="140"/>
        <w:gridCol w:w="95"/>
        <w:gridCol w:w="714"/>
        <w:gridCol w:w="140"/>
        <w:gridCol w:w="95"/>
        <w:gridCol w:w="601"/>
        <w:gridCol w:w="142"/>
        <w:gridCol w:w="95"/>
        <w:gridCol w:w="910"/>
        <w:gridCol w:w="142"/>
        <w:gridCol w:w="95"/>
        <w:gridCol w:w="680"/>
        <w:gridCol w:w="151"/>
      </w:tblGrid>
      <w:tr>
        <w:trPr/>
        <w:tc>
          <w:tcPr>
            <w:tcW w:w="2736"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61"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61"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7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10"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r>
      <w:tr>
        <w:trPr/>
        <w:tc>
          <w:tcPr>
            <w:tcW w:w="2736" w:type="dxa"/>
            <w:tcBorders/>
            <w:shd w:fill="auto" w:val="clear"/>
            <w:vAlign w:val="bottom"/>
          </w:tcPr>
          <w:p>
            <w:pPr>
              <w:pStyle w:val="TableHeading"/>
              <w:spacing w:before="0" w:after="283"/>
              <w:jc w:val="left"/>
              <w:rPr/>
            </w:pPr>
            <w:r>
              <w:rPr/>
              <w:t> </w:t>
            </w:r>
          </w:p>
        </w:tc>
        <w:tc>
          <w:tcPr>
            <w:tcW w:w="140" w:type="dxa"/>
            <w:vMerge w:val="restart"/>
            <w:tcBorders/>
            <w:shd w:fill="auto" w:val="clear"/>
            <w:vAlign w:val="bottom"/>
          </w:tcPr>
          <w:p>
            <w:pPr>
              <w:pStyle w:val="TableHeading"/>
              <w:suppressLineNumbers/>
              <w:spacing w:before="0" w:after="283"/>
              <w:jc w:val="center"/>
              <w:rPr/>
            </w:pPr>
            <w:r>
              <w:rPr/>
              <w:t> </w:t>
            </w:r>
          </w:p>
        </w:tc>
        <w:tc>
          <w:tcPr>
            <w:tcW w:w="1719" w:type="dxa"/>
            <w:gridSpan w:val="5"/>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Common Shares</w:t>
              <w:br/>
              <w:t xml:space="preserve">Oustanding </w:t>
            </w:r>
          </w:p>
        </w:tc>
        <w:tc>
          <w:tcPr>
            <w:tcW w:w="142" w:type="dxa"/>
            <w:tcBorders/>
            <w:shd w:fill="auto" w:val="clear"/>
            <w:vAlign w:val="bottom"/>
          </w:tcPr>
          <w:p>
            <w:pPr>
              <w:pStyle w:val="TableHeading"/>
              <w:suppressLineNumbers/>
              <w:spacing w:before="0" w:after="283"/>
              <w:jc w:val="center"/>
              <w:rPr/>
            </w:pPr>
            <w:r>
              <w:rPr/>
              <w:t> </w:t>
            </w:r>
          </w:p>
        </w:tc>
        <w:tc>
          <w:tcPr>
            <w:tcW w:w="661"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809"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696"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1005"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775" w:type="dxa"/>
            <w:gridSpan w:val="2"/>
            <w:tcBorders/>
            <w:shd w:fill="auto" w:val="clear"/>
            <w:vAlign w:val="bottom"/>
          </w:tcPr>
          <w:p>
            <w:pPr>
              <w:pStyle w:val="TableHeading"/>
              <w:spacing w:before="0" w:after="283"/>
              <w:jc w:val="left"/>
              <w:rPr/>
            </w:pPr>
            <w:r>
              <w:rPr/>
              <w:t> </w:t>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auto" w:val="clear"/>
            <w:vAlign w:val="bottom"/>
          </w:tcPr>
          <w:p>
            <w:pPr>
              <w:pStyle w:val="TableHeading"/>
              <w:spacing w:before="0" w:after="283"/>
              <w:jc w:val="left"/>
              <w:rPr/>
            </w:pPr>
            <w:r>
              <w:rPr/>
              <w:t> </w:t>
            </w:r>
          </w:p>
        </w:tc>
        <w:tc>
          <w:tcPr>
            <w:tcW w:w="140" w:type="dxa"/>
            <w:vMerge w:val="continue"/>
            <w:tcBorders/>
            <w:shd w:fill="auto" w:val="clear"/>
            <w:vAlign w:val="bottom"/>
          </w:tcPr>
          <w:p>
            <w:pPr>
              <w:pStyle w:val="Normal"/>
              <w:rPr/>
            </w:pPr>
            <w:r>
              <w:rPr/>
            </w:r>
          </w:p>
        </w:tc>
        <w:tc>
          <w:tcPr>
            <w:tcW w:w="1719" w:type="dxa"/>
            <w:gridSpan w:val="5"/>
            <w:vMerge w:val="continue"/>
            <w:tcBorders>
              <w:bottom w:val="single" w:sz="8" w:space="0" w:color="000000"/>
            </w:tcBorders>
            <w:shd w:fill="auto" w:val="clear"/>
            <w:tcMar>
              <w:bottom w:w="28" w:type="dxa"/>
            </w:tcMar>
            <w:vAlign w:val="bottom"/>
          </w:tcPr>
          <w:p>
            <w:pPr>
              <w:pStyle w:val="Normal"/>
              <w:rPr/>
            </w:pPr>
            <w:r>
              <w:rPr/>
            </w:r>
          </w:p>
        </w:tc>
        <w:tc>
          <w:tcPr>
            <w:tcW w:w="142" w:type="dxa"/>
            <w:tcBorders/>
            <w:shd w:fill="auto" w:val="clear"/>
            <w:vAlign w:val="bottom"/>
          </w:tcPr>
          <w:p>
            <w:pPr>
              <w:pStyle w:val="TableHeading"/>
              <w:suppressLineNumbers/>
              <w:spacing w:before="0" w:after="283"/>
              <w:jc w:val="center"/>
              <w:rPr/>
            </w:pPr>
            <w:r>
              <w:rPr/>
              <w:t> </w:t>
            </w:r>
          </w:p>
        </w:tc>
        <w:tc>
          <w:tcPr>
            <w:tcW w:w="661"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809"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696" w:type="dxa"/>
            <w:gridSpan w:val="2"/>
            <w:tcBorders/>
            <w:shd w:fill="auto" w:val="clear"/>
            <w:vAlign w:val="bottom"/>
          </w:tcPr>
          <w:p>
            <w:pPr>
              <w:pStyle w:val="TableHeading"/>
              <w:spacing w:before="0" w:after="283"/>
              <w:jc w:val="left"/>
              <w:rPr/>
            </w:pPr>
            <w:r>
              <w:rPr/>
              <w:t> </w:t>
            </w:r>
          </w:p>
        </w:tc>
        <w:tc>
          <w:tcPr>
            <w:tcW w:w="142" w:type="dxa"/>
            <w:vMerge w:val="restart"/>
            <w:tcBorders/>
            <w:shd w:fill="auto" w:val="clear"/>
            <w:vAlign w:val="bottom"/>
          </w:tcPr>
          <w:p>
            <w:pPr>
              <w:pStyle w:val="TableHeading"/>
              <w:suppressLineNumbers/>
              <w:spacing w:before="0" w:after="283"/>
              <w:jc w:val="center"/>
              <w:rPr/>
            </w:pPr>
            <w:r>
              <w:rPr/>
              <w:t> </w:t>
            </w:r>
          </w:p>
        </w:tc>
        <w:tc>
          <w:tcPr>
            <w:tcW w:w="1005"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Accumulated</w:t>
              <w:br/>
              <w:t>Other</w:t>
              <w:br/>
              <w:t>Comprehensive</w:t>
              <w:br/>
              <w:t xml:space="preserve">Loss </w:t>
            </w:r>
          </w:p>
        </w:tc>
        <w:tc>
          <w:tcPr>
            <w:tcW w:w="142" w:type="dxa"/>
            <w:tcBorders/>
            <w:shd w:fill="auto" w:val="clear"/>
            <w:vAlign w:val="bottom"/>
          </w:tcPr>
          <w:p>
            <w:pPr>
              <w:pStyle w:val="TableHeading"/>
              <w:suppressLineNumbers/>
              <w:spacing w:before="0" w:after="283"/>
              <w:jc w:val="center"/>
              <w:rPr/>
            </w:pPr>
            <w:r>
              <w:rPr/>
              <w:t> </w:t>
            </w:r>
          </w:p>
        </w:tc>
        <w:tc>
          <w:tcPr>
            <w:tcW w:w="775" w:type="dxa"/>
            <w:gridSpan w:val="2"/>
            <w:tcBorders/>
            <w:shd w:fill="auto" w:val="clear"/>
            <w:vAlign w:val="bottom"/>
          </w:tcPr>
          <w:p>
            <w:pPr>
              <w:pStyle w:val="TableHeading"/>
              <w:spacing w:before="0" w:after="283"/>
              <w:jc w:val="left"/>
              <w:rPr/>
            </w:pPr>
            <w:r>
              <w:rPr/>
              <w:t> </w:t>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auto" w:val="clear"/>
            <w:vAlign w:val="bottom"/>
          </w:tcPr>
          <w:p>
            <w:pPr>
              <w:pStyle w:val="TableHeading"/>
              <w:spacing w:before="0" w:after="283"/>
              <w:jc w:val="left"/>
              <w:rPr/>
            </w:pPr>
            <w:r>
              <w:rPr/>
              <w:t> </w:t>
            </w:r>
          </w:p>
        </w:tc>
        <w:tc>
          <w:tcPr>
            <w:tcW w:w="140" w:type="dxa"/>
            <w:vMerge w:val="continue"/>
            <w:tcBorders/>
            <w:shd w:fill="auto" w:val="clear"/>
            <w:vAlign w:val="bottom"/>
          </w:tcPr>
          <w:p>
            <w:pPr>
              <w:pStyle w:val="Normal"/>
              <w:rPr/>
            </w:pPr>
            <w:r>
              <w:rPr/>
            </w:r>
          </w:p>
        </w:tc>
        <w:tc>
          <w:tcPr>
            <w:tcW w:w="1719" w:type="dxa"/>
            <w:gridSpan w:val="5"/>
            <w:vMerge w:val="continue"/>
            <w:tcBorders>
              <w:bottom w:val="single" w:sz="8" w:space="0" w:color="000000"/>
            </w:tcBorders>
            <w:shd w:fill="auto" w:val="clear"/>
            <w:tcMar>
              <w:bottom w:w="28" w:type="dxa"/>
            </w:tcMar>
            <w:vAlign w:val="bottom"/>
          </w:tcPr>
          <w:p>
            <w:pPr>
              <w:pStyle w:val="Normal"/>
              <w:rPr/>
            </w:pPr>
            <w:r>
              <w:rPr/>
            </w:r>
          </w:p>
        </w:tc>
        <w:tc>
          <w:tcPr>
            <w:tcW w:w="142" w:type="dxa"/>
            <w:vMerge w:val="restart"/>
            <w:tcBorders/>
            <w:shd w:fill="auto" w:val="clear"/>
            <w:vAlign w:val="bottom"/>
          </w:tcPr>
          <w:p>
            <w:pPr>
              <w:pStyle w:val="TableHeading"/>
              <w:suppressLineNumbers/>
              <w:spacing w:before="0" w:after="283"/>
              <w:jc w:val="center"/>
              <w:rPr/>
            </w:pPr>
            <w:r>
              <w:rPr/>
              <w:t> </w:t>
            </w:r>
          </w:p>
        </w:tc>
        <w:tc>
          <w:tcPr>
            <w:tcW w:w="661"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Stock</w:t>
              <w:br/>
              <w:t xml:space="preserve">Options </w:t>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shd w:fill="auto" w:val="clear"/>
            <w:vAlign w:val="bottom"/>
          </w:tcPr>
          <w:p>
            <w:pPr>
              <w:pStyle w:val="TableHeading"/>
              <w:spacing w:before="0" w:after="283"/>
              <w:jc w:val="left"/>
              <w:rPr/>
            </w:pPr>
            <w:r>
              <w:rPr/>
              <w:t> </w:t>
            </w:r>
          </w:p>
        </w:tc>
        <w:tc>
          <w:tcPr>
            <w:tcW w:w="140" w:type="dxa"/>
            <w:vMerge w:val="restart"/>
            <w:tcBorders/>
            <w:shd w:fill="auto" w:val="clear"/>
            <w:vAlign w:val="bottom"/>
          </w:tcPr>
          <w:p>
            <w:pPr>
              <w:pStyle w:val="TableHeading"/>
              <w:suppressLineNumbers/>
              <w:spacing w:before="0" w:after="283"/>
              <w:jc w:val="center"/>
              <w:rPr/>
            </w:pPr>
            <w:r>
              <w:rPr/>
              <w:t> </w:t>
            </w:r>
          </w:p>
        </w:tc>
        <w:tc>
          <w:tcPr>
            <w:tcW w:w="809"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Contributed</w:t>
              <w:br/>
              <w:t xml:space="preserve">Surplus </w:t>
            </w:r>
          </w:p>
        </w:tc>
        <w:tc>
          <w:tcPr>
            <w:tcW w:w="140" w:type="dxa"/>
            <w:vMerge w:val="restart"/>
            <w:tcBorders/>
            <w:shd w:fill="auto" w:val="clear"/>
            <w:vAlign w:val="bottom"/>
          </w:tcPr>
          <w:p>
            <w:pPr>
              <w:pStyle w:val="TableHeading"/>
              <w:suppressLineNumbers/>
              <w:spacing w:before="0" w:after="283"/>
              <w:jc w:val="center"/>
              <w:rPr/>
            </w:pPr>
            <w:r>
              <w:rPr/>
              <w:t> </w:t>
            </w:r>
          </w:p>
        </w:tc>
        <w:tc>
          <w:tcPr>
            <w:tcW w:w="696"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Retained</w:t>
              <w:br/>
              <w:t>Earnings</w:t>
              <w:br/>
              <w:t xml:space="preserve">(Deficit) </w:t>
            </w:r>
          </w:p>
        </w:tc>
        <w:tc>
          <w:tcPr>
            <w:tcW w:w="142" w:type="dxa"/>
            <w:vMerge w:val="continue"/>
            <w:tcBorders/>
            <w:shd w:fill="auto" w:val="clear"/>
            <w:vAlign w:val="bottom"/>
          </w:tcPr>
          <w:p>
            <w:pPr>
              <w:pStyle w:val="Normal"/>
              <w:rPr/>
            </w:pPr>
            <w:r>
              <w:rPr/>
            </w:r>
          </w:p>
        </w:tc>
        <w:tc>
          <w:tcPr>
            <w:tcW w:w="1005"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vMerge w:val="restart"/>
            <w:tcBorders/>
            <w:shd w:fill="auto" w:val="clear"/>
            <w:vAlign w:val="bottom"/>
          </w:tcPr>
          <w:p>
            <w:pPr>
              <w:pStyle w:val="TableHeading"/>
              <w:suppressLineNumbers/>
              <w:spacing w:before="0" w:after="283"/>
              <w:jc w:val="center"/>
              <w:rPr/>
            </w:pPr>
            <w:r>
              <w:rPr/>
              <w:t> </w:t>
            </w:r>
          </w:p>
        </w:tc>
        <w:tc>
          <w:tcPr>
            <w:tcW w:w="775"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Non-</w:t>
              <w:br/>
              <w:t>Controlling</w:t>
              <w:br/>
              <w:t xml:space="preserve">Interest </w:t>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82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Shares </w:t>
            </w:r>
          </w:p>
        </w:tc>
        <w:tc>
          <w:tcPr>
            <w:tcW w:w="142" w:type="dxa"/>
            <w:tcBorders/>
            <w:shd w:fill="auto" w:val="clear"/>
            <w:vAlign w:val="bottom"/>
          </w:tcPr>
          <w:p>
            <w:pPr>
              <w:pStyle w:val="TableHeading"/>
              <w:suppressLineNumbers/>
              <w:spacing w:before="0" w:after="283"/>
              <w:jc w:val="center"/>
              <w:rPr/>
            </w:pPr>
            <w:r>
              <w:rPr/>
              <w:t> </w:t>
            </w:r>
          </w:p>
        </w:tc>
        <w:tc>
          <w:tcPr>
            <w:tcW w:w="75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Amount </w:t>
            </w:r>
          </w:p>
        </w:tc>
        <w:tc>
          <w:tcPr>
            <w:tcW w:w="142" w:type="dxa"/>
            <w:vMerge w:val="continue"/>
            <w:tcBorders/>
            <w:shd w:fill="auto" w:val="clear"/>
            <w:vAlign w:val="bottom"/>
          </w:tcPr>
          <w:p>
            <w:pPr>
              <w:pStyle w:val="Normal"/>
              <w:rPr/>
            </w:pPr>
            <w:r>
              <w:rPr/>
            </w:r>
          </w:p>
        </w:tc>
        <w:tc>
          <w:tcPr>
            <w:tcW w:w="661"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Warrants </w:t>
            </w:r>
          </w:p>
        </w:tc>
        <w:tc>
          <w:tcPr>
            <w:tcW w:w="140" w:type="dxa"/>
            <w:vMerge w:val="continue"/>
            <w:tcBorders/>
            <w:shd w:fill="auto" w:val="clear"/>
            <w:vAlign w:val="bottom"/>
          </w:tcPr>
          <w:p>
            <w:pPr>
              <w:pStyle w:val="Normal"/>
              <w:rPr/>
            </w:pPr>
            <w:r>
              <w:rPr/>
            </w:r>
          </w:p>
        </w:tc>
        <w:tc>
          <w:tcPr>
            <w:tcW w:w="809" w:type="dxa"/>
            <w:gridSpan w:val="2"/>
            <w:vMerge w:val="continue"/>
            <w:tcBorders>
              <w:bottom w:val="single" w:sz="8" w:space="0" w:color="000000"/>
            </w:tcBorders>
            <w:shd w:fill="auto" w:val="clear"/>
            <w:tcMar>
              <w:bottom w:w="28" w:type="dxa"/>
            </w:tcMar>
            <w:vAlign w:val="bottom"/>
          </w:tcPr>
          <w:p>
            <w:pPr>
              <w:pStyle w:val="Normal"/>
              <w:rPr/>
            </w:pPr>
            <w:r>
              <w:rPr/>
            </w:r>
          </w:p>
        </w:tc>
        <w:tc>
          <w:tcPr>
            <w:tcW w:w="140" w:type="dxa"/>
            <w:vMerge w:val="continue"/>
            <w:tcBorders/>
            <w:shd w:fill="auto" w:val="clear"/>
            <w:vAlign w:val="bottom"/>
          </w:tcPr>
          <w:p>
            <w:pPr>
              <w:pStyle w:val="Normal"/>
              <w:rPr/>
            </w:pPr>
            <w:r>
              <w:rPr/>
            </w:r>
          </w:p>
        </w:tc>
        <w:tc>
          <w:tcPr>
            <w:tcW w:w="696"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vMerge w:val="continue"/>
            <w:tcBorders/>
            <w:shd w:fill="auto" w:val="clear"/>
            <w:vAlign w:val="bottom"/>
          </w:tcPr>
          <w:p>
            <w:pPr>
              <w:pStyle w:val="Normal"/>
              <w:rPr/>
            </w:pPr>
            <w:r>
              <w:rPr/>
            </w:r>
          </w:p>
        </w:tc>
        <w:tc>
          <w:tcPr>
            <w:tcW w:w="1005"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vMerge w:val="continue"/>
            <w:tcBorders/>
            <w:shd w:fill="auto" w:val="clear"/>
            <w:vAlign w:val="bottom"/>
          </w:tcPr>
          <w:p>
            <w:pPr>
              <w:pStyle w:val="Normal"/>
              <w:rPr/>
            </w:pPr>
            <w:r>
              <w:rPr/>
            </w:r>
          </w:p>
        </w:tc>
        <w:tc>
          <w:tcPr>
            <w:tcW w:w="775" w:type="dxa"/>
            <w:gridSpan w:val="2"/>
            <w:vMerge w:val="continue"/>
            <w:tcBorders>
              <w:bottom w:val="single" w:sz="8" w:space="0" w:color="000000"/>
            </w:tcBorders>
            <w:shd w:fill="auto" w:val="clear"/>
            <w:tcMar>
              <w:bottom w:w="28" w:type="dxa"/>
            </w:tcMar>
            <w:vAlign w:val="bottom"/>
          </w:tcPr>
          <w:p>
            <w:pPr>
              <w:pStyle w:val="Normal"/>
              <w:rPr/>
            </w:pPr>
            <w:r>
              <w:rPr/>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CCEEFF" w:val="clear"/>
            <w:vAlign w:val="bottom"/>
          </w:tcPr>
          <w:p>
            <w:pPr>
              <w:pStyle w:val="TableContents"/>
              <w:spacing w:before="0" w:after="283"/>
              <w:ind w:left="140" w:right="0" w:hanging="140"/>
              <w:rPr>
                <w:rFonts w:ascii="times" w:hAnsi="times"/>
                <w:b/>
                <w:sz w:val="14"/>
              </w:rPr>
            </w:pPr>
            <w:r>
              <w:rPr>
                <w:rFonts w:ascii="times" w:hAnsi="times"/>
                <w:b/>
                <w:sz w:val="14"/>
              </w:rPr>
              <w:t>Balance December 31, 2011</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170,813,736</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3,181,381</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117,694</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24,858</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15,166</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(129,021</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(7,106</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12,191</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employee stock option plan (notes 6 and 7)</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15,250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677</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(126</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Stock options (notes 6 and 7)</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20,311</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incentive share purchase plan</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289,212</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10,590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Shares issued under dividend reinvestment plan</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210,378</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7,570</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for purchase of mining property (note 14)</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68,941</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2,447</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499</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Non-controlling interest eliminated upon acquisition (note 14)</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(12,191</w:t>
            </w:r>
          </w:p>
        </w:tc>
        <w:tc>
          <w:tcPr>
            <w:tcW w:w="151"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Net income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121,820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Dividends declared ($0.40 per share)</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(68,304</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Other comprehensive loss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(16,561</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Restricted share unit plan (note 6)</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(228,112</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(8,084</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b/>
                <w:sz w:val="14"/>
              </w:rPr>
            </w:pPr>
            <w:r>
              <w:rPr>
                <w:rFonts w:ascii="times" w:hAnsi="times"/>
                <w:b/>
                <w:sz w:val="14"/>
              </w:rPr>
              <w:t>Balance June 30, 2012</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171,169,405</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3,194,581</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137,879</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24,858</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15,665</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(75,505</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(23,667</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b/>
                <w:sz w:val="14"/>
              </w:rPr>
            </w:pPr>
            <w:r>
              <w:rPr>
                <w:rFonts w:ascii="times" w:hAnsi="times"/>
                <w:b/>
                <w:sz w:val="14"/>
              </w:rPr>
              <w:t>Balance December 31, 2012</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172,102,870</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3,241,922</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148,032</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24,858</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15,665</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7,046</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(27,311</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employee stock option plan (notes 6 and 7)</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213,500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9,765</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(3,292</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Stock options (notes 6 and 7)</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19,095</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incentive share purchase plan</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370,536</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11,742</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Shares issued under dividend reinvestment plan</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430,733</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14,456</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Net loss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(521</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Dividends declared ($0.22 per share)</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(38,150</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Other comprehensive income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6,179</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Restricted share unit plan (note 6)</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(202,945</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(12,817</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157</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b/>
                <w:sz w:val="14"/>
              </w:rPr>
            </w:pPr>
            <w:r>
              <w:rPr>
                <w:rFonts w:ascii="times" w:hAnsi="times"/>
                <w:b/>
                <w:sz w:val="14"/>
              </w:rPr>
              <w:t>Balance June 30, 2013</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172,914,694</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3,265,068</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163,835</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24,858</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15,665</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(31,468</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(21,132</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22</w:t>
      </w:r>
    </w:p>
    <w:p>
      <w:pPr>
        <w:pStyle w:val="HorizontalLine"/>
        <w:pBdr>
          <w:bottom w:val="single" w:sz="20" w:space="0" w:color="808080"/>
        </w:pBdr>
        <w:rPr/>
      </w:pPr>
      <w:r>
        <w:rPr/>
      </w:r>
      <w:r>
        <w:br w:type="page"/>
      </w:r>
    </w:p>
    <w:p>
      <w:pPr>
        <w:pStyle w:val="TextBody"/>
        <w:jc w:val="center"/>
        <w:rPr>
          <w:rFonts w:ascii="times" w:hAnsi="times"/>
          <w:b/>
          <w:sz w:val="20"/>
        </w:rPr>
      </w:pPr>
      <w:bookmarkStart w:id="45" w:name="toc_fg72201_2"/>
      <w:bookmarkStart w:id="46" w:name="fg72201_agnico_eagle_mines_limited_con__"/>
      <w:bookmarkStart w:id="47" w:name="page_fg72201_1_23"/>
      <w:bookmarkEnd w:id="45"/>
      <w:bookmarkEnd w:id="46"/>
      <w:bookmarkEnd w:id="47"/>
      <w:r>
        <w:rPr>
          <w:rFonts w:ascii="times" w:hAnsi="times"/>
          <w:b/>
          <w:sz w:val="20"/>
        </w:rPr>
        <w:br/>
        <w:t xml:space="preserve">AGNICO EAGLE MINES LIMITED </w:t>
        <w:br/>
        <w:br/>
        <w:t xml:space="preserve">CONSOLIDATED STATEMENTS OF CASH FLOWS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5609"/>
        <w:gridCol w:w="172"/>
        <w:gridCol w:w="125"/>
        <w:gridCol w:w="806"/>
        <w:gridCol w:w="173"/>
        <w:gridCol w:w="125"/>
        <w:gridCol w:w="806"/>
        <w:gridCol w:w="173"/>
        <w:gridCol w:w="125"/>
        <w:gridCol w:w="806"/>
        <w:gridCol w:w="173"/>
        <w:gridCol w:w="124"/>
        <w:gridCol w:w="806"/>
        <w:gridCol w:w="182"/>
      </w:tblGrid>
      <w:tr>
        <w:trPr/>
        <w:tc>
          <w:tcPr>
            <w:tcW w:w="5609"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r>
      <w:tr>
        <w:trPr/>
        <w:tc>
          <w:tcPr>
            <w:tcW w:w="5609" w:type="dxa"/>
            <w:tcBorders/>
            <w:shd w:fill="auto" w:val="clear"/>
            <w:vAlign w:val="bottom"/>
          </w:tcPr>
          <w:p>
            <w:pPr>
              <w:pStyle w:val="TableHeading"/>
              <w:spacing w:before="0" w:after="283"/>
              <w:jc w:val="left"/>
              <w:rPr/>
            </w:pPr>
            <w:r>
              <w:rPr/>
              <w:t> </w:t>
            </w:r>
          </w:p>
        </w:tc>
        <w:tc>
          <w:tcPr>
            <w:tcW w:w="172" w:type="dxa"/>
            <w:tcBorders/>
            <w:shd w:fill="auto" w:val="clear"/>
            <w:vAlign w:val="bottom"/>
          </w:tcPr>
          <w:p>
            <w:pPr>
              <w:pStyle w:val="TableHeading"/>
              <w:suppressLineNumbers/>
              <w:spacing w:before="0" w:after="283"/>
              <w:jc w:val="center"/>
              <w:rPr/>
            </w:pPr>
            <w:r>
              <w:rPr/>
              <w:t> </w:t>
            </w:r>
          </w:p>
        </w:tc>
        <w:tc>
          <w:tcPr>
            <w:tcW w:w="203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w:t>
            </w:r>
          </w:p>
        </w:tc>
        <w:tc>
          <w:tcPr>
            <w:tcW w:w="173" w:type="dxa"/>
            <w:tcBorders/>
            <w:shd w:fill="auto" w:val="clear"/>
            <w:vAlign w:val="bottom"/>
          </w:tcPr>
          <w:p>
            <w:pPr>
              <w:pStyle w:val="TableHeading"/>
              <w:suppressLineNumbers/>
              <w:spacing w:before="0" w:after="283"/>
              <w:jc w:val="center"/>
              <w:rPr/>
            </w:pPr>
            <w:r>
              <w:rPr/>
              <w:t> </w:t>
            </w:r>
          </w:p>
        </w:tc>
        <w:tc>
          <w:tcPr>
            <w:tcW w:w="2034"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182" w:type="dxa"/>
            <w:tcBorders/>
            <w:shd w:fill="auto" w:val="clear"/>
            <w:vAlign w:val="bottom"/>
          </w:tcPr>
          <w:p>
            <w:pPr>
              <w:pStyle w:val="TableHeading"/>
              <w:suppressLineNumbers/>
              <w:spacing w:before="0" w:after="283"/>
              <w:jc w:val="center"/>
              <w:rPr/>
            </w:pPr>
            <w:r>
              <w:rPr/>
              <w:t> </w:t>
            </w:r>
          </w:p>
        </w:tc>
      </w:tr>
      <w:tr>
        <w:trPr/>
        <w:tc>
          <w:tcPr>
            <w:tcW w:w="5609" w:type="dxa"/>
            <w:tcBorders/>
            <w:shd w:fill="auto" w:val="clear"/>
            <w:vAlign w:val="bottom"/>
          </w:tcPr>
          <w:p>
            <w:pPr>
              <w:pStyle w:val="TableHeading"/>
              <w:spacing w:before="0" w:after="283"/>
              <w:jc w:val="left"/>
              <w:rPr/>
            </w:pPr>
            <w:r>
              <w:rPr/>
              <w:t> </w:t>
            </w:r>
          </w:p>
        </w:tc>
        <w:tc>
          <w:tcPr>
            <w:tcW w:w="172"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73"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73"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73" w:type="dxa"/>
            <w:tcBorders/>
            <w:shd w:fill="auto" w:val="clear"/>
            <w:vAlign w:val="bottom"/>
          </w:tcPr>
          <w:p>
            <w:pPr>
              <w:pStyle w:val="TableHeading"/>
              <w:suppressLineNumbers/>
              <w:spacing w:before="0" w:after="283"/>
              <w:jc w:val="center"/>
              <w:rPr/>
            </w:pPr>
            <w:r>
              <w:rPr/>
              <w:t> </w:t>
            </w:r>
          </w:p>
        </w:tc>
        <w:tc>
          <w:tcPr>
            <w:tcW w:w="93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82" w:type="dxa"/>
            <w:tcBorders/>
            <w:shd w:fill="auto" w:val="clear"/>
            <w:vAlign w:val="bottom"/>
          </w:tcPr>
          <w:p>
            <w:pPr>
              <w:pStyle w:val="TableHeading"/>
              <w:suppressLineNumbers/>
              <w:spacing w:before="0" w:after="283"/>
              <w:jc w:val="center"/>
              <w:rPr/>
            </w:pPr>
            <w:r>
              <w:rPr/>
              <w:t> </w:t>
            </w:r>
          </w:p>
        </w:tc>
      </w:tr>
      <w:tr>
        <w:trPr/>
        <w:tc>
          <w:tcPr>
            <w:tcW w:w="5609" w:type="dxa"/>
            <w:tcBorders/>
            <w:shd w:fill="CCEEFF" w:val="clear"/>
            <w:vAlign w:val="bottom"/>
          </w:tcPr>
          <w:p>
            <w:pPr>
              <w:pStyle w:val="TableContents"/>
              <w:spacing w:before="0" w:after="283"/>
              <w:ind w:left="180" w:right="0" w:hanging="180"/>
              <w:rPr>
                <w:rFonts w:ascii="times" w:hAnsi="times"/>
                <w:b/>
                <w:sz w:val="20"/>
              </w:rPr>
            </w:pPr>
            <w:r>
              <w:rPr>
                <w:rFonts w:ascii="times" w:hAnsi="times"/>
                <w:b/>
                <w:sz w:val="20"/>
              </w:rPr>
              <w:t>OPERATING ACTIVITIES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Net income (loss) for the period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(24,380</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43,272</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(521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121,820</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Add (deduct) items not affecting cash:</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Amortization of property, plant and mine development (note 5)</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70,128</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66,310</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140,199</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130,863</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Deferred income and mining taxes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(562</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15,069</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6,464</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25,389</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Stock-based compensation (note 7)</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9,332</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11,296</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25,609</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27,068</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Loss on sale of available-for-sale securities (note 8)</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Impairment loss on available-for-sale securities (note 8)</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17,313</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28,308</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11,581</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Foreign currency translation (gain) loss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(11,120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(11,009</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(7,462</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4,508</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Other</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5,877</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4,811</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11,008</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7,610</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Adjustment for settlement of environmental remediation</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(2,990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(6,059</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(5,542</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(12,291</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Changes in non-cash working capital balances: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Trade receivables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10,525</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15,000</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7,749</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7</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Income taxes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(4,199</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24,013</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(8,107</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43,882</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Inventories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3,789</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(9,295</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31,781</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2,254</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Other current assets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(15,091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(8,955</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(20,856</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9,855</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Accounts payable and accrued liabilities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24,283</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41,209</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14,181</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11,357</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Interest payable</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(7,607</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(9,892</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(1,441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(55</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Cash provided by operating activities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75,298</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194,082</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221,370</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390,579</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240" w:after="283"/>
              <w:ind w:left="180" w:right="0" w:hanging="180"/>
              <w:rPr>
                <w:rFonts w:ascii="times" w:hAnsi="times"/>
                <w:b/>
                <w:sz w:val="20"/>
              </w:rPr>
            </w:pPr>
            <w:r>
              <w:rPr>
                <w:rFonts w:ascii="times" w:hAnsi="times"/>
                <w:b/>
                <w:sz w:val="20"/>
              </w:rPr>
              <w:t>INVESTING ACTIVITIES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Additions to property, plant and mine development (note 5)</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(171,773</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(104,368</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(302,407</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(180,363</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Acquisition of Urastar Gold Corporation, net (note 14)</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(10,051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(10,051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Acquisition of Grayd Resource Corporation (note 14)</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(9,322</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Decrease in short-term investments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2,308</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2,983</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3,612</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3,562</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Net proceeds from sale of available-for-sale securities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30,732</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30,732</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Purchase of available-for-sale securities and warrants (note 8)</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(39,584</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(52,259</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(2,003</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Decrease (increase) in restricted cash</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818</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2,034</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1,344</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(133</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Cash used in investing activities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(218,282</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(68,619</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(359,761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(157,527</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240" w:after="283"/>
              <w:ind w:left="180" w:right="0" w:hanging="180"/>
              <w:rPr>
                <w:rFonts w:ascii="times" w:hAnsi="times"/>
                <w:b/>
                <w:sz w:val="20"/>
              </w:rPr>
            </w:pPr>
            <w:r>
              <w:rPr>
                <w:rFonts w:ascii="times" w:hAnsi="times"/>
                <w:b/>
                <w:sz w:val="20"/>
              </w:rPr>
              <w:t>FINANCING ACTIVITIES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Dividends paid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(31,759</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(30,283</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(61,649</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(60,798</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Repayment of capital lease obligations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(3,509</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(2,744</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(6,062</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(5,856</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Proceeds from long-term debt (note 9)</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50,000</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255,000</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90,000</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255,000</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Repayment of long-term debt (note 9)</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(255,000</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(70,000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(345,000</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Long-term debt financing costs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(327</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(327</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Repurchase of common shares for restricted share unit plan (note 6)</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(19,000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(12,031</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Common shares issued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3,945</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4,096</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15,884</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7,676</w:t>
            </w:r>
          </w:p>
        </w:tc>
        <w:tc>
          <w:tcPr>
            <w:tcW w:w="182" w:type="dxa"/>
            <w:tcBorders/>
            <w:shd w:fill="FFFF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Cash provided by (used in) financing activities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18,677</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(29,258</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(50,827</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(161,336</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b/>
                <w:sz w:val="20"/>
              </w:rPr>
            </w:pPr>
            <w:r>
              <w:rPr>
                <w:rFonts w:ascii="times" w:hAnsi="times"/>
                <w:b/>
                <w:sz w:val="20"/>
              </w:rPr>
              <w:t>Effect of exchange rate changes on cash and cash equivalents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(599</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(1,211</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(1,471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(693</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b/>
                <w:sz w:val="20"/>
              </w:rPr>
            </w:pPr>
            <w:r>
              <w:rPr>
                <w:rFonts w:ascii="times" w:hAnsi="times"/>
                <w:b/>
                <w:sz w:val="20"/>
              </w:rPr>
              <w:t>Net (decrease) increase in cash and cash equivalents during the period</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(124,906</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94,994</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(190,689</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71,023</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b/>
                <w:sz w:val="20"/>
              </w:rPr>
            </w:pPr>
            <w:r>
              <w:rPr>
                <w:rFonts w:ascii="times" w:hAnsi="times"/>
                <w:b/>
                <w:sz w:val="20"/>
              </w:rPr>
              <w:t>Cash and cash equivalents, beginning of period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232,285</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155,476</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298,068</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179,447</w:t>
            </w:r>
          </w:p>
        </w:tc>
        <w:tc>
          <w:tcPr>
            <w:tcW w:w="182" w:type="dxa"/>
            <w:tcBorders/>
            <w:shd w:fill="FFFF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b/>
                <w:sz w:val="20"/>
              </w:rPr>
            </w:pPr>
            <w:r>
              <w:rPr>
                <w:rFonts w:ascii="times" w:hAnsi="times"/>
                <w:b/>
                <w:sz w:val="20"/>
              </w:rPr>
              <w:t>Cash and cash equivalents, end of period</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107,379</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250,470</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107,379</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250,470</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240" w:after="283"/>
              <w:ind w:left="180" w:right="0" w:hanging="180"/>
              <w:rPr>
                <w:rFonts w:ascii="times" w:hAnsi="times"/>
                <w:b/>
                <w:sz w:val="20"/>
              </w:rPr>
            </w:pPr>
            <w:r>
              <w:rPr>
                <w:rFonts w:ascii="times" w:hAnsi="times"/>
                <w:b/>
                <w:sz w:val="20"/>
              </w:rPr>
              <w:t>SUPPLEMENTAL CASH FLOW INFORMATION</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Interest paid (note 9)</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21,715</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23,887</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28,547</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27,980</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Income and mining taxes paid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9,367</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1,286</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31,000</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5,591</w:t>
            </w:r>
          </w:p>
        </w:tc>
        <w:tc>
          <w:tcPr>
            <w:tcW w:w="182" w:type="dxa"/>
            <w:tcBorders/>
            <w:shd w:fill="FFFF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23</w:t>
      </w:r>
    </w:p>
    <w:p>
      <w:pPr>
        <w:pStyle w:val="HorizontalLine"/>
        <w:pBdr>
          <w:bottom w:val="single" w:sz="20" w:space="0" w:color="808080"/>
        </w:pBdr>
        <w:rPr/>
      </w:pPr>
      <w:r>
        <w:rPr/>
      </w:r>
      <w:r>
        <w:br w:type="page"/>
      </w:r>
    </w:p>
    <w:p>
      <w:pPr>
        <w:pStyle w:val="TextBody"/>
        <w:jc w:val="center"/>
        <w:rPr>
          <w:rFonts w:ascii="times" w:hAnsi="times"/>
          <w:b/>
          <w:sz w:val="20"/>
        </w:rPr>
      </w:pPr>
      <w:bookmarkStart w:id="48" w:name="toc_fi72201_1"/>
      <w:bookmarkStart w:id="49" w:name="fi72201_agnico_eagle_mines_limited_not__"/>
      <w:bookmarkStart w:id="50" w:name="page_fi72201_1_24"/>
      <w:bookmarkEnd w:id="48"/>
      <w:bookmarkEnd w:id="49"/>
      <w:bookmarkEnd w:id="50"/>
      <w:r>
        <w:rPr>
          <w:rFonts w:ascii="times" w:hAnsi="times"/>
          <w:b/>
          <w:sz w:val="20"/>
        </w:rPr>
        <w:br/>
        <w:t xml:space="preserve">AGNICO EAGLE MINES LIMITED </w:t>
        <w:br/>
        <w:br/>
        <w:t xml:space="preserve">NOTES TO CONSOLIDATED FINANCIAL STATEMENTS </w:t>
        <w:br/>
        <w:b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1.     BASIS OF PRESENTATION </w:t>
      </w:r>
    </w:p>
    <w:p>
      <w:pPr>
        <w:pStyle w:val="TextBody"/>
        <w:numPr>
          <w:ilvl w:val="0"/>
          <w:numId w:val="0"/>
        </w:numPr>
        <w:ind w:left="707" w:hanging="0"/>
        <w:rPr>
          <w:rFonts w:ascii="times" w:hAnsi="times"/>
          <w:sz w:val="14"/>
        </w:rPr>
      </w:pPr>
      <w:r>
        <w:rPr>
          <w:rFonts w:ascii="times" w:hAnsi="times"/>
          <w:sz w:val="14"/>
        </w:rPr>
        <w:t xml:space="preserve">The accompanying interim unaudited consolidated financial statements of Agnico Eagle Mines Limited ("Agnico Eagle" or the "Company") have been prepared in accordance with United States generally accepted accounting principles ("US GAAP") in US dollars. They do not include all of the disclosures required by US GAAP for annual financial statements. Accordingly, these interim unaudited consolidated financial statements should be read in conjunction with the fiscal 2012 audited annual consolidated financial statements, including the accounting policies and notes thereto, included in the Annual Report and Annual Information Form/Form 20-F for the year ended December 31, 2012. In the opinion of management, the interim unaudited consolidated financial statements reflect all adjustments, which consist only of normal and recurring adjustments necessary to present fairly the financial position as at June 30, 2013 and the results of operations and cash flows for the three and six months ended June 30, 2013 and June 30, 2012. </w:t>
      </w:r>
    </w:p>
    <w:p>
      <w:pPr>
        <w:pStyle w:val="TextBody"/>
        <w:numPr>
          <w:ilvl w:val="0"/>
          <w:numId w:val="0"/>
        </w:numPr>
        <w:ind w:left="707" w:hanging="0"/>
        <w:rPr>
          <w:rFonts w:ascii="times" w:hAnsi="times"/>
          <w:sz w:val="14"/>
        </w:rPr>
      </w:pPr>
      <w:r>
        <w:rPr>
          <w:rFonts w:ascii="times" w:hAnsi="times"/>
          <w:sz w:val="14"/>
        </w:rPr>
        <w:t xml:space="preserve">Operating results for the three and six months ended June 30, 2013 are not necessarily indicative of the results that may be expected for the full year ending December 31, 2013. </w:t>
      </w:r>
    </w:p>
    <w:p>
      <w:pPr>
        <w:pStyle w:val="TextBody"/>
        <w:rPr>
          <w:rFonts w:ascii="times" w:hAnsi="times"/>
          <w:b/>
          <w:sz w:val="14"/>
        </w:rPr>
      </w:pPr>
      <w:r>
        <w:rPr>
          <w:rFonts w:ascii="times" w:hAnsi="times"/>
          <w:b/>
          <w:sz w:val="14"/>
        </w:rPr>
        <w:t xml:space="preserve">2.     USE OF ESTIMATES </w:t>
      </w:r>
    </w:p>
    <w:p>
      <w:pPr>
        <w:pStyle w:val="TextBody"/>
        <w:numPr>
          <w:ilvl w:val="0"/>
          <w:numId w:val="0"/>
        </w:numPr>
        <w:ind w:left="707" w:hanging="0"/>
        <w:rPr>
          <w:rFonts w:ascii="times" w:hAnsi="times"/>
          <w:sz w:val="14"/>
        </w:rPr>
      </w:pPr>
      <w:r>
        <w:rPr>
          <w:rFonts w:ascii="times" w:hAnsi="times"/>
          <w:sz w:val="14"/>
        </w:rPr>
        <w:t xml:space="preserve">The preparation of the interim unaudited consolidated financial statements in conformity with US GAAP requires management to make estimates and assumptions that affect the amounts reported in the interim unaudited consolidated financial statements and accompanying notes. Management believes that the estimates used in the preparation of the interim unaudited consolidated financial statements are reasonable and prudent; however, actual results may differ from these estimates. </w:t>
      </w:r>
    </w:p>
    <w:p>
      <w:pPr>
        <w:pStyle w:val="TextBody"/>
        <w:rPr>
          <w:rFonts w:ascii="times" w:hAnsi="times"/>
          <w:b/>
          <w:sz w:val="14"/>
        </w:rPr>
      </w:pPr>
      <w:r>
        <w:rPr>
          <w:rFonts w:ascii="times" w:hAnsi="times"/>
          <w:b/>
          <w:sz w:val="14"/>
        </w:rPr>
        <w:t xml:space="preserve">3.     ACCOUNTING POLICIES </w:t>
      </w:r>
    </w:p>
    <w:p>
      <w:pPr>
        <w:pStyle w:val="TextBody"/>
        <w:numPr>
          <w:ilvl w:val="0"/>
          <w:numId w:val="0"/>
        </w:numPr>
        <w:ind w:left="707" w:hanging="0"/>
        <w:rPr>
          <w:rFonts w:ascii="times" w:hAnsi="times"/>
          <w:sz w:val="14"/>
        </w:rPr>
      </w:pPr>
      <w:r>
        <w:rPr>
          <w:rFonts w:ascii="times" w:hAnsi="times"/>
          <w:sz w:val="14"/>
        </w:rPr>
        <w:t xml:space="preserve">These interim unaudited consolidated financial statements follow the same accounting policies and methods of their application as the December 31, 2012 audited annual consolidated financial statements except for the recently adopted accounting pronouncements discussed below. </w:t>
      </w:r>
    </w:p>
    <w:p>
      <w:pPr>
        <w:pStyle w:val="TextBody"/>
        <w:numPr>
          <w:ilvl w:val="0"/>
          <w:numId w:val="0"/>
        </w:numPr>
        <w:ind w:left="707" w:hanging="0"/>
        <w:rPr>
          <w:rFonts w:ascii="times" w:hAnsi="times"/>
          <w:b/>
          <w:sz w:val="14"/>
        </w:rPr>
      </w:pPr>
      <w:r>
        <w:rPr>
          <w:rFonts w:ascii="times" w:hAnsi="times"/>
          <w:b/>
          <w:sz w:val="14"/>
          <w:u w:val="single"/>
        </w:rPr>
        <w:t>Recently Adopted Accounting Pronouncements</w:t>
      </w:r>
      <w:r>
        <w:rPr>
          <w:rFonts w:ascii="times" w:hAnsi="times"/>
          <w:b/>
          <w:sz w:val="14"/>
        </w:rPr>
        <w:t xml:space="preserve"> </w:t>
      </w:r>
    </w:p>
    <w:p>
      <w:pPr>
        <w:pStyle w:val="TextBody"/>
        <w:numPr>
          <w:ilvl w:val="0"/>
          <w:numId w:val="0"/>
        </w:numPr>
        <w:ind w:left="707" w:hanging="0"/>
        <w:rPr>
          <w:rFonts w:ascii="times" w:hAnsi="times"/>
          <w:i/>
          <w:sz w:val="14"/>
        </w:rPr>
      </w:pPr>
      <w:r>
        <w:rPr>
          <w:rFonts w:ascii="times" w:hAnsi="times"/>
          <w:i/>
          <w:sz w:val="14"/>
        </w:rPr>
        <w:t xml:space="preserve">Disclosures about Offsetting Assets and Liabilities </w:t>
      </w:r>
    </w:p>
    <w:p>
      <w:pPr>
        <w:pStyle w:val="TextBody"/>
        <w:numPr>
          <w:ilvl w:val="0"/>
          <w:numId w:val="0"/>
        </w:numPr>
        <w:ind w:left="707" w:hanging="0"/>
        <w:rPr>
          <w:rFonts w:ascii="times" w:hAnsi="times"/>
          <w:sz w:val="14"/>
        </w:rPr>
      </w:pPr>
      <w:r>
        <w:rPr>
          <w:rFonts w:ascii="times" w:hAnsi="times"/>
          <w:sz w:val="14"/>
        </w:rPr>
        <w:t xml:space="preserve">In November 2011, ASC guidance was issued relating to disclosure on offsetting financial instrument and derivative financial instrument assets and liabilities. Under the updated guidance, entities are required to disclose gross information and net information about both instruments and transactions eligible for offset in the consolidated balance sheets and instruments and transactions subject to an agreement similar to a master netting arrangement. The Company adopted this updated guidance, effective for the fiscal year beginning January 1, 2013. See notes 4 and 10 for disclosure on offsetting financial instrument and derivative financial instrument assets and liabilities. </w:t>
      </w:r>
    </w:p>
    <w:p>
      <w:pPr>
        <w:pStyle w:val="TextBody"/>
        <w:numPr>
          <w:ilvl w:val="0"/>
          <w:numId w:val="0"/>
        </w:numPr>
        <w:ind w:left="707" w:hanging="0"/>
        <w:rPr>
          <w:rFonts w:ascii="times" w:hAnsi="times"/>
          <w:i/>
          <w:sz w:val="14"/>
        </w:rPr>
      </w:pPr>
      <w:r>
        <w:rPr>
          <w:rFonts w:ascii="times" w:hAnsi="times"/>
          <w:i/>
          <w:sz w:val="14"/>
        </w:rPr>
        <w:t xml:space="preserve">Reporting of Amounts Reclassified Out of Accumulated Other Comprehensive Loss </w:t>
      </w:r>
    </w:p>
    <w:p>
      <w:pPr>
        <w:pStyle w:val="TextBody"/>
        <w:numPr>
          <w:ilvl w:val="0"/>
          <w:numId w:val="0"/>
        </w:numPr>
        <w:ind w:left="707" w:hanging="0"/>
        <w:rPr>
          <w:rFonts w:ascii="times" w:hAnsi="times"/>
          <w:sz w:val="14"/>
        </w:rPr>
      </w:pPr>
      <w:r>
        <w:rPr>
          <w:rFonts w:ascii="times" w:hAnsi="times"/>
          <w:sz w:val="14"/>
        </w:rPr>
        <w:t xml:space="preserve">In February 2013, ASC guidance was issued relating to the reporting of amounts reclassified out of accumulated other comprehensive loss. Under the updated guidance, entities are required to provide information about the amounts reclassified out of accumulated other comprehensive loss by component and by consolidated statement of income (loss) line item, as required under US GAAP. The Company adopted this updated guidance, effective for the fiscal year beginning January 1, 2013. See the Company's interim unaudited consolidated statements of income (loss) and comprehensive income (loss) for reporting of amounts reclassified out of accumulated other comprehensive loss. </w:t>
      </w:r>
    </w:p>
    <w:p>
      <w:pPr>
        <w:pStyle w:val="TextBody"/>
        <w:rPr>
          <w:rFonts w:ascii="times" w:hAnsi="times"/>
          <w:b/>
          <w:sz w:val="14"/>
        </w:rPr>
      </w:pPr>
      <w:r>
        <w:rPr>
          <w:rFonts w:ascii="times" w:hAnsi="times"/>
          <w:b/>
          <w:sz w:val="14"/>
        </w:rPr>
        <w:t xml:space="preserve">4.     FAIR VALUE MEASUREMENT </w:t>
      </w:r>
    </w:p>
    <w:p>
      <w:pPr>
        <w:pStyle w:val="TextBody"/>
        <w:numPr>
          <w:ilvl w:val="0"/>
          <w:numId w:val="0"/>
        </w:numPr>
        <w:ind w:left="707" w:hanging="0"/>
        <w:rPr>
          <w:rFonts w:ascii="times" w:hAnsi="times"/>
        </w:rPr>
      </w:pPr>
      <w:r>
        <w:rPr>
          <w:rFonts w:ascii="times" w:hAnsi="times"/>
          <w:sz w:val="14"/>
        </w:rPr>
        <w:t>ASC 820  </w:t>
      </w:r>
      <w:r>
        <w:rPr>
          <w:rFonts w:ascii="times" w:hAnsi="times"/>
          <w:i/>
          <w:sz w:val="14"/>
        </w:rPr>
        <w:t>Fair Value Measurement and Disclosure</w:t>
      </w:r>
      <w:r>
        <w:rPr>
          <w:rFonts w:ascii="times" w:hAnsi="times"/>
        </w:rPr>
        <w:t xml:space="preserve"> </w:t>
      </w:r>
      <w:r>
        <w:rPr>
          <w:rFonts w:ascii="times" w:hAnsi="times"/>
          <w:sz w:val="14"/>
        </w:rPr>
        <w:t xml:space="preserve">defines fair value, establishes a framework for measuring fair value under US GAAP and requires expanded disclosures about fair value measurements including the following three fair value hierarchy levels: </w:t>
      </w:r>
    </w:p>
    <w:p>
      <w:pPr>
        <w:pStyle w:val="TextBody"/>
        <w:numPr>
          <w:ilvl w:val="0"/>
          <w:numId w:val="0"/>
        </w:numPr>
        <w:ind w:left="1414" w:hanging="0"/>
        <w:rPr>
          <w:rFonts w:ascii="times" w:hAnsi="times"/>
          <w:sz w:val="14"/>
        </w:rPr>
      </w:pPr>
      <w:r>
        <w:rPr>
          <w:rFonts w:ascii="times" w:hAnsi="times"/>
          <w:sz w:val="14"/>
        </w:rPr>
        <w:t xml:space="preserve">Level 1  Unadjusted quoted prices in active markets that are accessible at the measurement date for identical, unrestricted assets or liabilities; </w:t>
      </w:r>
    </w:p>
    <w:p>
      <w:pPr>
        <w:pStyle w:val="TextBody"/>
        <w:numPr>
          <w:ilvl w:val="0"/>
          <w:numId w:val="0"/>
        </w:numPr>
        <w:ind w:left="1414" w:hanging="0"/>
        <w:rPr>
          <w:rFonts w:ascii="times" w:hAnsi="times"/>
          <w:sz w:val="14"/>
        </w:rPr>
      </w:pPr>
      <w:r>
        <w:rPr>
          <w:rFonts w:ascii="times" w:hAnsi="times"/>
          <w:sz w:val="14"/>
        </w:rPr>
        <w:t xml:space="preserve">Level 2  Quoted prices in markets that are not active, or inputs that are observable, either directly or indirectly, for substantially the full term of the asset or liability; and </w:t>
      </w:r>
    </w:p>
    <w:p>
      <w:pPr>
        <w:pStyle w:val="TextBody"/>
        <w:numPr>
          <w:ilvl w:val="0"/>
          <w:numId w:val="0"/>
        </w:numPr>
        <w:ind w:left="1414" w:hanging="0"/>
        <w:rPr>
          <w:rFonts w:ascii="times" w:hAnsi="times"/>
          <w:sz w:val="14"/>
        </w:rPr>
      </w:pPr>
      <w:r>
        <w:rPr>
          <w:rFonts w:ascii="times" w:hAnsi="times"/>
          <w:sz w:val="14"/>
        </w:rPr>
        <w:t xml:space="preserve">Level 3  Prices or valuation techniques that require inputs that are both significant to the fair value measurement and unobservable (supported by little or no market activity). </w:t>
      </w:r>
    </w:p>
    <w:p>
      <w:pPr>
        <w:pStyle w:val="TextBody"/>
        <w:jc w:val="center"/>
        <w:rPr>
          <w:rFonts w:ascii="times" w:hAnsi="times"/>
          <w:sz w:val="20"/>
        </w:rPr>
      </w:pPr>
      <w:r>
        <w:rPr>
          <w:rFonts w:ascii="times" w:hAnsi="times"/>
          <w:sz w:val="20"/>
        </w:rPr>
        <w:t>24</w:t>
      </w:r>
    </w:p>
    <w:p>
      <w:pPr>
        <w:pStyle w:val="HorizontalLine"/>
        <w:pBdr>
          <w:bottom w:val="single" w:sz="20" w:space="0" w:color="808080"/>
        </w:pBdr>
        <w:rPr/>
      </w:pPr>
      <w:r>
        <w:rPr/>
      </w:r>
      <w:r>
        <w:br w:type="page"/>
      </w:r>
    </w:p>
    <w:p>
      <w:pPr>
        <w:pStyle w:val="TextBody"/>
        <w:jc w:val="center"/>
        <w:rPr>
          <w:rFonts w:ascii="times" w:hAnsi="times"/>
          <w:b/>
          <w:sz w:val="20"/>
        </w:rPr>
      </w:pPr>
      <w:bookmarkStart w:id="51" w:name="page_fi72201_1_25"/>
      <w:bookmarkEnd w:id="51"/>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4.     FAIR VALUE MEASUREMENT (Continued) </w:t>
      </w:r>
    </w:p>
    <w:p>
      <w:pPr>
        <w:pStyle w:val="TextBody"/>
        <w:numPr>
          <w:ilvl w:val="0"/>
          <w:numId w:val="0"/>
        </w:numPr>
        <w:ind w:left="707" w:hanging="0"/>
        <w:rPr>
          <w:rFonts w:ascii="times" w:hAnsi="times"/>
          <w:sz w:val="14"/>
        </w:rPr>
      </w:pPr>
      <w:r>
        <w:rPr>
          <w:rFonts w:ascii="times" w:hAnsi="times"/>
          <w:sz w:val="14"/>
        </w:rPr>
        <w:t xml:space="preserve">Fair value is the value at which a financial instrument could be closed out or sold in a transaction with a willing and knowledgeable counterparty over a period of time consistent with the Company's investment strategy. Fair value is based on quoted market prices, where available. If market quotes are not available, fair value is based on internally developed models that use market-based or independent information as inputs. These models could produce a fair value that may not be reflective of future fair value. </w:t>
      </w:r>
    </w:p>
    <w:p>
      <w:pPr>
        <w:pStyle w:val="TextBody"/>
        <w:numPr>
          <w:ilvl w:val="0"/>
          <w:numId w:val="0"/>
        </w:numPr>
        <w:ind w:left="707" w:hanging="0"/>
        <w:rPr>
          <w:rFonts w:ascii="times" w:hAnsi="times"/>
          <w:sz w:val="14"/>
        </w:rPr>
      </w:pPr>
      <w:r>
        <w:rPr>
          <w:rFonts w:ascii="times" w:hAnsi="times"/>
          <w:sz w:val="14"/>
        </w:rPr>
        <w:t xml:space="preserve">The following table summarizes the Company's financial assets and liabilities measured at fair value as at June 30, 2013 within the fair value hierarchy: </w:t>
      </w:r>
    </w:p>
    <w:tbl>
      <w:tblPr>
        <w:tblW w:w="5000" w:type="pct"/>
        <w:jc w:val="center"/>
        <w:tblInd w:w="0" w:type="dxa"/>
        <w:tblCellMar>
          <w:top w:w="0" w:type="dxa"/>
          <w:left w:w="0" w:type="dxa"/>
          <w:bottom w:w="0" w:type="dxa"/>
          <w:right w:w="0" w:type="dxa"/>
        </w:tblCellMar>
      </w:tblPr>
      <w:tblGrid>
        <w:gridCol w:w="372"/>
        <w:gridCol w:w="4299"/>
        <w:gridCol w:w="280"/>
        <w:gridCol w:w="147"/>
        <w:gridCol w:w="863"/>
        <w:gridCol w:w="280"/>
        <w:gridCol w:w="148"/>
        <w:gridCol w:w="862"/>
        <w:gridCol w:w="280"/>
        <w:gridCol w:w="148"/>
        <w:gridCol w:w="839"/>
        <w:gridCol w:w="280"/>
        <w:gridCol w:w="148"/>
        <w:gridCol w:w="979"/>
        <w:gridCol w:w="280"/>
      </w:tblGrid>
      <w:tr>
        <w:trPr/>
        <w:tc>
          <w:tcPr>
            <w:tcW w:w="372" w:type="dxa"/>
            <w:tcBorders/>
            <w:shd w:fill="auto" w:val="clear"/>
            <w:vAlign w:val="center"/>
          </w:tcPr>
          <w:p>
            <w:pPr>
              <w:pStyle w:val="TableContents"/>
              <w:spacing w:before="0" w:after="283"/>
              <w:rPr>
                <w:sz w:val="4"/>
                <w:szCs w:val="4"/>
              </w:rPr>
            </w:pPr>
            <w:r>
              <w:rPr>
                <w:sz w:val="4"/>
                <w:szCs w:val="4"/>
              </w:rPr>
            </w:r>
          </w:p>
        </w:tc>
        <w:tc>
          <w:tcPr>
            <w:tcW w:w="429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863"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62"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3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97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r>
      <w:tr>
        <w:trPr/>
        <w:tc>
          <w:tcPr>
            <w:tcW w:w="372" w:type="dxa"/>
            <w:tcBorders/>
            <w:shd w:fill="auto" w:val="clear"/>
            <w:vAlign w:val="bottom"/>
          </w:tcPr>
          <w:p>
            <w:pPr>
              <w:pStyle w:val="TableHeading"/>
              <w:suppressLineNumbers/>
              <w:spacing w:before="0" w:after="283"/>
              <w:jc w:val="center"/>
              <w:rPr/>
            </w:pPr>
            <w:r>
              <w:rPr/>
              <w:t> </w:t>
            </w:r>
          </w:p>
        </w:tc>
        <w:tc>
          <w:tcPr>
            <w:tcW w:w="4299" w:type="dxa"/>
            <w:tcBorders/>
            <w:shd w:fill="auto" w:val="clear"/>
            <w:vAlign w:val="bottom"/>
          </w:tcPr>
          <w:p>
            <w:pPr>
              <w:pStyle w:val="TableHeading"/>
              <w:spacing w:before="0" w:after="283"/>
              <w:jc w:val="left"/>
              <w:rPr/>
            </w:pPr>
            <w:r>
              <w:rPr/>
              <w:t>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1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2 </w:t>
            </w:r>
          </w:p>
        </w:tc>
        <w:tc>
          <w:tcPr>
            <w:tcW w:w="280" w:type="dxa"/>
            <w:tcBorders/>
            <w:shd w:fill="auto" w:val="clear"/>
            <w:vAlign w:val="bottom"/>
          </w:tcPr>
          <w:p>
            <w:pPr>
              <w:pStyle w:val="TableHeading"/>
              <w:suppressLineNumbers/>
              <w:spacing w:before="0" w:after="283"/>
              <w:jc w:val="center"/>
              <w:rPr/>
            </w:pPr>
            <w:r>
              <w:rPr/>
              <w:t> </w:t>
            </w:r>
          </w:p>
        </w:tc>
        <w:tc>
          <w:tcPr>
            <w:tcW w:w="9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3 </w:t>
            </w:r>
          </w:p>
        </w:tc>
        <w:tc>
          <w:tcPr>
            <w:tcW w:w="280" w:type="dxa"/>
            <w:tcBorders/>
            <w:shd w:fill="auto" w:val="clear"/>
            <w:vAlign w:val="bottom"/>
          </w:tcPr>
          <w:p>
            <w:pPr>
              <w:pStyle w:val="TableHeading"/>
              <w:suppressLineNumbers/>
              <w:spacing w:before="0" w:after="283"/>
              <w:jc w:val="center"/>
              <w:rPr/>
            </w:pPr>
            <w:r>
              <w:rPr/>
              <w:t> </w:t>
            </w:r>
          </w:p>
        </w:tc>
        <w:tc>
          <w:tcPr>
            <w:tcW w:w="112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280" w:type="dxa"/>
            <w:tcBorders/>
            <w:shd w:fill="auto" w:val="clear"/>
            <w:vAlign w:val="bottom"/>
          </w:tcPr>
          <w:p>
            <w:pPr>
              <w:pStyle w:val="TableHeading"/>
              <w:suppressLineNumbers/>
              <w:spacing w:before="0" w:after="283"/>
              <w:jc w:val="center"/>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Financial assets:</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Trade receivables</w:t>
            </w:r>
            <w:r>
              <w:rPr>
                <w:rFonts w:ascii="times" w:hAnsi="times"/>
                <w:position w:val="5"/>
                <w:sz w:val="11"/>
                <w:sz w:val="14"/>
              </w:rPr>
              <w:t>(i)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60,001</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60,001</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Available-for-sale securities</w:t>
            </w:r>
            <w:r>
              <w:rPr>
                <w:rFonts w:ascii="times" w:hAnsi="times"/>
                <w:position w:val="5"/>
                <w:sz w:val="11"/>
                <w:sz w:val="14"/>
              </w:rPr>
              <w:t>(ii)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68,805</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68,805</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7,135</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7,135</w:t>
            </w:r>
          </w:p>
        </w:tc>
        <w:tc>
          <w:tcPr>
            <w:tcW w:w="280" w:type="dxa"/>
            <w:tcBorders/>
            <w:shd w:fill="FFFF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sz w:val="4"/>
                <w:szCs w:val="4"/>
              </w:rPr>
            </w:pPr>
            <w:r>
              <w:rPr>
                <w:sz w:val="4"/>
                <w:szCs w:val="4"/>
              </w:rPr>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68,805</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67,136</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135,941</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Financial liabilities:</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1,968</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1,968</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following table details the Company's financial assets and liabilities measured at fair value as at December 31, 2012 within the fair value hierarchy: </w:t>
      </w:r>
    </w:p>
    <w:tbl>
      <w:tblPr>
        <w:tblW w:w="5000" w:type="pct"/>
        <w:jc w:val="center"/>
        <w:tblInd w:w="0" w:type="dxa"/>
        <w:tblCellMar>
          <w:top w:w="0" w:type="dxa"/>
          <w:left w:w="0" w:type="dxa"/>
          <w:bottom w:w="0" w:type="dxa"/>
          <w:right w:w="0" w:type="dxa"/>
        </w:tblCellMar>
      </w:tblPr>
      <w:tblGrid>
        <w:gridCol w:w="372"/>
        <w:gridCol w:w="4299"/>
        <w:gridCol w:w="280"/>
        <w:gridCol w:w="147"/>
        <w:gridCol w:w="863"/>
        <w:gridCol w:w="280"/>
        <w:gridCol w:w="148"/>
        <w:gridCol w:w="862"/>
        <w:gridCol w:w="280"/>
        <w:gridCol w:w="148"/>
        <w:gridCol w:w="839"/>
        <w:gridCol w:w="280"/>
        <w:gridCol w:w="148"/>
        <w:gridCol w:w="979"/>
        <w:gridCol w:w="280"/>
      </w:tblGrid>
      <w:tr>
        <w:trPr/>
        <w:tc>
          <w:tcPr>
            <w:tcW w:w="372" w:type="dxa"/>
            <w:tcBorders/>
            <w:shd w:fill="auto" w:val="clear"/>
            <w:vAlign w:val="center"/>
          </w:tcPr>
          <w:p>
            <w:pPr>
              <w:pStyle w:val="TableContents"/>
              <w:spacing w:before="0" w:after="283"/>
              <w:rPr>
                <w:sz w:val="4"/>
                <w:szCs w:val="4"/>
              </w:rPr>
            </w:pPr>
            <w:r>
              <w:rPr>
                <w:sz w:val="4"/>
                <w:szCs w:val="4"/>
              </w:rPr>
            </w:r>
          </w:p>
        </w:tc>
        <w:tc>
          <w:tcPr>
            <w:tcW w:w="429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863"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62"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3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97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r>
      <w:tr>
        <w:trPr/>
        <w:tc>
          <w:tcPr>
            <w:tcW w:w="372" w:type="dxa"/>
            <w:tcBorders/>
            <w:shd w:fill="auto" w:val="clear"/>
            <w:vAlign w:val="bottom"/>
          </w:tcPr>
          <w:p>
            <w:pPr>
              <w:pStyle w:val="TableHeading"/>
              <w:suppressLineNumbers/>
              <w:spacing w:before="0" w:after="283"/>
              <w:jc w:val="center"/>
              <w:rPr/>
            </w:pPr>
            <w:r>
              <w:rPr/>
              <w:t> </w:t>
            </w:r>
          </w:p>
        </w:tc>
        <w:tc>
          <w:tcPr>
            <w:tcW w:w="4299" w:type="dxa"/>
            <w:tcBorders/>
            <w:shd w:fill="auto" w:val="clear"/>
            <w:vAlign w:val="bottom"/>
          </w:tcPr>
          <w:p>
            <w:pPr>
              <w:pStyle w:val="TableHeading"/>
              <w:spacing w:before="0" w:after="283"/>
              <w:jc w:val="left"/>
              <w:rPr/>
            </w:pPr>
            <w:r>
              <w:rPr/>
              <w:t>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1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2 </w:t>
            </w:r>
          </w:p>
        </w:tc>
        <w:tc>
          <w:tcPr>
            <w:tcW w:w="280" w:type="dxa"/>
            <w:tcBorders/>
            <w:shd w:fill="auto" w:val="clear"/>
            <w:vAlign w:val="bottom"/>
          </w:tcPr>
          <w:p>
            <w:pPr>
              <w:pStyle w:val="TableHeading"/>
              <w:suppressLineNumbers/>
              <w:spacing w:before="0" w:after="283"/>
              <w:jc w:val="center"/>
              <w:rPr/>
            </w:pPr>
            <w:r>
              <w:rPr/>
              <w:t> </w:t>
            </w:r>
          </w:p>
        </w:tc>
        <w:tc>
          <w:tcPr>
            <w:tcW w:w="9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3 </w:t>
            </w:r>
          </w:p>
        </w:tc>
        <w:tc>
          <w:tcPr>
            <w:tcW w:w="280" w:type="dxa"/>
            <w:tcBorders/>
            <w:shd w:fill="auto" w:val="clear"/>
            <w:vAlign w:val="bottom"/>
          </w:tcPr>
          <w:p>
            <w:pPr>
              <w:pStyle w:val="TableHeading"/>
              <w:suppressLineNumbers/>
              <w:spacing w:before="0" w:after="283"/>
              <w:jc w:val="center"/>
              <w:rPr/>
            </w:pPr>
            <w:r>
              <w:rPr/>
              <w:t> </w:t>
            </w:r>
          </w:p>
        </w:tc>
        <w:tc>
          <w:tcPr>
            <w:tcW w:w="112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280" w:type="dxa"/>
            <w:tcBorders/>
            <w:shd w:fill="auto" w:val="clear"/>
            <w:vAlign w:val="bottom"/>
          </w:tcPr>
          <w:p>
            <w:pPr>
              <w:pStyle w:val="TableHeading"/>
              <w:suppressLineNumbers/>
              <w:spacing w:before="0" w:after="283"/>
              <w:jc w:val="center"/>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Financial assets:</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Trade receivables</w:t>
            </w:r>
            <w:r>
              <w:rPr>
                <w:rFonts w:ascii="times" w:hAnsi="times"/>
                <w:position w:val="5"/>
                <w:sz w:val="11"/>
                <w:sz w:val="14"/>
              </w:rPr>
              <w:t>(i)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67,750</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67,750</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Available-for-sale securities</w:t>
            </w:r>
            <w:r>
              <w:rPr>
                <w:rFonts w:ascii="times" w:hAnsi="times"/>
                <w:position w:val="5"/>
                <w:sz w:val="11"/>
                <w:sz w:val="14"/>
              </w:rPr>
              <w:t>(ii)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2,112</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2,112</w:t>
            </w:r>
          </w:p>
        </w:tc>
        <w:tc>
          <w:tcPr>
            <w:tcW w:w="280" w:type="dxa"/>
            <w:tcBorders/>
            <w:shd w:fill="FFFF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sz w:val="4"/>
                <w:szCs w:val="4"/>
              </w:rPr>
            </w:pPr>
            <w:r>
              <w:rPr>
                <w:sz w:val="4"/>
                <w:szCs w:val="4"/>
              </w:rPr>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69,862</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114,581</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Financial liabilities:</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277</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277</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numPr>
          <w:ilvl w:val="0"/>
          <w:numId w:val="0"/>
        </w:numPr>
        <w:spacing w:before="0" w:after="0"/>
        <w:ind w:left="707" w:right="0" w:hanging="0"/>
        <w:rPr>
          <w:rFonts w:ascii="times" w:hAnsi="times"/>
          <w:sz w:val="14"/>
        </w:rPr>
      </w:pPr>
      <w:r>
        <w:rPr>
          <w:rFonts w:ascii="times" w:hAnsi="times"/>
          <w:sz w:val="14"/>
        </w:rPr>
        <w:t>(i)</w:t>
      </w:r>
    </w:p>
    <w:p>
      <w:pPr>
        <w:pStyle w:val="ListContents"/>
        <w:numPr>
          <w:ilvl w:val="0"/>
          <w:numId w:val="0"/>
        </w:numPr>
        <w:spacing w:before="0" w:after="283"/>
        <w:ind w:left="1274" w:right="0" w:hanging="0"/>
        <w:rPr>
          <w:rFonts w:ascii="times" w:hAnsi="times"/>
          <w:sz w:val="14"/>
        </w:rPr>
      </w:pPr>
      <w:r>
        <w:rPr>
          <w:rFonts w:ascii="times" w:hAnsi="times"/>
          <w:sz w:val="14"/>
        </w:rPr>
        <w:t xml:space="preserve">Trade receivables from provisional invoices for concentrate sales are valued using quoted forward rates derived from observable market data based on the month of expected settlement (classified within Level 2 of the fair value hierarchy). </w:t>
      </w:r>
    </w:p>
    <w:p>
      <w:pPr>
        <w:pStyle w:val="ListHeading"/>
        <w:numPr>
          <w:ilvl w:val="0"/>
          <w:numId w:val="0"/>
        </w:numPr>
        <w:spacing w:before="0" w:after="0"/>
        <w:ind w:left="707" w:right="0" w:hanging="0"/>
        <w:rPr>
          <w:rFonts w:ascii="times" w:hAnsi="times"/>
          <w:sz w:val="14"/>
        </w:rPr>
      </w:pPr>
      <w:r>
        <w:rPr>
          <w:rFonts w:ascii="times" w:hAnsi="times"/>
          <w:sz w:val="14"/>
        </w:rPr>
        <w:t>(ii)</w:t>
      </w:r>
    </w:p>
    <w:p>
      <w:pPr>
        <w:pStyle w:val="ListContents"/>
        <w:numPr>
          <w:ilvl w:val="0"/>
          <w:numId w:val="0"/>
        </w:numPr>
        <w:spacing w:before="0" w:after="283"/>
        <w:ind w:left="1274" w:right="0" w:hanging="0"/>
        <w:rPr>
          <w:rFonts w:ascii="times" w:hAnsi="times"/>
          <w:sz w:val="14"/>
        </w:rPr>
      </w:pPr>
      <w:r>
        <w:rPr>
          <w:rFonts w:ascii="times" w:hAnsi="times"/>
          <w:sz w:val="14"/>
        </w:rPr>
        <w:t xml:space="preserve">Available-for-sale securities are recorded at fair value using quoted market prices (classified within Level 1 of the fair value hierarchy). </w:t>
      </w:r>
    </w:p>
    <w:p>
      <w:pPr>
        <w:pStyle w:val="ListHeading"/>
        <w:numPr>
          <w:ilvl w:val="0"/>
          <w:numId w:val="0"/>
        </w:numPr>
        <w:spacing w:before="0" w:after="0"/>
        <w:ind w:left="707" w:right="0" w:hanging="0"/>
        <w:rPr>
          <w:rFonts w:ascii="times" w:hAnsi="times"/>
          <w:sz w:val="14"/>
        </w:rPr>
      </w:pPr>
      <w:r>
        <w:rPr>
          <w:rFonts w:ascii="times" w:hAnsi="times"/>
          <w:sz w:val="14"/>
        </w:rPr>
        <w:t>(iii)</w:t>
      </w:r>
    </w:p>
    <w:p>
      <w:pPr>
        <w:pStyle w:val="ListContents"/>
        <w:numPr>
          <w:ilvl w:val="0"/>
          <w:numId w:val="0"/>
        </w:numPr>
        <w:spacing w:before="0" w:after="283"/>
        <w:ind w:left="1274" w:right="0" w:hanging="0"/>
        <w:rPr>
          <w:rFonts w:ascii="times" w:hAnsi="times"/>
          <w:sz w:val="14"/>
        </w:rPr>
      </w:pPr>
      <w:r>
        <w:rPr>
          <w:rFonts w:ascii="times" w:hAnsi="times"/>
          <w:sz w:val="14"/>
        </w:rPr>
        <w:t xml:space="preserve">Derivative financial instruments are recorded at fair value using external broker-dealer quotations (classified within Level 2 of the fair value hierarchy). </w:t>
      </w:r>
    </w:p>
    <w:p>
      <w:pPr>
        <w:pStyle w:val="ListContents"/>
        <w:numPr>
          <w:ilvl w:val="0"/>
          <w:numId w:val="0"/>
        </w:numPr>
        <w:spacing w:before="0" w:after="283"/>
        <w:ind w:left="1274" w:right="0" w:hanging="0"/>
        <w:rPr>
          <w:rFonts w:ascii="times" w:hAnsi="times"/>
          <w:sz w:val="14"/>
        </w:rPr>
      </w:pPr>
      <w:r>
        <w:rPr>
          <w:rFonts w:ascii="times" w:hAnsi="times"/>
          <w:sz w:val="14"/>
        </w:rPr>
        <w:t xml:space="preserve">In the event that a decline in the fair value of an investment in available-for-sale securities occurs and the decline in value is considered to be other-than-temporary, an impairment charge is recorded in the interim unaudited consolidated statements of income (loss) and comprehensive income (loss) and a new cost basis for the investment is established. The Company assesses whether a decline in value is considered to be other-than-temporary by considering available evidence, including changes in general market conditions, specific industry and individual company data, the length of time and the extent to which the fair value has been less than cost, the financial condition and the near-term prospects of the individual investment. New evidence could become available in future periods which would affect this assessment and thus could result in material impairment charges with respect to those investments in available-for-sale securities for which the cost basis exceeds its fair value. </w:t>
      </w:r>
    </w:p>
    <w:p>
      <w:pPr>
        <w:pStyle w:val="TextBody"/>
        <w:jc w:val="center"/>
        <w:rPr>
          <w:rFonts w:ascii="times" w:hAnsi="times"/>
          <w:sz w:val="20"/>
        </w:rPr>
      </w:pPr>
      <w:r>
        <w:rPr>
          <w:rFonts w:ascii="times" w:hAnsi="times"/>
          <w:sz w:val="20"/>
        </w:rPr>
        <w:t>25</w:t>
      </w:r>
    </w:p>
    <w:p>
      <w:pPr>
        <w:pStyle w:val="HorizontalLine"/>
        <w:pBdr>
          <w:bottom w:val="single" w:sz="20" w:space="0" w:color="808080"/>
        </w:pBdr>
        <w:rPr/>
      </w:pPr>
      <w:r>
        <w:rPr/>
      </w:r>
      <w:r>
        <w:br w:type="page"/>
      </w:r>
    </w:p>
    <w:p>
      <w:pPr>
        <w:pStyle w:val="TextBody"/>
        <w:jc w:val="center"/>
        <w:rPr>
          <w:rFonts w:ascii="times" w:hAnsi="times"/>
          <w:b/>
          <w:sz w:val="20"/>
        </w:rPr>
      </w:pPr>
      <w:bookmarkStart w:id="52" w:name="page_fi72201_1_26"/>
      <w:bookmarkEnd w:id="52"/>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5.     PROPERTY, PLANT AND MINE DEVELOPMENT </w:t>
      </w:r>
    </w:p>
    <w:tbl>
      <w:tblPr>
        <w:tblW w:w="5000" w:type="pct"/>
        <w:jc w:val="center"/>
        <w:tblInd w:w="0" w:type="dxa"/>
        <w:tblCellMar>
          <w:top w:w="0" w:type="dxa"/>
          <w:left w:w="0" w:type="dxa"/>
          <w:bottom w:w="0" w:type="dxa"/>
          <w:right w:w="0" w:type="dxa"/>
        </w:tblCellMar>
      </w:tblPr>
      <w:tblGrid>
        <w:gridCol w:w="287"/>
        <w:gridCol w:w="1931"/>
        <w:gridCol w:w="216"/>
        <w:gridCol w:w="114"/>
        <w:gridCol w:w="899"/>
        <w:gridCol w:w="216"/>
        <w:gridCol w:w="114"/>
        <w:gridCol w:w="1097"/>
        <w:gridCol w:w="216"/>
        <w:gridCol w:w="114"/>
        <w:gridCol w:w="899"/>
        <w:gridCol w:w="216"/>
        <w:gridCol w:w="114"/>
        <w:gridCol w:w="900"/>
        <w:gridCol w:w="215"/>
        <w:gridCol w:w="114"/>
        <w:gridCol w:w="1098"/>
        <w:gridCol w:w="215"/>
        <w:gridCol w:w="114"/>
        <w:gridCol w:w="900"/>
        <w:gridCol w:w="216"/>
      </w:tblGrid>
      <w:tr>
        <w:trPr/>
        <w:tc>
          <w:tcPr>
            <w:tcW w:w="287" w:type="dxa"/>
            <w:tcBorders/>
            <w:shd w:fill="auto" w:val="clear"/>
            <w:vAlign w:val="center"/>
          </w:tcPr>
          <w:p>
            <w:pPr>
              <w:pStyle w:val="TableContents"/>
              <w:spacing w:before="0" w:after="283"/>
              <w:rPr>
                <w:sz w:val="4"/>
                <w:szCs w:val="4"/>
              </w:rPr>
            </w:pPr>
            <w:r>
              <w:rPr>
                <w:sz w:val="4"/>
                <w:szCs w:val="4"/>
              </w:rPr>
            </w:r>
          </w:p>
        </w:tc>
        <w:tc>
          <w:tcPr>
            <w:tcW w:w="1931"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899"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899"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90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1098"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900"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r>
      <w:tr>
        <w:trPr/>
        <w:tc>
          <w:tcPr>
            <w:tcW w:w="287" w:type="dxa"/>
            <w:tcBorders/>
            <w:shd w:fill="auto" w:val="clear"/>
            <w:vAlign w:val="bottom"/>
          </w:tcPr>
          <w:p>
            <w:pPr>
              <w:pStyle w:val="TableHeading"/>
              <w:suppressLineNumbers/>
              <w:spacing w:before="0" w:after="283"/>
              <w:jc w:val="center"/>
              <w:rPr/>
            </w:pPr>
            <w:r>
              <w:rPr/>
              <w:t> </w:t>
            </w:r>
          </w:p>
        </w:tc>
        <w:tc>
          <w:tcPr>
            <w:tcW w:w="1931" w:type="dxa"/>
            <w:tcBorders/>
            <w:shd w:fill="auto" w:val="clear"/>
            <w:vAlign w:val="bottom"/>
          </w:tcPr>
          <w:p>
            <w:pPr>
              <w:pStyle w:val="TableHeading"/>
              <w:spacing w:before="0" w:after="283"/>
              <w:jc w:val="left"/>
              <w:rPr/>
            </w:pPr>
            <w:r>
              <w:rPr/>
              <w:t> </w:t>
            </w:r>
          </w:p>
        </w:tc>
        <w:tc>
          <w:tcPr>
            <w:tcW w:w="216" w:type="dxa"/>
            <w:tcBorders/>
            <w:shd w:fill="auto" w:val="clear"/>
            <w:vAlign w:val="bottom"/>
          </w:tcPr>
          <w:p>
            <w:pPr>
              <w:pStyle w:val="TableHeading"/>
              <w:suppressLineNumbers/>
              <w:spacing w:before="0" w:after="283"/>
              <w:jc w:val="center"/>
              <w:rPr/>
            </w:pPr>
            <w:r>
              <w:rPr/>
              <w:t> </w:t>
            </w:r>
          </w:p>
        </w:tc>
        <w:tc>
          <w:tcPr>
            <w:tcW w:w="3669" w:type="dxa"/>
            <w:gridSpan w:val="8"/>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As at June 30, 2013 </w:t>
            </w:r>
          </w:p>
        </w:tc>
        <w:tc>
          <w:tcPr>
            <w:tcW w:w="216" w:type="dxa"/>
            <w:tcBorders/>
            <w:shd w:fill="auto" w:val="clear"/>
            <w:vAlign w:val="bottom"/>
          </w:tcPr>
          <w:p>
            <w:pPr>
              <w:pStyle w:val="TableHeading"/>
              <w:suppressLineNumbers/>
              <w:spacing w:before="0" w:after="283"/>
              <w:jc w:val="center"/>
              <w:rPr/>
            </w:pPr>
            <w:r>
              <w:rPr/>
              <w:t> </w:t>
            </w:r>
          </w:p>
        </w:tc>
        <w:tc>
          <w:tcPr>
            <w:tcW w:w="3670" w:type="dxa"/>
            <w:gridSpan w:val="8"/>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As at December 31, 2012 </w:t>
            </w:r>
          </w:p>
        </w:tc>
        <w:tc>
          <w:tcPr>
            <w:tcW w:w="216" w:type="dxa"/>
            <w:tcBorders/>
            <w:shd w:fill="auto" w:val="clear"/>
            <w:vAlign w:val="bottom"/>
          </w:tcPr>
          <w:p>
            <w:pPr>
              <w:pStyle w:val="TableHeading"/>
              <w:suppressLineNumbers/>
              <w:spacing w:before="0" w:after="283"/>
              <w:jc w:val="center"/>
              <w:rPr/>
            </w:pPr>
            <w:r>
              <w:rPr/>
              <w:t> </w:t>
            </w:r>
          </w:p>
        </w:tc>
      </w:tr>
      <w:tr>
        <w:trPr/>
        <w:tc>
          <w:tcPr>
            <w:tcW w:w="287" w:type="dxa"/>
            <w:tcBorders/>
            <w:shd w:fill="auto" w:val="clear"/>
            <w:vAlign w:val="bottom"/>
          </w:tcPr>
          <w:p>
            <w:pPr>
              <w:pStyle w:val="TableHeading"/>
              <w:suppressLineNumbers/>
              <w:spacing w:before="0" w:after="283"/>
              <w:jc w:val="center"/>
              <w:rPr/>
            </w:pPr>
            <w:r>
              <w:rPr/>
              <w:t> </w:t>
            </w:r>
          </w:p>
        </w:tc>
        <w:tc>
          <w:tcPr>
            <w:tcW w:w="1931" w:type="dxa"/>
            <w:tcBorders/>
            <w:shd w:fill="auto" w:val="clear"/>
            <w:vAlign w:val="bottom"/>
          </w:tcPr>
          <w:p>
            <w:pPr>
              <w:pStyle w:val="TableHeading"/>
              <w:spacing w:before="0" w:after="283"/>
              <w:jc w:val="left"/>
              <w:rPr/>
            </w:pPr>
            <w:r>
              <w:rPr/>
              <w:t> </w:t>
            </w:r>
          </w:p>
        </w:tc>
        <w:tc>
          <w:tcPr>
            <w:tcW w:w="216" w:type="dxa"/>
            <w:tcBorders/>
            <w:shd w:fill="auto" w:val="clear"/>
            <w:vAlign w:val="bottom"/>
          </w:tcPr>
          <w:p>
            <w:pPr>
              <w:pStyle w:val="TableHeading"/>
              <w:suppressLineNumbers/>
              <w:spacing w:before="0" w:after="283"/>
              <w:jc w:val="center"/>
              <w:rPr/>
            </w:pPr>
            <w:r>
              <w:rPr/>
              <w:t> </w:t>
            </w:r>
          </w:p>
        </w:tc>
        <w:tc>
          <w:tcPr>
            <w:tcW w:w="10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Cost </w:t>
            </w:r>
          </w:p>
        </w:tc>
        <w:tc>
          <w:tcPr>
            <w:tcW w:w="216" w:type="dxa"/>
            <w:tcBorders/>
            <w:shd w:fill="auto" w:val="clear"/>
            <w:vAlign w:val="bottom"/>
          </w:tcPr>
          <w:p>
            <w:pPr>
              <w:pStyle w:val="TableHeading"/>
              <w:suppressLineNumbers/>
              <w:spacing w:before="0" w:after="283"/>
              <w:jc w:val="center"/>
              <w:rPr/>
            </w:pPr>
            <w:r>
              <w:rPr/>
              <w:t> </w:t>
            </w:r>
          </w:p>
        </w:tc>
        <w:tc>
          <w:tcPr>
            <w:tcW w:w="121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Accumulated</w:t>
              <w:br/>
              <w:t xml:space="preserve">Amortization </w:t>
            </w:r>
          </w:p>
        </w:tc>
        <w:tc>
          <w:tcPr>
            <w:tcW w:w="216" w:type="dxa"/>
            <w:tcBorders/>
            <w:shd w:fill="auto" w:val="clear"/>
            <w:vAlign w:val="bottom"/>
          </w:tcPr>
          <w:p>
            <w:pPr>
              <w:pStyle w:val="TableHeading"/>
              <w:suppressLineNumbers/>
              <w:spacing w:before="0" w:after="283"/>
              <w:jc w:val="center"/>
              <w:rPr/>
            </w:pPr>
            <w:r>
              <w:rPr/>
              <w:t> </w:t>
            </w:r>
          </w:p>
        </w:tc>
        <w:tc>
          <w:tcPr>
            <w:tcW w:w="10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Net Book</w:t>
              <w:br/>
              <w:t xml:space="preserve">Value </w:t>
            </w:r>
          </w:p>
        </w:tc>
        <w:tc>
          <w:tcPr>
            <w:tcW w:w="216" w:type="dxa"/>
            <w:tcBorders/>
            <w:shd w:fill="auto" w:val="clear"/>
            <w:vAlign w:val="bottom"/>
          </w:tcPr>
          <w:p>
            <w:pPr>
              <w:pStyle w:val="TableHeading"/>
              <w:suppressLineNumbers/>
              <w:spacing w:before="0" w:after="283"/>
              <w:jc w:val="center"/>
              <w:rPr/>
            </w:pPr>
            <w:r>
              <w:rPr/>
              <w:t> </w:t>
            </w:r>
          </w:p>
        </w:tc>
        <w:tc>
          <w:tcPr>
            <w:tcW w:w="10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Cost </w:t>
            </w:r>
          </w:p>
        </w:tc>
        <w:tc>
          <w:tcPr>
            <w:tcW w:w="215" w:type="dxa"/>
            <w:tcBorders/>
            <w:shd w:fill="auto" w:val="clear"/>
            <w:vAlign w:val="bottom"/>
          </w:tcPr>
          <w:p>
            <w:pPr>
              <w:pStyle w:val="TableHeading"/>
              <w:suppressLineNumbers/>
              <w:spacing w:before="0" w:after="283"/>
              <w:jc w:val="center"/>
              <w:rPr/>
            </w:pPr>
            <w:r>
              <w:rPr/>
              <w:t> </w:t>
            </w:r>
          </w:p>
        </w:tc>
        <w:tc>
          <w:tcPr>
            <w:tcW w:w="121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Accumulated</w:t>
              <w:br/>
              <w:t xml:space="preserve">Amortization </w:t>
            </w:r>
          </w:p>
        </w:tc>
        <w:tc>
          <w:tcPr>
            <w:tcW w:w="215" w:type="dxa"/>
            <w:tcBorders/>
            <w:shd w:fill="auto" w:val="clear"/>
            <w:vAlign w:val="bottom"/>
          </w:tcPr>
          <w:p>
            <w:pPr>
              <w:pStyle w:val="TableHeading"/>
              <w:suppressLineNumbers/>
              <w:spacing w:before="0" w:after="283"/>
              <w:jc w:val="center"/>
              <w:rPr/>
            </w:pPr>
            <w:r>
              <w:rPr/>
              <w:t> </w:t>
            </w:r>
          </w:p>
        </w:tc>
        <w:tc>
          <w:tcPr>
            <w:tcW w:w="10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Net Book</w:t>
              <w:br/>
              <w:t xml:space="preserve">Value </w:t>
            </w:r>
          </w:p>
        </w:tc>
        <w:tc>
          <w:tcPr>
            <w:tcW w:w="216" w:type="dxa"/>
            <w:tcBorders/>
            <w:shd w:fill="auto" w:val="clear"/>
            <w:vAlign w:val="bottom"/>
          </w:tcPr>
          <w:p>
            <w:pPr>
              <w:pStyle w:val="TableHeading"/>
              <w:suppressLineNumbers/>
              <w:spacing w:before="0" w:after="283"/>
              <w:jc w:val="center"/>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Mining properties</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1,364,930</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110,372</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1,254,558</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1,356,227</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86,839</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1,269,388</w:t>
            </w:r>
          </w:p>
        </w:tc>
        <w:tc>
          <w:tcPr>
            <w:tcW w:w="216" w:type="dxa"/>
            <w:tcBorders/>
            <w:shd w:fill="CCEEFF"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Plant and equipment</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2,595,932</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7" w:type="dxa"/>
            <w:tcBorders/>
            <w:shd w:fill="FFFFFF" w:val="clear"/>
            <w:vAlign w:val="bottom"/>
          </w:tcPr>
          <w:p>
            <w:pPr>
              <w:pStyle w:val="TableContents"/>
              <w:spacing w:before="0" w:after="283"/>
              <w:jc w:val="right"/>
              <w:rPr>
                <w:rFonts w:ascii="times" w:hAnsi="times"/>
                <w:sz w:val="14"/>
              </w:rPr>
            </w:pPr>
            <w:r>
              <w:rPr>
                <w:rFonts w:ascii="times" w:hAnsi="times"/>
                <w:sz w:val="14"/>
              </w:rPr>
              <w:t>719,805</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1,876,127</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2,538,328</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8" w:type="dxa"/>
            <w:tcBorders/>
            <w:shd w:fill="FFFFFF" w:val="clear"/>
            <w:vAlign w:val="bottom"/>
          </w:tcPr>
          <w:p>
            <w:pPr>
              <w:pStyle w:val="TableContents"/>
              <w:spacing w:before="0" w:after="283"/>
              <w:jc w:val="right"/>
              <w:rPr>
                <w:rFonts w:ascii="times" w:hAnsi="times"/>
                <w:sz w:val="14"/>
              </w:rPr>
            </w:pPr>
            <w:r>
              <w:rPr>
                <w:rFonts w:ascii="times" w:hAnsi="times"/>
                <w:sz w:val="14"/>
              </w:rPr>
              <w:t>617,826</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1,920,502</w:t>
            </w:r>
          </w:p>
        </w:tc>
        <w:tc>
          <w:tcPr>
            <w:tcW w:w="216" w:type="dxa"/>
            <w:tcBorders/>
            <w:shd w:fill="FFFFFF" w:val="clear"/>
            <w:vAlign w:val="bottom"/>
          </w:tcPr>
          <w:p>
            <w:pPr>
              <w:pStyle w:val="TableContents"/>
              <w:spacing w:before="0" w:after="283"/>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Mine development costs</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1,005,903</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241,560</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764,343</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918,482</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237,967</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680,515</w:t>
            </w:r>
          </w:p>
        </w:tc>
        <w:tc>
          <w:tcPr>
            <w:tcW w:w="216" w:type="dxa"/>
            <w:tcBorders/>
            <w:shd w:fill="CCEEFF"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Construction in Progress:</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7"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rPr/>
            </w:pPr>
            <w:r>
              <w:rPr/>
              <w:t> </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8" w:type="dxa"/>
            <w:tcBorders/>
            <w:shd w:fill="FFFFFF" w:val="clear"/>
            <w:vAlign w:val="bottom"/>
          </w:tcPr>
          <w:p>
            <w:pPr>
              <w:pStyle w:val="TableContents"/>
              <w:spacing w:before="0" w:after="283"/>
              <w:rPr/>
            </w:pPr>
            <w:r>
              <w:rPr/>
              <w:t> </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Meliadine project</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163,871</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163,871</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133,840</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133,840</w:t>
            </w:r>
          </w:p>
        </w:tc>
        <w:tc>
          <w:tcPr>
            <w:tcW w:w="216" w:type="dxa"/>
            <w:tcBorders/>
            <w:shd w:fill="CCEEFF"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 India project</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116,559</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116,559</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32,553</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32,553</w:t>
            </w:r>
          </w:p>
        </w:tc>
        <w:tc>
          <w:tcPr>
            <w:tcW w:w="216" w:type="dxa"/>
            <w:tcBorders/>
            <w:shd w:fill="FFFFFF" w:val="clear"/>
            <w:vAlign w:val="bottom"/>
          </w:tcPr>
          <w:p>
            <w:pPr>
              <w:pStyle w:val="TableContents"/>
              <w:spacing w:before="0" w:after="283"/>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Goldex mine M and E zones</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65,649</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65,649</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30,658</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30,658</w:t>
            </w:r>
          </w:p>
        </w:tc>
        <w:tc>
          <w:tcPr>
            <w:tcW w:w="216" w:type="dxa"/>
            <w:tcBorders/>
            <w:shd w:fill="CCEEFF" w:val="clear"/>
            <w:vAlign w:val="bottom"/>
          </w:tcPr>
          <w:p>
            <w:pPr>
              <w:pStyle w:val="TableContents"/>
              <w:spacing w:before="0" w:after="283"/>
              <w:rPr/>
            </w:pPr>
            <w:r>
              <w:rPr/>
              <w:t> </w:t>
            </w:r>
          </w:p>
        </w:tc>
      </w:tr>
      <w:tr>
        <w:trPr/>
        <w:tc>
          <w:tcPr>
            <w:tcW w:w="287" w:type="dxa"/>
            <w:tcBorders/>
            <w:shd w:fill="auto" w:val="clear"/>
          </w:tcPr>
          <w:p>
            <w:pPr>
              <w:pStyle w:val="TableContents"/>
              <w:spacing w:before="0" w:after="283"/>
              <w:rPr/>
            </w:pPr>
            <w:r>
              <w:rPr/>
              <w:t> </w:t>
            </w:r>
          </w:p>
        </w:tc>
        <w:tc>
          <w:tcPr>
            <w:tcW w:w="193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21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21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0" w:after="283"/>
              <w:ind w:left="160" w:right="0" w:hanging="160"/>
              <w:rPr>
                <w:sz w:val="4"/>
                <w:szCs w:val="4"/>
              </w:rPr>
            </w:pPr>
            <w:r>
              <w:rPr>
                <w:sz w:val="4"/>
                <w:szCs w:val="4"/>
              </w:rPr>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5,312,844</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097" w:type="dxa"/>
            <w:tcBorders/>
            <w:shd w:fill="FFFFFF" w:val="clear"/>
            <w:vAlign w:val="bottom"/>
          </w:tcPr>
          <w:p>
            <w:pPr>
              <w:pStyle w:val="TableContents"/>
              <w:spacing w:before="0" w:after="283"/>
              <w:jc w:val="right"/>
              <w:rPr>
                <w:rFonts w:ascii="times" w:hAnsi="times"/>
                <w:sz w:val="14"/>
              </w:rPr>
            </w:pPr>
            <w:r>
              <w:rPr>
                <w:rFonts w:ascii="times" w:hAnsi="times"/>
                <w:sz w:val="14"/>
              </w:rPr>
              <w:t>1,071,737</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4,241,107</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5,010,088</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098" w:type="dxa"/>
            <w:tcBorders/>
            <w:shd w:fill="FFFFFF" w:val="clear"/>
            <w:vAlign w:val="bottom"/>
          </w:tcPr>
          <w:p>
            <w:pPr>
              <w:pStyle w:val="TableContents"/>
              <w:spacing w:before="0" w:after="283"/>
              <w:jc w:val="right"/>
              <w:rPr>
                <w:rFonts w:ascii="times" w:hAnsi="times"/>
                <w:sz w:val="14"/>
              </w:rPr>
            </w:pPr>
            <w:r>
              <w:rPr>
                <w:rFonts w:ascii="times" w:hAnsi="times"/>
                <w:sz w:val="14"/>
              </w:rPr>
              <w:t>942,632</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4,067,456</w:t>
            </w:r>
          </w:p>
        </w:tc>
        <w:tc>
          <w:tcPr>
            <w:tcW w:w="216" w:type="dxa"/>
            <w:tcBorders/>
            <w:shd w:fill="FFFFFF" w:val="clear"/>
            <w:vAlign w:val="bottom"/>
          </w:tcPr>
          <w:p>
            <w:pPr>
              <w:pStyle w:val="TableContents"/>
              <w:spacing w:before="0" w:after="283"/>
              <w:rPr/>
            </w:pPr>
            <w:r>
              <w:rPr/>
              <w:t> </w:t>
            </w:r>
          </w:p>
        </w:tc>
      </w:tr>
      <w:tr>
        <w:trPr/>
        <w:tc>
          <w:tcPr>
            <w:tcW w:w="287" w:type="dxa"/>
            <w:tcBorders/>
            <w:shd w:fill="auto" w:val="clear"/>
          </w:tcPr>
          <w:p>
            <w:pPr>
              <w:pStyle w:val="TableContents"/>
              <w:spacing w:before="0" w:after="283"/>
              <w:rPr/>
            </w:pPr>
            <w:r>
              <w:rPr/>
              <w:t> </w:t>
            </w:r>
          </w:p>
        </w:tc>
        <w:tc>
          <w:tcPr>
            <w:tcW w:w="193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21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21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6.     SHAREHOLDERS' EQUITY </w:t>
      </w:r>
    </w:p>
    <w:p>
      <w:pPr>
        <w:pStyle w:val="TextBody"/>
        <w:numPr>
          <w:ilvl w:val="0"/>
          <w:numId w:val="0"/>
        </w:numPr>
        <w:ind w:left="707" w:hanging="0"/>
        <w:rPr>
          <w:rFonts w:ascii="times" w:hAnsi="times"/>
          <w:sz w:val="14"/>
        </w:rPr>
      </w:pPr>
      <w:r>
        <w:rPr>
          <w:rFonts w:ascii="times" w:hAnsi="times"/>
          <w:sz w:val="14"/>
        </w:rPr>
        <w:t xml:space="preserve">In 2009, the Company implemented the restricted share unit ("RSU") plan for certain employees. Effective January 1, 2012, the RSU plan was amended to include directors and senior executives of the Company. </w:t>
      </w:r>
    </w:p>
    <w:p>
      <w:pPr>
        <w:pStyle w:val="TextBody"/>
        <w:numPr>
          <w:ilvl w:val="0"/>
          <w:numId w:val="0"/>
        </w:numPr>
        <w:ind w:left="707" w:hanging="0"/>
        <w:rPr>
          <w:rFonts w:ascii="times" w:hAnsi="times"/>
          <w:sz w:val="14"/>
        </w:rPr>
      </w:pPr>
      <w:r>
        <w:rPr>
          <w:rFonts w:ascii="times" w:hAnsi="times"/>
          <w:sz w:val="14"/>
        </w:rPr>
        <w:t xml:space="preserve">A deferred compensation balance is recorded for the total grant date value on the date of each RSU plan grant. The deferred compensation balance is recorded as a reduction of shareholders' equity and is amortized as compensation expense over the applicable vesting period. </w:t>
      </w:r>
    </w:p>
    <w:p>
      <w:pPr>
        <w:pStyle w:val="TextBody"/>
        <w:numPr>
          <w:ilvl w:val="0"/>
          <w:numId w:val="0"/>
        </w:numPr>
        <w:ind w:left="707" w:hanging="0"/>
        <w:rPr>
          <w:rFonts w:ascii="times" w:hAnsi="times"/>
          <w:sz w:val="14"/>
        </w:rPr>
      </w:pPr>
      <w:r>
        <w:rPr>
          <w:rFonts w:ascii="times" w:hAnsi="times"/>
          <w:sz w:val="14"/>
        </w:rPr>
        <w:t xml:space="preserve">During the first quarter of 2013, the Company funded the RSU plan by transferring $19.0 million (first quarter of 2012  $12.0 million) to an employee benefit trust (the "Trust") that then purchased shares of the Company in the open market. For accounting purposes, the Trust is treated as a variable interest entity and consolidated in the accounts of the Company. The common shares purchased and held by the Trust are treated as not outstanding for the basic earnings per share ("EPS") calculations. They are included in the basic EPS calculations once they have vested. All of the unvested common shares held by the Trust are included in the diluted EPS calculations. </w:t>
      </w:r>
    </w:p>
    <w:p>
      <w:pPr>
        <w:pStyle w:val="TextBody"/>
        <w:numPr>
          <w:ilvl w:val="0"/>
          <w:numId w:val="0"/>
        </w:numPr>
        <w:ind w:left="707" w:hanging="0"/>
        <w:rPr>
          <w:rFonts w:ascii="times" w:hAnsi="times"/>
          <w:sz w:val="14"/>
        </w:rPr>
      </w:pPr>
      <w:r>
        <w:rPr>
          <w:rFonts w:ascii="times" w:hAnsi="times"/>
          <w:sz w:val="14"/>
        </w:rPr>
        <w:t xml:space="preserve">The following table summarizes the maximum number of common shares that would be outstanding if all instruments outstanding at June 30, 2013 were exercised: </w:t>
      </w:r>
    </w:p>
    <w:tbl>
      <w:tblPr>
        <w:tblW w:w="5000" w:type="pct"/>
        <w:jc w:val="center"/>
        <w:tblInd w:w="0" w:type="dxa"/>
        <w:tblCellMar>
          <w:top w:w="0" w:type="dxa"/>
          <w:left w:w="0" w:type="dxa"/>
          <w:bottom w:w="0" w:type="dxa"/>
          <w:right w:w="0" w:type="dxa"/>
        </w:tblCellMar>
      </w:tblPr>
      <w:tblGrid>
        <w:gridCol w:w="588"/>
        <w:gridCol w:w="6489"/>
        <w:gridCol w:w="442"/>
        <w:gridCol w:w="220"/>
        <w:gridCol w:w="2024"/>
        <w:gridCol w:w="442"/>
      </w:tblGrid>
      <w:tr>
        <w:trPr/>
        <w:tc>
          <w:tcPr>
            <w:tcW w:w="588" w:type="dxa"/>
            <w:tcBorders/>
            <w:shd w:fill="auto" w:val="clear"/>
            <w:vAlign w:val="center"/>
          </w:tcPr>
          <w:p>
            <w:pPr>
              <w:pStyle w:val="TableContents"/>
              <w:spacing w:before="0" w:after="283"/>
              <w:rPr>
                <w:sz w:val="4"/>
                <w:szCs w:val="4"/>
              </w:rPr>
            </w:pPr>
            <w:r>
              <w:rPr>
                <w:sz w:val="4"/>
                <w:szCs w:val="4"/>
              </w:rPr>
            </w:r>
          </w:p>
        </w:tc>
        <w:tc>
          <w:tcPr>
            <w:tcW w:w="6489"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024"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r>
      <w:tr>
        <w:trPr/>
        <w:tc>
          <w:tcPr>
            <w:tcW w:w="588" w:type="dxa"/>
            <w:tcBorders/>
            <w:shd w:fill="CCEEFF" w:val="clear"/>
            <w:vAlign w:val="bottom"/>
          </w:tcPr>
          <w:p>
            <w:pPr>
              <w:pStyle w:val="TableContents"/>
              <w:spacing w:before="0" w:after="283"/>
              <w:rPr/>
            </w:pPr>
            <w:r>
              <w:rPr/>
              <w:t> </w:t>
            </w:r>
          </w:p>
        </w:tc>
        <w:tc>
          <w:tcPr>
            <w:tcW w:w="648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Common shares outstanding at June 30, 2013</w:t>
            </w:r>
          </w:p>
        </w:tc>
        <w:tc>
          <w:tcPr>
            <w:tcW w:w="442"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2024" w:type="dxa"/>
            <w:tcBorders/>
            <w:shd w:fill="CCEEFF" w:val="clear"/>
            <w:vAlign w:val="bottom"/>
          </w:tcPr>
          <w:p>
            <w:pPr>
              <w:pStyle w:val="TableContents"/>
              <w:spacing w:before="0" w:after="283"/>
              <w:jc w:val="right"/>
              <w:rPr>
                <w:rFonts w:ascii="times" w:hAnsi="times"/>
                <w:sz w:val="14"/>
              </w:rPr>
            </w:pPr>
            <w:r>
              <w:rPr>
                <w:rFonts w:ascii="times" w:hAnsi="times"/>
                <w:sz w:val="14"/>
              </w:rPr>
              <w:t>172,914,694</w:t>
            </w:r>
          </w:p>
        </w:tc>
        <w:tc>
          <w:tcPr>
            <w:tcW w:w="442" w:type="dxa"/>
            <w:tcBorders/>
            <w:shd w:fill="CCEEFF" w:val="clear"/>
            <w:vAlign w:val="bottom"/>
          </w:tcPr>
          <w:p>
            <w:pPr>
              <w:pStyle w:val="TableContents"/>
              <w:spacing w:before="0" w:after="283"/>
              <w:rPr/>
            </w:pPr>
            <w:r>
              <w:rPr/>
              <w:t> </w:t>
            </w:r>
          </w:p>
        </w:tc>
      </w:tr>
      <w:tr>
        <w:trPr/>
        <w:tc>
          <w:tcPr>
            <w:tcW w:w="588" w:type="dxa"/>
            <w:tcBorders/>
            <w:shd w:fill="FFFFFF" w:val="clear"/>
            <w:vAlign w:val="bottom"/>
          </w:tcPr>
          <w:p>
            <w:pPr>
              <w:pStyle w:val="TableContents"/>
              <w:spacing w:before="0" w:after="283"/>
              <w:rPr/>
            </w:pPr>
            <w:r>
              <w:rPr/>
              <w:t> </w:t>
            </w:r>
          </w:p>
        </w:tc>
        <w:tc>
          <w:tcPr>
            <w:tcW w:w="648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Employee stock options</w:t>
            </w:r>
          </w:p>
        </w:tc>
        <w:tc>
          <w:tcPr>
            <w:tcW w:w="442"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2024" w:type="dxa"/>
            <w:tcBorders/>
            <w:shd w:fill="FFFFFF" w:val="clear"/>
            <w:vAlign w:val="bottom"/>
          </w:tcPr>
          <w:p>
            <w:pPr>
              <w:pStyle w:val="TableContents"/>
              <w:spacing w:before="0" w:after="283"/>
              <w:jc w:val="right"/>
              <w:rPr>
                <w:rFonts w:ascii="times" w:hAnsi="times"/>
                <w:sz w:val="14"/>
              </w:rPr>
            </w:pPr>
            <w:r>
              <w:rPr>
                <w:rFonts w:ascii="times" w:hAnsi="times"/>
                <w:sz w:val="14"/>
              </w:rPr>
              <w:t>11,653,991</w:t>
            </w:r>
          </w:p>
        </w:tc>
        <w:tc>
          <w:tcPr>
            <w:tcW w:w="442" w:type="dxa"/>
            <w:tcBorders/>
            <w:shd w:fill="FFFFFF" w:val="clear"/>
            <w:vAlign w:val="bottom"/>
          </w:tcPr>
          <w:p>
            <w:pPr>
              <w:pStyle w:val="TableContents"/>
              <w:spacing w:before="0" w:after="283"/>
              <w:rPr/>
            </w:pPr>
            <w:r>
              <w:rPr/>
              <w:t> </w:t>
            </w:r>
          </w:p>
        </w:tc>
      </w:tr>
      <w:tr>
        <w:trPr/>
        <w:tc>
          <w:tcPr>
            <w:tcW w:w="588" w:type="dxa"/>
            <w:tcBorders/>
            <w:shd w:fill="CCEEFF" w:val="clear"/>
            <w:vAlign w:val="bottom"/>
          </w:tcPr>
          <w:p>
            <w:pPr>
              <w:pStyle w:val="TableContents"/>
              <w:spacing w:before="0" w:after="283"/>
              <w:rPr/>
            </w:pPr>
            <w:r>
              <w:rPr/>
              <w:t> </w:t>
            </w:r>
          </w:p>
        </w:tc>
        <w:tc>
          <w:tcPr>
            <w:tcW w:w="648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Warrants</w:t>
            </w:r>
          </w:p>
        </w:tc>
        <w:tc>
          <w:tcPr>
            <w:tcW w:w="442"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2024" w:type="dxa"/>
            <w:tcBorders/>
            <w:shd w:fill="CCEEFF" w:val="clear"/>
            <w:vAlign w:val="bottom"/>
          </w:tcPr>
          <w:p>
            <w:pPr>
              <w:pStyle w:val="TableContents"/>
              <w:spacing w:before="0" w:after="283"/>
              <w:jc w:val="right"/>
              <w:rPr>
                <w:rFonts w:ascii="times" w:hAnsi="times"/>
                <w:sz w:val="14"/>
              </w:rPr>
            </w:pPr>
            <w:r>
              <w:rPr>
                <w:rFonts w:ascii="times" w:hAnsi="times"/>
                <w:sz w:val="14"/>
              </w:rPr>
              <w:t>8,600,000</w:t>
            </w:r>
          </w:p>
        </w:tc>
        <w:tc>
          <w:tcPr>
            <w:tcW w:w="442" w:type="dxa"/>
            <w:tcBorders/>
            <w:shd w:fill="CCEEFF" w:val="clear"/>
            <w:vAlign w:val="bottom"/>
          </w:tcPr>
          <w:p>
            <w:pPr>
              <w:pStyle w:val="TableContents"/>
              <w:spacing w:before="0" w:after="283"/>
              <w:rPr/>
            </w:pPr>
            <w:r>
              <w:rPr/>
              <w:t> </w:t>
            </w:r>
          </w:p>
        </w:tc>
      </w:tr>
      <w:tr>
        <w:trPr/>
        <w:tc>
          <w:tcPr>
            <w:tcW w:w="588" w:type="dxa"/>
            <w:tcBorders/>
            <w:shd w:fill="FFFFFF" w:val="clear"/>
            <w:vAlign w:val="bottom"/>
          </w:tcPr>
          <w:p>
            <w:pPr>
              <w:pStyle w:val="TableContents"/>
              <w:spacing w:before="0" w:after="283"/>
              <w:rPr/>
            </w:pPr>
            <w:r>
              <w:rPr/>
              <w:t> </w:t>
            </w:r>
          </w:p>
        </w:tc>
        <w:tc>
          <w:tcPr>
            <w:tcW w:w="648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RSU plan</w:t>
            </w:r>
          </w:p>
        </w:tc>
        <w:tc>
          <w:tcPr>
            <w:tcW w:w="442"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2024" w:type="dxa"/>
            <w:tcBorders/>
            <w:shd w:fill="FFFFFF" w:val="clear"/>
            <w:vAlign w:val="bottom"/>
          </w:tcPr>
          <w:p>
            <w:pPr>
              <w:pStyle w:val="TableContents"/>
              <w:spacing w:before="0" w:after="283"/>
              <w:jc w:val="right"/>
              <w:rPr>
                <w:rFonts w:ascii="times" w:hAnsi="times"/>
                <w:sz w:val="14"/>
              </w:rPr>
            </w:pPr>
            <w:r>
              <w:rPr>
                <w:rFonts w:ascii="times" w:hAnsi="times"/>
                <w:sz w:val="14"/>
              </w:rPr>
              <w:t>396,685</w:t>
            </w:r>
          </w:p>
        </w:tc>
        <w:tc>
          <w:tcPr>
            <w:tcW w:w="442" w:type="dxa"/>
            <w:tcBorders/>
            <w:shd w:fill="FFFFFF" w:val="clear"/>
            <w:vAlign w:val="bottom"/>
          </w:tcPr>
          <w:p>
            <w:pPr>
              <w:pStyle w:val="TableContents"/>
              <w:spacing w:before="0" w:after="283"/>
              <w:rPr/>
            </w:pPr>
            <w:r>
              <w:rPr/>
              <w:t> </w:t>
            </w:r>
          </w:p>
        </w:tc>
      </w:tr>
      <w:tr>
        <w:trPr/>
        <w:tc>
          <w:tcPr>
            <w:tcW w:w="588" w:type="dxa"/>
            <w:tcBorders/>
            <w:shd w:fill="auto" w:val="clear"/>
          </w:tcPr>
          <w:p>
            <w:pPr>
              <w:pStyle w:val="TableContents"/>
              <w:spacing w:before="0" w:after="283"/>
              <w:rPr/>
            </w:pPr>
            <w:r>
              <w:rPr/>
              <w:t> </w:t>
            </w:r>
          </w:p>
        </w:tc>
        <w:tc>
          <w:tcPr>
            <w:tcW w:w="6489"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rPr/>
            </w:pPr>
            <w:r>
              <w:rPr/>
              <w:t> </w:t>
            </w:r>
          </w:p>
        </w:tc>
        <w:tc>
          <w:tcPr>
            <w:tcW w:w="22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42" w:type="dxa"/>
            <w:tcBorders/>
            <w:shd w:fill="auto" w:val="clear"/>
            <w:vAlign w:val="bottom"/>
          </w:tcPr>
          <w:p>
            <w:pPr>
              <w:pStyle w:val="TableContents"/>
              <w:spacing w:before="0" w:after="283"/>
              <w:rPr/>
            </w:pPr>
            <w:r>
              <w:rPr/>
              <w:t> </w:t>
            </w:r>
          </w:p>
        </w:tc>
      </w:tr>
      <w:tr>
        <w:trPr/>
        <w:tc>
          <w:tcPr>
            <w:tcW w:w="588" w:type="dxa"/>
            <w:tcBorders/>
            <w:shd w:fill="CCEEFF" w:val="clear"/>
            <w:vAlign w:val="bottom"/>
          </w:tcPr>
          <w:p>
            <w:pPr>
              <w:pStyle w:val="TableContents"/>
              <w:spacing w:before="0" w:after="283"/>
              <w:rPr/>
            </w:pPr>
            <w:r>
              <w:rPr/>
              <w:t> </w:t>
            </w:r>
          </w:p>
        </w:tc>
        <w:tc>
          <w:tcPr>
            <w:tcW w:w="6489" w:type="dxa"/>
            <w:tcBorders/>
            <w:shd w:fill="CCEEFF" w:val="clear"/>
            <w:vAlign w:val="bottom"/>
          </w:tcPr>
          <w:p>
            <w:pPr>
              <w:pStyle w:val="TableContents"/>
              <w:spacing w:before="0" w:after="283"/>
              <w:ind w:left="160" w:right="0" w:hanging="160"/>
              <w:rPr>
                <w:sz w:val="4"/>
                <w:szCs w:val="4"/>
              </w:rPr>
            </w:pPr>
            <w:r>
              <w:rPr>
                <w:sz w:val="4"/>
                <w:szCs w:val="4"/>
              </w:rPr>
            </w:r>
          </w:p>
        </w:tc>
        <w:tc>
          <w:tcPr>
            <w:tcW w:w="442"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2024" w:type="dxa"/>
            <w:tcBorders/>
            <w:shd w:fill="CCEEFF" w:val="clear"/>
            <w:vAlign w:val="bottom"/>
          </w:tcPr>
          <w:p>
            <w:pPr>
              <w:pStyle w:val="TableContents"/>
              <w:spacing w:before="0" w:after="283"/>
              <w:jc w:val="right"/>
              <w:rPr>
                <w:rFonts w:ascii="times" w:hAnsi="times"/>
                <w:sz w:val="14"/>
              </w:rPr>
            </w:pPr>
            <w:r>
              <w:rPr>
                <w:rFonts w:ascii="times" w:hAnsi="times"/>
                <w:sz w:val="14"/>
              </w:rPr>
              <w:t>193,565,370</w:t>
            </w:r>
          </w:p>
        </w:tc>
        <w:tc>
          <w:tcPr>
            <w:tcW w:w="442" w:type="dxa"/>
            <w:tcBorders/>
            <w:shd w:fill="CCEEFF" w:val="clear"/>
            <w:vAlign w:val="bottom"/>
          </w:tcPr>
          <w:p>
            <w:pPr>
              <w:pStyle w:val="TableContents"/>
              <w:spacing w:before="0" w:after="283"/>
              <w:rPr/>
            </w:pPr>
            <w:r>
              <w:rPr/>
              <w:t> </w:t>
            </w:r>
          </w:p>
        </w:tc>
      </w:tr>
      <w:tr>
        <w:trPr/>
        <w:tc>
          <w:tcPr>
            <w:tcW w:w="588" w:type="dxa"/>
            <w:tcBorders/>
            <w:shd w:fill="auto" w:val="clear"/>
          </w:tcPr>
          <w:p>
            <w:pPr>
              <w:pStyle w:val="TableContents"/>
              <w:spacing w:before="0" w:after="283"/>
              <w:rPr/>
            </w:pPr>
            <w:r>
              <w:rPr/>
              <w:t> </w:t>
            </w:r>
          </w:p>
        </w:tc>
        <w:tc>
          <w:tcPr>
            <w:tcW w:w="6489"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rPr/>
            </w:pPr>
            <w:r>
              <w:rPr/>
              <w:t> </w:t>
            </w:r>
          </w:p>
        </w:tc>
        <w:tc>
          <w:tcPr>
            <w:tcW w:w="22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42"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26</w:t>
      </w:r>
    </w:p>
    <w:p>
      <w:pPr>
        <w:pStyle w:val="HorizontalLine"/>
        <w:pBdr>
          <w:bottom w:val="single" w:sz="20" w:space="0" w:color="808080"/>
        </w:pBdr>
        <w:rPr/>
      </w:pPr>
      <w:r>
        <w:rPr/>
      </w:r>
      <w:r>
        <w:br w:type="page"/>
      </w:r>
    </w:p>
    <w:p>
      <w:pPr>
        <w:pStyle w:val="TextBody"/>
        <w:jc w:val="center"/>
        <w:rPr>
          <w:rFonts w:ascii="times" w:hAnsi="times"/>
          <w:b/>
          <w:sz w:val="20"/>
        </w:rPr>
      </w:pPr>
      <w:bookmarkStart w:id="53" w:name="page_fi72201_1_27"/>
      <w:bookmarkEnd w:id="53"/>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6.     SHAREHOLDERS' EQUITY (Continued) </w:t>
      </w:r>
    </w:p>
    <w:p>
      <w:pPr>
        <w:pStyle w:val="TextBody"/>
        <w:numPr>
          <w:ilvl w:val="0"/>
          <w:numId w:val="0"/>
        </w:numPr>
        <w:ind w:left="707" w:hanging="0"/>
        <w:rPr>
          <w:rFonts w:ascii="times" w:hAnsi="times"/>
          <w:sz w:val="14"/>
        </w:rPr>
      </w:pPr>
      <w:r>
        <w:rPr>
          <w:rFonts w:ascii="times" w:hAnsi="times"/>
          <w:sz w:val="14"/>
        </w:rPr>
        <w:t xml:space="preserve">The following table provides the weighted average number of common shares used in the calculation of basic and diluted net income per share: </w:t>
      </w:r>
    </w:p>
    <w:tbl>
      <w:tblPr>
        <w:tblW w:w="5000" w:type="pct"/>
        <w:jc w:val="center"/>
        <w:tblInd w:w="0" w:type="dxa"/>
        <w:tblCellMar>
          <w:top w:w="0" w:type="dxa"/>
          <w:left w:w="0" w:type="dxa"/>
          <w:bottom w:w="0" w:type="dxa"/>
          <w:right w:w="0" w:type="dxa"/>
        </w:tblCellMar>
      </w:tblPr>
      <w:tblGrid>
        <w:gridCol w:w="262"/>
        <w:gridCol w:w="5201"/>
        <w:gridCol w:w="197"/>
        <w:gridCol w:w="104"/>
        <w:gridCol w:w="835"/>
        <w:gridCol w:w="197"/>
        <w:gridCol w:w="104"/>
        <w:gridCol w:w="836"/>
        <w:gridCol w:w="196"/>
        <w:gridCol w:w="104"/>
        <w:gridCol w:w="836"/>
        <w:gridCol w:w="196"/>
        <w:gridCol w:w="104"/>
        <w:gridCol w:w="836"/>
        <w:gridCol w:w="197"/>
      </w:tblGrid>
      <w:tr>
        <w:trPr/>
        <w:tc>
          <w:tcPr>
            <w:tcW w:w="262" w:type="dxa"/>
            <w:tcBorders/>
            <w:shd w:fill="auto" w:val="clear"/>
            <w:vAlign w:val="center"/>
          </w:tcPr>
          <w:p>
            <w:pPr>
              <w:pStyle w:val="TableContents"/>
              <w:spacing w:before="0" w:after="283"/>
              <w:rPr>
                <w:sz w:val="4"/>
                <w:szCs w:val="4"/>
              </w:rPr>
            </w:pPr>
            <w:r>
              <w:rPr>
                <w:sz w:val="4"/>
                <w:szCs w:val="4"/>
              </w:rPr>
            </w:r>
          </w:p>
        </w:tc>
        <w:tc>
          <w:tcPr>
            <w:tcW w:w="5201"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5"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6"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6"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6"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r>
      <w:tr>
        <w:trPr/>
        <w:tc>
          <w:tcPr>
            <w:tcW w:w="262" w:type="dxa"/>
            <w:tcBorders/>
            <w:shd w:fill="auto" w:val="clear"/>
            <w:vAlign w:val="bottom"/>
          </w:tcPr>
          <w:p>
            <w:pPr>
              <w:pStyle w:val="TableHeading"/>
              <w:suppressLineNumbers/>
              <w:spacing w:before="0" w:after="283"/>
              <w:jc w:val="center"/>
              <w:rPr/>
            </w:pPr>
            <w:r>
              <w:rPr/>
              <w:t> </w:t>
            </w:r>
          </w:p>
        </w:tc>
        <w:tc>
          <w:tcPr>
            <w:tcW w:w="5201" w:type="dxa"/>
            <w:tcBorders/>
            <w:shd w:fill="auto" w:val="clear"/>
            <w:vAlign w:val="bottom"/>
          </w:tcPr>
          <w:p>
            <w:pPr>
              <w:pStyle w:val="TableHeading"/>
              <w:spacing w:before="0" w:after="283"/>
              <w:jc w:val="left"/>
              <w:rPr/>
            </w:pPr>
            <w:r>
              <w:rPr/>
              <w:t> </w:t>
            </w:r>
          </w:p>
        </w:tc>
        <w:tc>
          <w:tcPr>
            <w:tcW w:w="197" w:type="dxa"/>
            <w:tcBorders/>
            <w:shd w:fill="auto" w:val="clear"/>
            <w:vAlign w:val="bottom"/>
          </w:tcPr>
          <w:p>
            <w:pPr>
              <w:pStyle w:val="TableHeading"/>
              <w:suppressLineNumbers/>
              <w:spacing w:before="0" w:after="283"/>
              <w:jc w:val="center"/>
              <w:rPr/>
            </w:pPr>
            <w:r>
              <w:rPr/>
              <w:t> </w:t>
            </w:r>
          </w:p>
        </w:tc>
        <w:tc>
          <w:tcPr>
            <w:tcW w:w="207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w:t>
            </w:r>
          </w:p>
        </w:tc>
        <w:tc>
          <w:tcPr>
            <w:tcW w:w="196" w:type="dxa"/>
            <w:tcBorders/>
            <w:shd w:fill="auto" w:val="clear"/>
            <w:vAlign w:val="bottom"/>
          </w:tcPr>
          <w:p>
            <w:pPr>
              <w:pStyle w:val="TableHeading"/>
              <w:suppressLineNumbers/>
              <w:spacing w:before="0" w:after="283"/>
              <w:jc w:val="center"/>
              <w:rPr/>
            </w:pPr>
            <w:r>
              <w:rPr/>
              <w:t> </w:t>
            </w:r>
          </w:p>
        </w:tc>
        <w:tc>
          <w:tcPr>
            <w:tcW w:w="207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197" w:type="dxa"/>
            <w:tcBorders/>
            <w:shd w:fill="auto" w:val="clear"/>
            <w:vAlign w:val="bottom"/>
          </w:tcPr>
          <w:p>
            <w:pPr>
              <w:pStyle w:val="TableHeading"/>
              <w:suppressLineNumbers/>
              <w:spacing w:before="0" w:after="283"/>
              <w:jc w:val="center"/>
              <w:rPr/>
            </w:pPr>
            <w:r>
              <w:rPr/>
              <w:t> </w:t>
            </w:r>
          </w:p>
        </w:tc>
      </w:tr>
      <w:tr>
        <w:trPr/>
        <w:tc>
          <w:tcPr>
            <w:tcW w:w="262" w:type="dxa"/>
            <w:tcBorders/>
            <w:shd w:fill="auto" w:val="clear"/>
            <w:vAlign w:val="bottom"/>
          </w:tcPr>
          <w:p>
            <w:pPr>
              <w:pStyle w:val="TableHeading"/>
              <w:suppressLineNumbers/>
              <w:spacing w:before="0" w:after="283"/>
              <w:jc w:val="center"/>
              <w:rPr/>
            </w:pPr>
            <w:r>
              <w:rPr/>
              <w:t> </w:t>
            </w:r>
          </w:p>
        </w:tc>
        <w:tc>
          <w:tcPr>
            <w:tcW w:w="5201" w:type="dxa"/>
            <w:tcBorders/>
            <w:shd w:fill="auto" w:val="clear"/>
            <w:vAlign w:val="bottom"/>
          </w:tcPr>
          <w:p>
            <w:pPr>
              <w:pStyle w:val="TableHeading"/>
              <w:spacing w:before="0" w:after="283"/>
              <w:jc w:val="left"/>
              <w:rPr/>
            </w:pPr>
            <w:r>
              <w:rPr/>
              <w:t> </w:t>
            </w:r>
          </w:p>
        </w:tc>
        <w:tc>
          <w:tcPr>
            <w:tcW w:w="197" w:type="dxa"/>
            <w:tcBorders/>
            <w:shd w:fill="auto" w:val="clear"/>
            <w:vAlign w:val="bottom"/>
          </w:tcPr>
          <w:p>
            <w:pPr>
              <w:pStyle w:val="TableHeading"/>
              <w:suppressLineNumbers/>
              <w:spacing w:before="0" w:after="283"/>
              <w:jc w:val="center"/>
              <w:rPr/>
            </w:pPr>
            <w:r>
              <w:rPr/>
              <w:t> </w:t>
            </w:r>
          </w:p>
        </w:tc>
        <w:tc>
          <w:tcPr>
            <w:tcW w:w="93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7" w:type="dxa"/>
            <w:tcBorders/>
            <w:shd w:fill="auto" w:val="clear"/>
            <w:vAlign w:val="bottom"/>
          </w:tcPr>
          <w:p>
            <w:pPr>
              <w:pStyle w:val="TableHeading"/>
              <w:suppressLineNumbers/>
              <w:spacing w:before="0" w:after="283"/>
              <w:jc w:val="center"/>
              <w:rPr/>
            </w:pPr>
            <w:r>
              <w:rPr/>
              <w:t> </w:t>
            </w:r>
          </w:p>
        </w:tc>
        <w:tc>
          <w:tcPr>
            <w:tcW w:w="9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96" w:type="dxa"/>
            <w:tcBorders/>
            <w:shd w:fill="auto" w:val="clear"/>
            <w:vAlign w:val="bottom"/>
          </w:tcPr>
          <w:p>
            <w:pPr>
              <w:pStyle w:val="TableHeading"/>
              <w:suppressLineNumbers/>
              <w:spacing w:before="0" w:after="283"/>
              <w:jc w:val="center"/>
              <w:rPr/>
            </w:pPr>
            <w:r>
              <w:rPr/>
              <w:t> </w:t>
            </w:r>
          </w:p>
        </w:tc>
        <w:tc>
          <w:tcPr>
            <w:tcW w:w="9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6" w:type="dxa"/>
            <w:tcBorders/>
            <w:shd w:fill="auto" w:val="clear"/>
            <w:vAlign w:val="bottom"/>
          </w:tcPr>
          <w:p>
            <w:pPr>
              <w:pStyle w:val="TableHeading"/>
              <w:suppressLineNumbers/>
              <w:spacing w:before="0" w:after="283"/>
              <w:jc w:val="center"/>
              <w:rPr/>
            </w:pPr>
            <w:r>
              <w:rPr/>
              <w:t> </w:t>
            </w:r>
          </w:p>
        </w:tc>
        <w:tc>
          <w:tcPr>
            <w:tcW w:w="9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97" w:type="dxa"/>
            <w:tcBorders/>
            <w:shd w:fill="auto" w:val="clear"/>
            <w:vAlign w:val="bottom"/>
          </w:tcPr>
          <w:p>
            <w:pPr>
              <w:pStyle w:val="TableHeading"/>
              <w:suppressLineNumbers/>
              <w:spacing w:before="0" w:after="283"/>
              <w:jc w:val="center"/>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 for the period</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(24,380</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43,272</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(521</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121,820</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 basic (in thousands)</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5" w:type="dxa"/>
            <w:tcBorders/>
            <w:shd w:fill="FFFFFF" w:val="clear"/>
            <w:vAlign w:val="bottom"/>
          </w:tcPr>
          <w:p>
            <w:pPr>
              <w:pStyle w:val="TableContents"/>
              <w:spacing w:before="0" w:after="283"/>
              <w:jc w:val="right"/>
              <w:rPr>
                <w:rFonts w:ascii="times" w:hAnsi="times"/>
                <w:sz w:val="14"/>
              </w:rPr>
            </w:pPr>
            <w:r>
              <w:rPr>
                <w:rFonts w:ascii="times" w:hAnsi="times"/>
                <w:sz w:val="14"/>
              </w:rPr>
              <w:t>172,572</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170,985</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172,426</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170,937</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320" w:right="0" w:hanging="160"/>
              <w:rPr>
                <w:rFonts w:ascii="times" w:hAnsi="times"/>
                <w:sz w:val="14"/>
              </w:rPr>
            </w:pPr>
            <w:r>
              <w:rPr>
                <w:rFonts w:ascii="times" w:hAnsi="times"/>
                <w:sz w:val="14"/>
              </w:rPr>
              <w:t>Add: Dilutive impact of employee stock options</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480" w:right="0" w:hanging="160"/>
              <w:rPr/>
            </w:pPr>
            <w:r>
              <w:rPr/>
              <w:t>          </w:t>
            </w:r>
            <w:r>
              <w:rPr>
                <w:rFonts w:ascii="times" w:hAnsi="times"/>
                <w:sz w:val="14"/>
              </w:rPr>
              <w:t>Dilutive impact of warrants</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480" w:right="0" w:hanging="160"/>
              <w:rPr/>
            </w:pPr>
            <w:r>
              <w:rPr/>
              <w:t>          </w:t>
            </w:r>
            <w:r>
              <w:rPr>
                <w:rFonts w:ascii="times" w:hAnsi="times"/>
                <w:sz w:val="14"/>
              </w:rPr>
              <w:t>Dilutive impact of shares related to RSU plan</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294</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211</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 diluted (in thousands)</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5" w:type="dxa"/>
            <w:tcBorders/>
            <w:shd w:fill="FFFFFF" w:val="clear"/>
            <w:vAlign w:val="bottom"/>
          </w:tcPr>
          <w:p>
            <w:pPr>
              <w:pStyle w:val="TableContents"/>
              <w:spacing w:before="0" w:after="283"/>
              <w:jc w:val="right"/>
              <w:rPr>
                <w:rFonts w:ascii="times" w:hAnsi="times"/>
                <w:sz w:val="14"/>
              </w:rPr>
            </w:pPr>
            <w:r>
              <w:rPr>
                <w:rFonts w:ascii="times" w:hAnsi="times"/>
                <w:sz w:val="14"/>
              </w:rPr>
              <w:t>172,572</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171,279</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172,426</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171,148</w:t>
            </w:r>
          </w:p>
        </w:tc>
        <w:tc>
          <w:tcPr>
            <w:tcW w:w="197" w:type="dxa"/>
            <w:tcBorders/>
            <w:shd w:fill="FFFF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(loss) per share  basic</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(0.14</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0.25</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(0.00</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0.71</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(loss) per share  diluted</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5" w:type="dxa"/>
            <w:tcBorders/>
            <w:shd w:fill="FFFFFF" w:val="clear"/>
            <w:vAlign w:val="bottom"/>
          </w:tcPr>
          <w:p>
            <w:pPr>
              <w:pStyle w:val="TableContents"/>
              <w:spacing w:before="0" w:after="283"/>
              <w:jc w:val="right"/>
              <w:rPr>
                <w:rFonts w:ascii="times" w:hAnsi="times"/>
                <w:sz w:val="14"/>
              </w:rPr>
            </w:pPr>
            <w:r>
              <w:rPr>
                <w:rFonts w:ascii="times" w:hAnsi="times"/>
                <w:sz w:val="14"/>
              </w:rPr>
              <w:t>(0.14</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0.25</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(0.00</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0.71</w:t>
            </w:r>
          </w:p>
        </w:tc>
        <w:tc>
          <w:tcPr>
            <w:tcW w:w="197" w:type="dxa"/>
            <w:tcBorders/>
            <w:shd w:fill="FFFF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Diluted net income (loss) per share has been calculated using the treasury stock method. In applying the treasury stock method, outstanding employee stock options and warrants with an exercise price greater than the average quoted market price of the common shares for the reporting period are not included in the calculation of diluted net income (loss) per share as the impact would be anti-dilutive. </w:t>
      </w:r>
    </w:p>
    <w:p>
      <w:pPr>
        <w:pStyle w:val="TextBody"/>
        <w:numPr>
          <w:ilvl w:val="0"/>
          <w:numId w:val="0"/>
        </w:numPr>
        <w:ind w:left="707" w:hanging="0"/>
        <w:rPr>
          <w:rFonts w:ascii="times" w:hAnsi="times"/>
          <w:sz w:val="14"/>
        </w:rPr>
      </w:pPr>
      <w:r>
        <w:rPr>
          <w:rFonts w:ascii="times" w:hAnsi="times"/>
          <w:sz w:val="14"/>
        </w:rPr>
        <w:t xml:space="preserve">For the three and six months ended June 30, 2013, the impact of any additional shares issued under the employee stock option plan, as a result of the conversion of warrants, or related to the RSU Plan would be anti-dilutive as a result of the net loss positions. Consequently, diluted net loss per share was calculated in the same manner as basic net loss per share. </w:t>
      </w:r>
    </w:p>
    <w:p>
      <w:pPr>
        <w:pStyle w:val="TextBody"/>
        <w:numPr>
          <w:ilvl w:val="0"/>
          <w:numId w:val="0"/>
        </w:numPr>
        <w:ind w:left="707" w:hanging="0"/>
        <w:rPr>
          <w:rFonts w:ascii="times" w:hAnsi="times"/>
          <w:sz w:val="14"/>
        </w:rPr>
      </w:pPr>
      <w:r>
        <w:rPr>
          <w:rFonts w:ascii="times" w:hAnsi="times"/>
          <w:sz w:val="14"/>
        </w:rPr>
        <w:t xml:space="preserve">For the three and six months ended June 30, 2012, all employee stock options and warrants were excluded from the calculation of diluted net income per share as their effect would have been anti-dilutive. </w:t>
      </w:r>
    </w:p>
    <w:p>
      <w:pPr>
        <w:pStyle w:val="TextBody"/>
        <w:numPr>
          <w:ilvl w:val="0"/>
          <w:numId w:val="0"/>
        </w:numPr>
        <w:ind w:left="707" w:hanging="0"/>
        <w:rPr>
          <w:rFonts w:ascii="times" w:hAnsi="times"/>
          <w:b/>
          <w:i/>
          <w:sz w:val="14"/>
        </w:rPr>
      </w:pPr>
      <w:r>
        <w:rPr>
          <w:rFonts w:ascii="times" w:hAnsi="times"/>
          <w:b/>
          <w:i/>
          <w:sz w:val="14"/>
        </w:rPr>
        <w:t xml:space="preserve">Accumulated other comprehensive loss </w:t>
      </w:r>
    </w:p>
    <w:p>
      <w:pPr>
        <w:pStyle w:val="TextBody"/>
        <w:numPr>
          <w:ilvl w:val="0"/>
          <w:numId w:val="0"/>
        </w:numPr>
        <w:ind w:left="707" w:hanging="0"/>
        <w:rPr>
          <w:rFonts w:ascii="times" w:hAnsi="times"/>
          <w:sz w:val="14"/>
        </w:rPr>
      </w:pPr>
      <w:r>
        <w:rPr>
          <w:rFonts w:ascii="times" w:hAnsi="times"/>
          <w:sz w:val="14"/>
        </w:rPr>
        <w:t xml:space="preserve">The following table details the changes in accumulated other comprehensive loss component for the six months ended June 30, 2013: </w:t>
      </w:r>
    </w:p>
    <w:tbl>
      <w:tblPr>
        <w:tblW w:w="5000" w:type="pct"/>
        <w:jc w:val="center"/>
        <w:tblInd w:w="0" w:type="dxa"/>
        <w:tblCellMar>
          <w:top w:w="0" w:type="dxa"/>
          <w:left w:w="0" w:type="dxa"/>
          <w:bottom w:w="0" w:type="dxa"/>
          <w:right w:w="0" w:type="dxa"/>
        </w:tblCellMar>
      </w:tblPr>
      <w:tblGrid>
        <w:gridCol w:w="222"/>
        <w:gridCol w:w="3807"/>
        <w:gridCol w:w="169"/>
        <w:gridCol w:w="95"/>
        <w:gridCol w:w="808"/>
        <w:gridCol w:w="169"/>
        <w:gridCol w:w="132"/>
        <w:gridCol w:w="1800"/>
        <w:gridCol w:w="169"/>
        <w:gridCol w:w="95"/>
        <w:gridCol w:w="849"/>
        <w:gridCol w:w="169"/>
        <w:gridCol w:w="95"/>
        <w:gridCol w:w="582"/>
        <w:gridCol w:w="169"/>
        <w:gridCol w:w="95"/>
        <w:gridCol w:w="601"/>
        <w:gridCol w:w="179"/>
      </w:tblGrid>
      <w:tr>
        <w:trPr/>
        <w:tc>
          <w:tcPr>
            <w:tcW w:w="222" w:type="dxa"/>
            <w:tcBorders/>
            <w:shd w:fill="auto" w:val="clear"/>
            <w:vAlign w:val="center"/>
          </w:tcPr>
          <w:p>
            <w:pPr>
              <w:pStyle w:val="TableContents"/>
              <w:spacing w:before="0" w:after="283"/>
              <w:rPr>
                <w:sz w:val="4"/>
                <w:szCs w:val="4"/>
              </w:rPr>
            </w:pPr>
            <w:r>
              <w:rPr>
                <w:sz w:val="4"/>
                <w:szCs w:val="4"/>
              </w:rPr>
            </w:r>
          </w:p>
        </w:tc>
        <w:tc>
          <w:tcPr>
            <w:tcW w:w="3807"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0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800"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49"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82"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r>
      <w:tr>
        <w:trPr/>
        <w:tc>
          <w:tcPr>
            <w:tcW w:w="222" w:type="dxa"/>
            <w:tcBorders/>
            <w:shd w:fill="auto" w:val="clear"/>
            <w:vAlign w:val="bottom"/>
          </w:tcPr>
          <w:p>
            <w:pPr>
              <w:pStyle w:val="TableHeading"/>
              <w:suppressLineNumbers/>
              <w:spacing w:before="0" w:after="283"/>
              <w:jc w:val="center"/>
              <w:rPr/>
            </w:pPr>
            <w:r>
              <w:rPr/>
              <w:t> </w:t>
            </w:r>
          </w:p>
        </w:tc>
        <w:tc>
          <w:tcPr>
            <w:tcW w:w="3807" w:type="dxa"/>
            <w:tcBorders/>
            <w:shd w:fill="auto" w:val="clear"/>
            <w:vAlign w:val="bottom"/>
          </w:tcPr>
          <w:p>
            <w:pPr>
              <w:pStyle w:val="TableHeading"/>
              <w:spacing w:before="0" w:after="283"/>
              <w:jc w:val="left"/>
              <w:rPr/>
            </w:pPr>
            <w:r>
              <w:rPr/>
              <w:t> </w:t>
            </w:r>
          </w:p>
        </w:tc>
        <w:tc>
          <w:tcPr>
            <w:tcW w:w="169" w:type="dxa"/>
            <w:tcBorders/>
            <w:shd w:fill="auto" w:val="clear"/>
            <w:vAlign w:val="bottom"/>
          </w:tcPr>
          <w:p>
            <w:pPr>
              <w:pStyle w:val="TableHeading"/>
              <w:suppressLineNumbers/>
              <w:spacing w:before="0" w:after="283"/>
              <w:jc w:val="center"/>
              <w:rPr/>
            </w:pPr>
            <w:r>
              <w:rPr/>
              <w:t> </w:t>
            </w:r>
          </w:p>
        </w:tc>
        <w:tc>
          <w:tcPr>
            <w:tcW w:w="90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Cumulative</w:t>
              <w:br/>
              <w:t>Translation</w:t>
              <w:br/>
              <w:t xml:space="preserve">Adjustment </w:t>
            </w:r>
          </w:p>
        </w:tc>
        <w:tc>
          <w:tcPr>
            <w:tcW w:w="169" w:type="dxa"/>
            <w:tcBorders/>
            <w:shd w:fill="auto" w:val="clear"/>
            <w:vAlign w:val="bottom"/>
          </w:tcPr>
          <w:p>
            <w:pPr>
              <w:pStyle w:val="TableHeading"/>
              <w:suppressLineNumbers/>
              <w:spacing w:before="0" w:after="283"/>
              <w:jc w:val="center"/>
              <w:rPr/>
            </w:pPr>
            <w:r>
              <w:rPr/>
              <w:t> </w:t>
            </w:r>
          </w:p>
        </w:tc>
        <w:tc>
          <w:tcPr>
            <w:tcW w:w="193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Available-for-sale</w:t>
              <w:br/>
              <w:t xml:space="preserve">Securities and Other Investments </w:t>
            </w:r>
          </w:p>
        </w:tc>
        <w:tc>
          <w:tcPr>
            <w:tcW w:w="169" w:type="dxa"/>
            <w:tcBorders/>
            <w:shd w:fill="auto" w:val="clear"/>
            <w:vAlign w:val="bottom"/>
          </w:tcPr>
          <w:p>
            <w:pPr>
              <w:pStyle w:val="TableHeading"/>
              <w:suppressLineNumbers/>
              <w:spacing w:before="0" w:after="283"/>
              <w:jc w:val="center"/>
              <w:rPr/>
            </w:pPr>
            <w:r>
              <w:rPr/>
              <w:t> </w:t>
            </w:r>
          </w:p>
        </w:tc>
        <w:tc>
          <w:tcPr>
            <w:tcW w:w="9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Derivative</w:t>
              <w:br/>
              <w:t>Financial</w:t>
              <w:br/>
              <w:t xml:space="preserve">Instruments </w:t>
            </w:r>
          </w:p>
        </w:tc>
        <w:tc>
          <w:tcPr>
            <w:tcW w:w="169" w:type="dxa"/>
            <w:tcBorders/>
            <w:shd w:fill="auto" w:val="clear"/>
            <w:vAlign w:val="bottom"/>
          </w:tcPr>
          <w:p>
            <w:pPr>
              <w:pStyle w:val="TableHeading"/>
              <w:suppressLineNumbers/>
              <w:spacing w:before="0" w:after="283"/>
              <w:jc w:val="center"/>
              <w:rPr/>
            </w:pPr>
            <w:r>
              <w:rPr/>
              <w:t> </w:t>
            </w:r>
          </w:p>
        </w:tc>
        <w:tc>
          <w:tcPr>
            <w:tcW w:w="67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Pension</w:t>
              <w:br/>
              <w:t xml:space="preserve">Benefits </w:t>
            </w:r>
          </w:p>
        </w:tc>
        <w:tc>
          <w:tcPr>
            <w:tcW w:w="169" w:type="dxa"/>
            <w:tcBorders/>
            <w:shd w:fill="auto" w:val="clear"/>
            <w:vAlign w:val="bottom"/>
          </w:tcPr>
          <w:p>
            <w:pPr>
              <w:pStyle w:val="TableHeading"/>
              <w:suppressLineNumbers/>
              <w:spacing w:before="0" w:after="283"/>
              <w:jc w:val="center"/>
              <w:rPr/>
            </w:pPr>
            <w:r>
              <w:rPr/>
              <w:t> </w:t>
            </w:r>
          </w:p>
        </w:tc>
        <w:tc>
          <w:tcPr>
            <w:tcW w:w="6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179" w:type="dxa"/>
            <w:tcBorders/>
            <w:shd w:fill="auto" w:val="clear"/>
            <w:vAlign w:val="bottom"/>
          </w:tcPr>
          <w:p>
            <w:pPr>
              <w:pStyle w:val="TableHeading"/>
              <w:suppressLineNumbers/>
              <w:spacing w:before="0" w:after="283"/>
              <w:jc w:val="center"/>
              <w:rPr/>
            </w:pPr>
            <w:r>
              <w:rPr/>
              <w:t> </w:t>
            </w:r>
          </w:p>
        </w:tc>
      </w:tr>
      <w:tr>
        <w:trPr/>
        <w:tc>
          <w:tcPr>
            <w:tcW w:w="222" w:type="dxa"/>
            <w:tcBorders/>
            <w:shd w:fill="CCEEFF" w:val="clear"/>
            <w:vAlign w:val="bottom"/>
          </w:tcPr>
          <w:p>
            <w:pPr>
              <w:pStyle w:val="TableContents"/>
              <w:spacing w:before="0" w:after="283"/>
              <w:rPr/>
            </w:pPr>
            <w:r>
              <w:rPr/>
              <w:t> </w:t>
            </w:r>
          </w:p>
        </w:tc>
        <w:tc>
          <w:tcPr>
            <w:tcW w:w="380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income, December 31, 2012</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08" w:type="dxa"/>
            <w:tcBorders/>
            <w:shd w:fill="CCEEFF" w:val="clear"/>
            <w:vAlign w:val="bottom"/>
          </w:tcPr>
          <w:p>
            <w:pPr>
              <w:pStyle w:val="TableContents"/>
              <w:spacing w:before="0" w:after="283"/>
              <w:jc w:val="right"/>
              <w:rPr>
                <w:rFonts w:ascii="times" w:hAnsi="times"/>
                <w:sz w:val="14"/>
              </w:rPr>
            </w:pPr>
            <w:r>
              <w:rPr>
                <w:rFonts w:ascii="times" w:hAnsi="times"/>
                <w:sz w:val="14"/>
              </w:rPr>
              <w:t>(16,206</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3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0" w:type="dxa"/>
            <w:tcBorders/>
            <w:shd w:fill="CCEEFF" w:val="clear"/>
            <w:vAlign w:val="bottom"/>
          </w:tcPr>
          <w:p>
            <w:pPr>
              <w:pStyle w:val="TableContents"/>
              <w:spacing w:before="0" w:after="283"/>
              <w:jc w:val="right"/>
              <w:rPr>
                <w:rFonts w:ascii="times" w:hAnsi="times"/>
                <w:sz w:val="14"/>
              </w:rPr>
            </w:pPr>
            <w:r>
              <w:rPr>
                <w:rFonts w:ascii="times" w:hAnsi="times"/>
                <w:sz w:val="14"/>
              </w:rPr>
              <w:t>(7,680</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49" w:type="dxa"/>
            <w:tcBorders/>
            <w:shd w:fill="CCEEFF" w:val="clear"/>
            <w:vAlign w:val="bottom"/>
          </w:tcPr>
          <w:p>
            <w:pPr>
              <w:pStyle w:val="TableContents"/>
              <w:spacing w:before="0" w:after="283"/>
              <w:jc w:val="right"/>
              <w:rPr>
                <w:rFonts w:ascii="times" w:hAnsi="times"/>
                <w:sz w:val="14"/>
              </w:rPr>
            </w:pPr>
            <w:r>
              <w:rPr>
                <w:rFonts w:ascii="times" w:hAnsi="times"/>
                <w:sz w:val="14"/>
              </w:rPr>
              <w:t>137</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2" w:type="dxa"/>
            <w:tcBorders/>
            <w:shd w:fill="CCEEFF" w:val="clear"/>
            <w:vAlign w:val="bottom"/>
          </w:tcPr>
          <w:p>
            <w:pPr>
              <w:pStyle w:val="TableContents"/>
              <w:spacing w:before="0" w:after="283"/>
              <w:jc w:val="right"/>
              <w:rPr>
                <w:rFonts w:ascii="times" w:hAnsi="times"/>
                <w:sz w:val="14"/>
              </w:rPr>
            </w:pPr>
            <w:r>
              <w:rPr>
                <w:rFonts w:ascii="times" w:hAnsi="times"/>
                <w:sz w:val="14"/>
              </w:rPr>
              <w:t>(3,562</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(27,311</w:t>
            </w:r>
          </w:p>
        </w:tc>
        <w:tc>
          <w:tcPr>
            <w:tcW w:w="179"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22" w:type="dxa"/>
            <w:tcBorders/>
            <w:shd w:fill="FFFFFF" w:val="clear"/>
            <w:vAlign w:val="bottom"/>
          </w:tcPr>
          <w:p>
            <w:pPr>
              <w:pStyle w:val="TableContents"/>
              <w:spacing w:before="0" w:after="283"/>
              <w:rPr/>
            </w:pPr>
            <w:r>
              <w:rPr/>
              <w:t> </w:t>
            </w:r>
          </w:p>
        </w:tc>
        <w:tc>
          <w:tcPr>
            <w:tcW w:w="380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loss before reclassifications</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0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132" w:type="dxa"/>
            <w:tcBorders/>
            <w:shd w:fill="FFFFFF" w:val="clear"/>
            <w:vAlign w:val="bottom"/>
          </w:tcPr>
          <w:p>
            <w:pPr>
              <w:pStyle w:val="TableContents"/>
              <w:spacing w:before="0" w:after="283"/>
              <w:rPr/>
            </w:pPr>
            <w:r>
              <w:rPr/>
              <w:t> </w:t>
            </w:r>
          </w:p>
        </w:tc>
        <w:tc>
          <w:tcPr>
            <w:tcW w:w="1800" w:type="dxa"/>
            <w:tcBorders/>
            <w:shd w:fill="FFFFFF" w:val="clear"/>
            <w:vAlign w:val="bottom"/>
          </w:tcPr>
          <w:p>
            <w:pPr>
              <w:pStyle w:val="TableContents"/>
              <w:spacing w:before="0" w:after="283"/>
              <w:jc w:val="right"/>
              <w:rPr>
                <w:rFonts w:ascii="times" w:hAnsi="times"/>
                <w:sz w:val="14"/>
              </w:rPr>
            </w:pPr>
            <w:r>
              <w:rPr>
                <w:rFonts w:ascii="times" w:hAnsi="times"/>
                <w:sz w:val="14"/>
              </w:rPr>
              <w:t>(20,975</w:t>
            </w:r>
          </w:p>
        </w:tc>
        <w:tc>
          <w:tcPr>
            <w:tcW w:w="169"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849" w:type="dxa"/>
            <w:tcBorders/>
            <w:shd w:fill="FFFFFF" w:val="clear"/>
            <w:vAlign w:val="bottom"/>
          </w:tcPr>
          <w:p>
            <w:pPr>
              <w:pStyle w:val="TableContents"/>
              <w:spacing w:before="0" w:after="283"/>
              <w:jc w:val="right"/>
              <w:rPr>
                <w:rFonts w:ascii="times" w:hAnsi="times"/>
                <w:sz w:val="14"/>
              </w:rPr>
            </w:pPr>
            <w:r>
              <w:rPr>
                <w:rFonts w:ascii="times" w:hAnsi="times"/>
                <w:sz w:val="14"/>
              </w:rPr>
              <w:t>(1,851</w:t>
            </w:r>
          </w:p>
        </w:tc>
        <w:tc>
          <w:tcPr>
            <w:tcW w:w="169"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8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(22,826</w:t>
            </w:r>
          </w:p>
        </w:tc>
        <w:tc>
          <w:tcPr>
            <w:tcW w:w="179"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22" w:type="dxa"/>
            <w:tcBorders/>
            <w:shd w:fill="CCEEFF" w:val="clear"/>
            <w:vAlign w:val="bottom"/>
          </w:tcPr>
          <w:p>
            <w:pPr>
              <w:pStyle w:val="TableContents"/>
              <w:spacing w:before="0" w:after="283"/>
              <w:rPr/>
            </w:pPr>
            <w:r>
              <w:rPr/>
              <w:t> </w:t>
            </w:r>
          </w:p>
        </w:tc>
        <w:tc>
          <w:tcPr>
            <w:tcW w:w="3807" w:type="dxa"/>
            <w:tcBorders/>
            <w:shd w:fill="CCEEFF" w:val="clear"/>
            <w:vAlign w:val="bottom"/>
          </w:tcPr>
          <w:p>
            <w:pPr>
              <w:pStyle w:val="TableContents"/>
              <w:spacing w:before="0" w:after="283"/>
              <w:ind w:left="320" w:right="0" w:hanging="160"/>
              <w:rPr>
                <w:rFonts w:ascii="times" w:hAnsi="times"/>
                <w:sz w:val="14"/>
              </w:rPr>
            </w:pPr>
            <w:r>
              <w:rPr>
                <w:rFonts w:ascii="times" w:hAnsi="times"/>
                <w:sz w:val="14"/>
              </w:rPr>
              <w:t>Tax expense</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80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rFonts w:ascii="times" w:hAnsi="times"/>
                <w:sz w:val="14"/>
              </w:rPr>
            </w:pPr>
            <w:r>
              <w:rPr>
                <w:rFonts w:ascii="times" w:hAnsi="times"/>
                <w:sz w:val="14"/>
              </w:rPr>
              <w:t>489</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489</w:t>
            </w:r>
          </w:p>
        </w:tc>
        <w:tc>
          <w:tcPr>
            <w:tcW w:w="179" w:type="dxa"/>
            <w:tcBorders/>
            <w:shd w:fill="CCEEFF" w:val="clear"/>
            <w:vAlign w:val="bottom"/>
          </w:tcPr>
          <w:p>
            <w:pPr>
              <w:pStyle w:val="TableContents"/>
              <w:spacing w:before="0" w:after="283"/>
              <w:rPr/>
            </w:pPr>
            <w:r>
              <w:rPr/>
              <w:t> </w:t>
            </w:r>
          </w:p>
        </w:tc>
      </w:tr>
      <w:tr>
        <w:trPr/>
        <w:tc>
          <w:tcPr>
            <w:tcW w:w="222" w:type="dxa"/>
            <w:tcBorders/>
            <w:shd w:fill="FFFFFF" w:val="clear"/>
            <w:vAlign w:val="bottom"/>
          </w:tcPr>
          <w:p>
            <w:pPr>
              <w:pStyle w:val="TableContents"/>
              <w:spacing w:before="0" w:after="283"/>
              <w:rPr/>
            </w:pPr>
            <w:r>
              <w:rPr/>
              <w:t> </w:t>
            </w:r>
          </w:p>
        </w:tc>
        <w:tc>
          <w:tcPr>
            <w:tcW w:w="380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Reclassifications from accumulated other comprehensive (loss) income</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0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132" w:type="dxa"/>
            <w:tcBorders/>
            <w:shd w:fill="FFFFFF" w:val="clear"/>
            <w:vAlign w:val="bottom"/>
          </w:tcPr>
          <w:p>
            <w:pPr>
              <w:pStyle w:val="TableContents"/>
              <w:spacing w:before="0" w:after="283"/>
              <w:rPr/>
            </w:pPr>
            <w:r>
              <w:rPr/>
              <w:t> </w:t>
            </w:r>
          </w:p>
        </w:tc>
        <w:tc>
          <w:tcPr>
            <w:tcW w:w="1800" w:type="dxa"/>
            <w:tcBorders/>
            <w:shd w:fill="FFFFFF" w:val="clear"/>
            <w:vAlign w:val="bottom"/>
          </w:tcPr>
          <w:p>
            <w:pPr>
              <w:pStyle w:val="TableContents"/>
              <w:spacing w:before="0" w:after="283"/>
              <w:jc w:val="right"/>
              <w:rPr>
                <w:rFonts w:ascii="times" w:hAnsi="times"/>
                <w:sz w:val="14"/>
              </w:rPr>
            </w:pPr>
            <w:r>
              <w:rPr>
                <w:rFonts w:ascii="times" w:hAnsi="times"/>
                <w:sz w:val="14"/>
              </w:rPr>
              <w:t>28,308</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49" w:type="dxa"/>
            <w:tcBorders/>
            <w:shd w:fill="FFFFFF" w:val="clear"/>
            <w:vAlign w:val="bottom"/>
          </w:tcPr>
          <w:p>
            <w:pPr>
              <w:pStyle w:val="TableContents"/>
              <w:spacing w:before="0" w:after="283"/>
              <w:jc w:val="right"/>
              <w:rPr>
                <w:rFonts w:ascii="times" w:hAnsi="times"/>
                <w:sz w:val="14"/>
              </w:rPr>
            </w:pPr>
            <w:r>
              <w:rPr>
                <w:rFonts w:ascii="times" w:hAnsi="times"/>
                <w:sz w:val="14"/>
              </w:rPr>
              <w:t>20</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82" w:type="dxa"/>
            <w:tcBorders/>
            <w:shd w:fill="FFFFFF" w:val="clear"/>
            <w:vAlign w:val="bottom"/>
          </w:tcPr>
          <w:p>
            <w:pPr>
              <w:pStyle w:val="TableContents"/>
              <w:spacing w:before="0" w:after="283"/>
              <w:jc w:val="right"/>
              <w:rPr>
                <w:rFonts w:ascii="times" w:hAnsi="times"/>
                <w:sz w:val="14"/>
              </w:rPr>
            </w:pPr>
            <w:r>
              <w:rPr>
                <w:rFonts w:ascii="times" w:hAnsi="times"/>
                <w:sz w:val="14"/>
              </w:rPr>
              <w:t>262</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28,590</w:t>
            </w:r>
          </w:p>
        </w:tc>
        <w:tc>
          <w:tcPr>
            <w:tcW w:w="179" w:type="dxa"/>
            <w:tcBorders/>
            <w:shd w:fill="FFFFFF" w:val="clear"/>
            <w:vAlign w:val="bottom"/>
          </w:tcPr>
          <w:p>
            <w:pPr>
              <w:pStyle w:val="TableContents"/>
              <w:spacing w:before="0" w:after="283"/>
              <w:rPr/>
            </w:pPr>
            <w:r>
              <w:rPr/>
              <w:t> </w:t>
            </w:r>
          </w:p>
        </w:tc>
      </w:tr>
      <w:tr>
        <w:trPr/>
        <w:tc>
          <w:tcPr>
            <w:tcW w:w="222" w:type="dxa"/>
            <w:tcBorders/>
            <w:shd w:fill="CCEEFF" w:val="clear"/>
            <w:vAlign w:val="bottom"/>
          </w:tcPr>
          <w:p>
            <w:pPr>
              <w:pStyle w:val="TableContents"/>
              <w:spacing w:before="0" w:after="283"/>
              <w:rPr/>
            </w:pPr>
            <w:r>
              <w:rPr/>
              <w:t> </w:t>
            </w:r>
          </w:p>
        </w:tc>
        <w:tc>
          <w:tcPr>
            <w:tcW w:w="3807" w:type="dxa"/>
            <w:tcBorders/>
            <w:shd w:fill="CCEEFF" w:val="clear"/>
            <w:vAlign w:val="bottom"/>
          </w:tcPr>
          <w:p>
            <w:pPr>
              <w:pStyle w:val="TableContents"/>
              <w:spacing w:before="0" w:after="283"/>
              <w:ind w:left="320" w:right="0" w:hanging="160"/>
              <w:rPr>
                <w:rFonts w:ascii="times" w:hAnsi="times"/>
                <w:sz w:val="14"/>
              </w:rPr>
            </w:pPr>
            <w:r>
              <w:rPr>
                <w:rFonts w:ascii="times" w:hAnsi="times"/>
                <w:sz w:val="14"/>
              </w:rPr>
              <w:t>Tax expense</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80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rFonts w:ascii="times" w:hAnsi="times"/>
                <w:sz w:val="14"/>
              </w:rPr>
            </w:pPr>
            <w:r>
              <w:rPr>
                <w:rFonts w:ascii="times" w:hAnsi="times"/>
                <w:sz w:val="14"/>
              </w:rPr>
              <w:t>(5</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jc w:val="right"/>
              <w:rPr>
                <w:rFonts w:ascii="times" w:hAnsi="times"/>
                <w:sz w:val="14"/>
              </w:rPr>
            </w:pPr>
            <w:r>
              <w:rPr>
                <w:rFonts w:ascii="times" w:hAnsi="times"/>
                <w:sz w:val="14"/>
              </w:rPr>
              <w:t>(69</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(74</w:t>
            </w:r>
          </w:p>
        </w:tc>
        <w:tc>
          <w:tcPr>
            <w:tcW w:w="179"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22" w:type="dxa"/>
            <w:tcBorders/>
            <w:shd w:fill="auto" w:val="clear"/>
          </w:tcPr>
          <w:p>
            <w:pPr>
              <w:pStyle w:val="TableContents"/>
              <w:spacing w:before="0" w:after="283"/>
              <w:rPr/>
            </w:pPr>
            <w:r>
              <w:rPr/>
              <w:t> </w:t>
            </w:r>
          </w:p>
        </w:tc>
        <w:tc>
          <w:tcPr>
            <w:tcW w:w="3807"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0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9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9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6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6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9" w:type="dxa"/>
            <w:tcBorders/>
            <w:shd w:fill="auto" w:val="clear"/>
            <w:vAlign w:val="bottom"/>
          </w:tcPr>
          <w:p>
            <w:pPr>
              <w:pStyle w:val="TableContents"/>
              <w:spacing w:before="0" w:after="283"/>
              <w:rPr/>
            </w:pPr>
            <w:r>
              <w:rPr/>
              <w:t> </w:t>
            </w:r>
          </w:p>
        </w:tc>
      </w:tr>
      <w:tr>
        <w:trPr/>
        <w:tc>
          <w:tcPr>
            <w:tcW w:w="222" w:type="dxa"/>
            <w:tcBorders/>
            <w:shd w:fill="FFFFFF" w:val="clear"/>
            <w:vAlign w:val="bottom"/>
          </w:tcPr>
          <w:p>
            <w:pPr>
              <w:pStyle w:val="TableContents"/>
              <w:spacing w:before="0" w:after="283"/>
              <w:rPr/>
            </w:pPr>
            <w:r>
              <w:rPr/>
              <w:t> </w:t>
            </w:r>
          </w:p>
        </w:tc>
        <w:tc>
          <w:tcPr>
            <w:tcW w:w="380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income (loss) for the period</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0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69" w:type="dxa"/>
            <w:tcBorders/>
            <w:shd w:fill="FFFFFF" w:val="clear"/>
            <w:vAlign w:val="bottom"/>
          </w:tcPr>
          <w:p>
            <w:pPr>
              <w:pStyle w:val="TableContents"/>
              <w:spacing w:before="0" w:after="283"/>
              <w:rPr/>
            </w:pPr>
            <w:r>
              <w:rPr/>
              <w:t> </w:t>
            </w:r>
          </w:p>
        </w:tc>
        <w:tc>
          <w:tcPr>
            <w:tcW w:w="132" w:type="dxa"/>
            <w:tcBorders/>
            <w:shd w:fill="FFFFFF" w:val="clear"/>
            <w:vAlign w:val="bottom"/>
          </w:tcPr>
          <w:p>
            <w:pPr>
              <w:pStyle w:val="TableContents"/>
              <w:spacing w:before="0" w:after="283"/>
              <w:rPr/>
            </w:pPr>
            <w:r>
              <w:rPr/>
              <w:t> </w:t>
            </w:r>
          </w:p>
        </w:tc>
        <w:tc>
          <w:tcPr>
            <w:tcW w:w="1800" w:type="dxa"/>
            <w:tcBorders/>
            <w:shd w:fill="FFFFFF" w:val="clear"/>
            <w:vAlign w:val="bottom"/>
          </w:tcPr>
          <w:p>
            <w:pPr>
              <w:pStyle w:val="TableContents"/>
              <w:spacing w:before="0" w:after="283"/>
              <w:jc w:val="right"/>
              <w:rPr>
                <w:rFonts w:ascii="times" w:hAnsi="times"/>
                <w:sz w:val="14"/>
              </w:rPr>
            </w:pPr>
            <w:r>
              <w:rPr>
                <w:rFonts w:ascii="times" w:hAnsi="times"/>
                <w:sz w:val="14"/>
              </w:rPr>
              <w:t>7,333</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49" w:type="dxa"/>
            <w:tcBorders/>
            <w:shd w:fill="FFFFFF" w:val="clear"/>
            <w:vAlign w:val="bottom"/>
          </w:tcPr>
          <w:p>
            <w:pPr>
              <w:pStyle w:val="TableContents"/>
              <w:spacing w:before="0" w:after="283"/>
              <w:jc w:val="right"/>
              <w:rPr>
                <w:rFonts w:ascii="times" w:hAnsi="times"/>
                <w:sz w:val="14"/>
              </w:rPr>
            </w:pPr>
            <w:r>
              <w:rPr>
                <w:rFonts w:ascii="times" w:hAnsi="times"/>
                <w:sz w:val="14"/>
              </w:rPr>
              <w:t>(1,347</w:t>
            </w:r>
          </w:p>
        </w:tc>
        <w:tc>
          <w:tcPr>
            <w:tcW w:w="169"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82" w:type="dxa"/>
            <w:tcBorders/>
            <w:shd w:fill="FFFFFF" w:val="clear"/>
            <w:vAlign w:val="bottom"/>
          </w:tcPr>
          <w:p>
            <w:pPr>
              <w:pStyle w:val="TableContents"/>
              <w:spacing w:before="0" w:after="283"/>
              <w:jc w:val="right"/>
              <w:rPr>
                <w:rFonts w:ascii="times" w:hAnsi="times"/>
                <w:sz w:val="14"/>
              </w:rPr>
            </w:pPr>
            <w:r>
              <w:rPr>
                <w:rFonts w:ascii="times" w:hAnsi="times"/>
                <w:sz w:val="14"/>
              </w:rPr>
              <w:t>193</w:t>
            </w:r>
          </w:p>
        </w:tc>
        <w:tc>
          <w:tcPr>
            <w:tcW w:w="169"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6,179</w:t>
            </w:r>
          </w:p>
        </w:tc>
        <w:tc>
          <w:tcPr>
            <w:tcW w:w="179" w:type="dxa"/>
            <w:tcBorders/>
            <w:shd w:fill="FFFFFF" w:val="clear"/>
            <w:vAlign w:val="bottom"/>
          </w:tcPr>
          <w:p>
            <w:pPr>
              <w:pStyle w:val="TableContents"/>
              <w:spacing w:before="0" w:after="283"/>
              <w:rPr/>
            </w:pPr>
            <w:r>
              <w:rPr/>
              <w:t> </w:t>
            </w:r>
          </w:p>
        </w:tc>
      </w:tr>
      <w:tr>
        <w:trPr/>
        <w:tc>
          <w:tcPr>
            <w:tcW w:w="222" w:type="dxa"/>
            <w:tcBorders/>
            <w:shd w:fill="auto" w:val="clear"/>
          </w:tcPr>
          <w:p>
            <w:pPr>
              <w:pStyle w:val="TableContents"/>
              <w:spacing w:before="0" w:after="283"/>
              <w:rPr/>
            </w:pPr>
            <w:r>
              <w:rPr/>
              <w:t> </w:t>
            </w:r>
          </w:p>
        </w:tc>
        <w:tc>
          <w:tcPr>
            <w:tcW w:w="3807"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0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9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9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67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6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9" w:type="dxa"/>
            <w:tcBorders/>
            <w:shd w:fill="auto" w:val="clear"/>
            <w:vAlign w:val="bottom"/>
          </w:tcPr>
          <w:p>
            <w:pPr>
              <w:pStyle w:val="TableContents"/>
              <w:spacing w:before="0" w:after="283"/>
              <w:rPr/>
            </w:pPr>
            <w:r>
              <w:rPr/>
              <w:t> </w:t>
            </w:r>
          </w:p>
        </w:tc>
      </w:tr>
      <w:tr>
        <w:trPr/>
        <w:tc>
          <w:tcPr>
            <w:tcW w:w="222" w:type="dxa"/>
            <w:tcBorders/>
            <w:shd w:fill="CCEEFF" w:val="clear"/>
            <w:vAlign w:val="bottom"/>
          </w:tcPr>
          <w:p>
            <w:pPr>
              <w:pStyle w:val="TableContents"/>
              <w:spacing w:before="0" w:after="283"/>
              <w:rPr/>
            </w:pPr>
            <w:r>
              <w:rPr/>
              <w:t> </w:t>
            </w:r>
          </w:p>
        </w:tc>
        <w:tc>
          <w:tcPr>
            <w:tcW w:w="380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June 30, 2013</w:t>
            </w:r>
          </w:p>
        </w:tc>
        <w:tc>
          <w:tcPr>
            <w:tcW w:w="16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08" w:type="dxa"/>
            <w:tcBorders/>
            <w:shd w:fill="CCEEFF" w:val="clear"/>
            <w:vAlign w:val="bottom"/>
          </w:tcPr>
          <w:p>
            <w:pPr>
              <w:pStyle w:val="TableContents"/>
              <w:spacing w:before="0" w:after="283"/>
              <w:jc w:val="right"/>
              <w:rPr>
                <w:rFonts w:ascii="times" w:hAnsi="times"/>
                <w:sz w:val="14"/>
              </w:rPr>
            </w:pPr>
            <w:r>
              <w:rPr>
                <w:rFonts w:ascii="times" w:hAnsi="times"/>
                <w:sz w:val="14"/>
              </w:rPr>
              <w:t>(16,206</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3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800" w:type="dxa"/>
            <w:tcBorders/>
            <w:shd w:fill="CCEEFF" w:val="clear"/>
            <w:vAlign w:val="bottom"/>
          </w:tcPr>
          <w:p>
            <w:pPr>
              <w:pStyle w:val="TableContents"/>
              <w:spacing w:before="0" w:after="283"/>
              <w:jc w:val="right"/>
              <w:rPr>
                <w:rFonts w:ascii="times" w:hAnsi="times"/>
                <w:sz w:val="14"/>
              </w:rPr>
            </w:pPr>
            <w:r>
              <w:rPr>
                <w:rFonts w:ascii="times" w:hAnsi="times"/>
                <w:sz w:val="14"/>
              </w:rPr>
              <w:t>(347</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49" w:type="dxa"/>
            <w:tcBorders/>
            <w:shd w:fill="CCEEFF" w:val="clear"/>
            <w:vAlign w:val="bottom"/>
          </w:tcPr>
          <w:p>
            <w:pPr>
              <w:pStyle w:val="TableContents"/>
              <w:spacing w:before="0" w:after="283"/>
              <w:jc w:val="right"/>
              <w:rPr>
                <w:rFonts w:ascii="times" w:hAnsi="times"/>
                <w:sz w:val="14"/>
              </w:rPr>
            </w:pPr>
            <w:r>
              <w:rPr>
                <w:rFonts w:ascii="times" w:hAnsi="times"/>
                <w:sz w:val="14"/>
              </w:rPr>
              <w:t>(1,210</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82" w:type="dxa"/>
            <w:tcBorders/>
            <w:shd w:fill="CCEEFF" w:val="clear"/>
            <w:vAlign w:val="bottom"/>
          </w:tcPr>
          <w:p>
            <w:pPr>
              <w:pStyle w:val="TableContents"/>
              <w:spacing w:before="0" w:after="283"/>
              <w:jc w:val="right"/>
              <w:rPr>
                <w:rFonts w:ascii="times" w:hAnsi="times"/>
                <w:sz w:val="14"/>
              </w:rPr>
            </w:pPr>
            <w:r>
              <w:rPr>
                <w:rFonts w:ascii="times" w:hAnsi="times"/>
                <w:sz w:val="14"/>
              </w:rPr>
              <w:t>(3,369</w:t>
            </w:r>
          </w:p>
        </w:tc>
        <w:tc>
          <w:tcPr>
            <w:tcW w:w="1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(21,132</w:t>
            </w:r>
          </w:p>
        </w:tc>
        <w:tc>
          <w:tcPr>
            <w:tcW w:w="179"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22" w:type="dxa"/>
            <w:tcBorders/>
            <w:shd w:fill="auto" w:val="clear"/>
          </w:tcPr>
          <w:p>
            <w:pPr>
              <w:pStyle w:val="TableContents"/>
              <w:spacing w:before="0" w:after="283"/>
              <w:rPr/>
            </w:pPr>
            <w:r>
              <w:rPr/>
              <w:t> </w:t>
            </w:r>
          </w:p>
        </w:tc>
        <w:tc>
          <w:tcPr>
            <w:tcW w:w="3807"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90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93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9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67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6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9"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27</w:t>
      </w:r>
    </w:p>
    <w:p>
      <w:pPr>
        <w:pStyle w:val="HorizontalLine"/>
        <w:pBdr>
          <w:bottom w:val="single" w:sz="20" w:space="0" w:color="808080"/>
        </w:pBdr>
        <w:rPr/>
      </w:pPr>
      <w:r>
        <w:rPr/>
      </w:r>
      <w:r>
        <w:br w:type="page"/>
      </w:r>
    </w:p>
    <w:p>
      <w:pPr>
        <w:pStyle w:val="TextBody"/>
        <w:jc w:val="center"/>
        <w:rPr>
          <w:rFonts w:ascii="times" w:hAnsi="times"/>
          <w:b/>
          <w:sz w:val="20"/>
        </w:rPr>
      </w:pPr>
      <w:bookmarkStart w:id="54" w:name="page_fi72201_1_28"/>
      <w:bookmarkEnd w:id="54"/>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7.     STOCK-BASED COMPENSATION </w:t>
      </w:r>
    </w:p>
    <w:p>
      <w:pPr>
        <w:pStyle w:val="TextBody"/>
        <w:numPr>
          <w:ilvl w:val="0"/>
          <w:numId w:val="0"/>
        </w:numPr>
        <w:ind w:left="707" w:hanging="0"/>
        <w:rPr>
          <w:rFonts w:ascii="times" w:hAnsi="times"/>
          <w:sz w:val="14"/>
        </w:rPr>
      </w:pPr>
      <w:r>
        <w:rPr>
          <w:rFonts w:ascii="times" w:hAnsi="times"/>
          <w:sz w:val="14"/>
        </w:rPr>
        <w:t xml:space="preserve">The following continuities summarize activity with respect to the Company's outstanding employee stock options: </w:t>
      </w:r>
    </w:p>
    <w:tbl>
      <w:tblPr>
        <w:tblW w:w="5000" w:type="pct"/>
        <w:jc w:val="center"/>
        <w:tblInd w:w="0" w:type="dxa"/>
        <w:tblCellMar>
          <w:top w:w="0" w:type="dxa"/>
          <w:left w:w="0" w:type="dxa"/>
          <w:bottom w:w="0" w:type="dxa"/>
          <w:right w:w="0" w:type="dxa"/>
        </w:tblCellMar>
      </w:tblPr>
      <w:tblGrid>
        <w:gridCol w:w="317"/>
        <w:gridCol w:w="2582"/>
        <w:gridCol w:w="238"/>
        <w:gridCol w:w="119"/>
        <w:gridCol w:w="1466"/>
        <w:gridCol w:w="238"/>
        <w:gridCol w:w="145"/>
        <w:gridCol w:w="1328"/>
        <w:gridCol w:w="238"/>
        <w:gridCol w:w="119"/>
        <w:gridCol w:w="1466"/>
        <w:gridCol w:w="238"/>
        <w:gridCol w:w="145"/>
        <w:gridCol w:w="1328"/>
        <w:gridCol w:w="238"/>
      </w:tblGrid>
      <w:tr>
        <w:trPr/>
        <w:tc>
          <w:tcPr>
            <w:tcW w:w="317" w:type="dxa"/>
            <w:tcBorders/>
            <w:shd w:fill="auto" w:val="clear"/>
            <w:vAlign w:val="center"/>
          </w:tcPr>
          <w:p>
            <w:pPr>
              <w:pStyle w:val="TableContents"/>
              <w:spacing w:before="0" w:after="283"/>
              <w:rPr>
                <w:sz w:val="4"/>
                <w:szCs w:val="4"/>
              </w:rPr>
            </w:pPr>
            <w:r>
              <w:rPr>
                <w:sz w:val="4"/>
                <w:szCs w:val="4"/>
              </w:rPr>
            </w:r>
          </w:p>
        </w:tc>
        <w:tc>
          <w:tcPr>
            <w:tcW w:w="2582"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466"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328"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466"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328"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r>
      <w:tr>
        <w:trPr/>
        <w:tc>
          <w:tcPr>
            <w:tcW w:w="317" w:type="dxa"/>
            <w:tcBorders/>
            <w:shd w:fill="auto" w:val="clear"/>
            <w:vAlign w:val="bottom"/>
          </w:tcPr>
          <w:p>
            <w:pPr>
              <w:pStyle w:val="TableHeading"/>
              <w:suppressLineNumbers/>
              <w:spacing w:before="0" w:after="283"/>
              <w:jc w:val="center"/>
              <w:rPr/>
            </w:pPr>
            <w:r>
              <w:rPr/>
              <w:t> </w:t>
            </w:r>
          </w:p>
        </w:tc>
        <w:tc>
          <w:tcPr>
            <w:tcW w:w="2582" w:type="dxa"/>
            <w:tcBorders/>
            <w:shd w:fill="auto" w:val="clear"/>
            <w:vAlign w:val="bottom"/>
          </w:tcPr>
          <w:p>
            <w:pPr>
              <w:pStyle w:val="TableHeading"/>
              <w:spacing w:before="0" w:after="283"/>
              <w:jc w:val="left"/>
              <w:rPr/>
            </w:pPr>
            <w:r>
              <w:rPr/>
              <w:t> </w:t>
            </w:r>
          </w:p>
        </w:tc>
        <w:tc>
          <w:tcPr>
            <w:tcW w:w="238" w:type="dxa"/>
            <w:tcBorders/>
            <w:shd w:fill="auto" w:val="clear"/>
            <w:vAlign w:val="bottom"/>
          </w:tcPr>
          <w:p>
            <w:pPr>
              <w:pStyle w:val="TableHeading"/>
              <w:suppressLineNumbers/>
              <w:spacing w:before="0" w:after="283"/>
              <w:jc w:val="center"/>
              <w:rPr/>
            </w:pPr>
            <w:r>
              <w:rPr/>
              <w:t> </w:t>
            </w:r>
          </w:p>
        </w:tc>
        <w:tc>
          <w:tcPr>
            <w:tcW w:w="32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238" w:type="dxa"/>
            <w:tcBorders/>
            <w:shd w:fill="auto" w:val="clear"/>
            <w:vAlign w:val="bottom"/>
          </w:tcPr>
          <w:p>
            <w:pPr>
              <w:pStyle w:val="TableHeading"/>
              <w:suppressLineNumbers/>
              <w:spacing w:before="0" w:after="283"/>
              <w:jc w:val="center"/>
              <w:rPr/>
            </w:pPr>
            <w:r>
              <w:rPr/>
              <w:t> </w:t>
            </w:r>
          </w:p>
        </w:tc>
        <w:tc>
          <w:tcPr>
            <w:tcW w:w="32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2012 </w:t>
            </w:r>
          </w:p>
        </w:tc>
        <w:tc>
          <w:tcPr>
            <w:tcW w:w="238" w:type="dxa"/>
            <w:tcBorders/>
            <w:shd w:fill="auto" w:val="clear"/>
            <w:vAlign w:val="bottom"/>
          </w:tcPr>
          <w:p>
            <w:pPr>
              <w:pStyle w:val="TableHeading"/>
              <w:suppressLineNumbers/>
              <w:spacing w:before="0" w:after="283"/>
              <w:jc w:val="center"/>
              <w:rPr/>
            </w:pPr>
            <w:r>
              <w:rPr/>
              <w:t> </w:t>
            </w:r>
          </w:p>
        </w:tc>
      </w:tr>
      <w:tr>
        <w:trPr/>
        <w:tc>
          <w:tcPr>
            <w:tcW w:w="317" w:type="dxa"/>
            <w:tcBorders/>
            <w:shd w:fill="auto" w:val="clear"/>
            <w:vAlign w:val="bottom"/>
          </w:tcPr>
          <w:p>
            <w:pPr>
              <w:pStyle w:val="TableHeading"/>
              <w:suppressLineNumbers/>
              <w:spacing w:before="0" w:after="283"/>
              <w:jc w:val="center"/>
              <w:rPr/>
            </w:pPr>
            <w:r>
              <w:rPr/>
              <w:t> </w:t>
            </w:r>
          </w:p>
        </w:tc>
        <w:tc>
          <w:tcPr>
            <w:tcW w:w="2582" w:type="dxa"/>
            <w:tcBorders/>
            <w:shd w:fill="auto" w:val="clear"/>
            <w:vAlign w:val="bottom"/>
          </w:tcPr>
          <w:p>
            <w:pPr>
              <w:pStyle w:val="TableHeading"/>
              <w:spacing w:before="0" w:after="283"/>
              <w:jc w:val="left"/>
              <w:rPr/>
            </w:pPr>
            <w:r>
              <w:rPr/>
              <w:t> </w:t>
            </w:r>
          </w:p>
        </w:tc>
        <w:tc>
          <w:tcPr>
            <w:tcW w:w="238" w:type="dxa"/>
            <w:tcBorders/>
            <w:shd w:fill="auto" w:val="clear"/>
            <w:vAlign w:val="bottom"/>
          </w:tcPr>
          <w:p>
            <w:pPr>
              <w:pStyle w:val="TableHeading"/>
              <w:suppressLineNumbers/>
              <w:spacing w:before="0" w:after="283"/>
              <w:jc w:val="center"/>
              <w:rPr/>
            </w:pPr>
            <w:r>
              <w:rPr/>
              <w:t> </w:t>
            </w:r>
          </w:p>
        </w:tc>
        <w:tc>
          <w:tcPr>
            <w:tcW w:w="158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Employee Stock</w:t>
              <w:br/>
              <w:t xml:space="preserve">Options </w:t>
            </w:r>
          </w:p>
        </w:tc>
        <w:tc>
          <w:tcPr>
            <w:tcW w:w="238" w:type="dxa"/>
            <w:tcBorders/>
            <w:shd w:fill="auto" w:val="clear"/>
            <w:vAlign w:val="bottom"/>
          </w:tcPr>
          <w:p>
            <w:pPr>
              <w:pStyle w:val="TableHeading"/>
              <w:suppressLineNumbers/>
              <w:spacing w:before="0" w:after="283"/>
              <w:jc w:val="center"/>
              <w:rPr/>
            </w:pPr>
            <w:r>
              <w:rPr/>
              <w:t> </w:t>
            </w:r>
          </w:p>
        </w:tc>
        <w:tc>
          <w:tcPr>
            <w:tcW w:w="14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Weighted</w:t>
              <w:br/>
              <w:t>Average</w:t>
              <w:br/>
              <w:t xml:space="preserve">Exercise Price </w:t>
            </w:r>
          </w:p>
        </w:tc>
        <w:tc>
          <w:tcPr>
            <w:tcW w:w="238" w:type="dxa"/>
            <w:tcBorders/>
            <w:shd w:fill="auto" w:val="clear"/>
            <w:vAlign w:val="bottom"/>
          </w:tcPr>
          <w:p>
            <w:pPr>
              <w:pStyle w:val="TableHeading"/>
              <w:suppressLineNumbers/>
              <w:spacing w:before="0" w:after="283"/>
              <w:jc w:val="center"/>
              <w:rPr/>
            </w:pPr>
            <w:r>
              <w:rPr/>
              <w:t> </w:t>
            </w:r>
          </w:p>
        </w:tc>
        <w:tc>
          <w:tcPr>
            <w:tcW w:w="158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Employee Stock</w:t>
              <w:br/>
              <w:t xml:space="preserve">Options </w:t>
            </w:r>
          </w:p>
        </w:tc>
        <w:tc>
          <w:tcPr>
            <w:tcW w:w="238" w:type="dxa"/>
            <w:tcBorders/>
            <w:shd w:fill="auto" w:val="clear"/>
            <w:vAlign w:val="bottom"/>
          </w:tcPr>
          <w:p>
            <w:pPr>
              <w:pStyle w:val="TableHeading"/>
              <w:suppressLineNumbers/>
              <w:spacing w:before="0" w:after="283"/>
              <w:jc w:val="center"/>
              <w:rPr/>
            </w:pPr>
            <w:r>
              <w:rPr/>
              <w:t> </w:t>
            </w:r>
          </w:p>
        </w:tc>
        <w:tc>
          <w:tcPr>
            <w:tcW w:w="14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Weighted</w:t>
              <w:br/>
              <w:t>Average</w:t>
              <w:br/>
              <w:t xml:space="preserve">Exercise Price </w:t>
            </w:r>
          </w:p>
        </w:tc>
        <w:tc>
          <w:tcPr>
            <w:tcW w:w="238" w:type="dxa"/>
            <w:tcBorders/>
            <w:shd w:fill="auto" w:val="clear"/>
            <w:vAlign w:val="bottom"/>
          </w:tcPr>
          <w:p>
            <w:pPr>
              <w:pStyle w:val="TableHeading"/>
              <w:suppressLineNumbers/>
              <w:spacing w:before="0" w:after="283"/>
              <w:jc w:val="center"/>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Outstanding, beginning of period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10,587,126</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56.60</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8,959,051</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62.88</w:t>
            </w:r>
          </w:p>
        </w:tc>
        <w:tc>
          <w:tcPr>
            <w:tcW w:w="238" w:type="dxa"/>
            <w:tcBorders/>
            <w:shd w:fill="CCEEFF" w:val="clear"/>
            <w:vAlign w:val="bottom"/>
          </w:tcPr>
          <w:p>
            <w:pPr>
              <w:pStyle w:val="TableContents"/>
              <w:spacing w:before="0" w:after="283"/>
              <w:rPr/>
            </w:pPr>
            <w:r>
              <w:rPr/>
              <w:t> </w:t>
            </w:r>
          </w:p>
        </w:tc>
      </w:tr>
      <w:tr>
        <w:trPr/>
        <w:tc>
          <w:tcPr>
            <w:tcW w:w="317" w:type="dxa"/>
            <w:tcBorders/>
            <w:shd w:fill="FFFFFF" w:val="clear"/>
          </w:tcPr>
          <w:p>
            <w:pPr>
              <w:pStyle w:val="TableContents"/>
              <w:spacing w:before="0" w:after="283"/>
              <w:rPr/>
            </w:pPr>
            <w:r>
              <w:rPr/>
              <w:t> </w:t>
            </w:r>
          </w:p>
        </w:tc>
        <w:tc>
          <w:tcPr>
            <w:tcW w:w="258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Granted</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2,803,000</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52.13</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3,251,000</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36.98</w:t>
            </w:r>
          </w:p>
        </w:tc>
        <w:tc>
          <w:tcPr>
            <w:tcW w:w="238" w:type="dxa"/>
            <w:tcBorders/>
            <w:shd w:fill="FFFFFF" w:val="clear"/>
            <w:vAlign w:val="bottom"/>
          </w:tcPr>
          <w:p>
            <w:pPr>
              <w:pStyle w:val="TableContents"/>
              <w:spacing w:before="0" w:after="283"/>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Exercised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(213,500</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37.06</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(15,250</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37.05</w:t>
            </w:r>
          </w:p>
        </w:tc>
        <w:tc>
          <w:tcPr>
            <w:tcW w:w="238" w:type="dxa"/>
            <w:tcBorders/>
            <w:shd w:fill="CCEEFF" w:val="clear"/>
            <w:vAlign w:val="bottom"/>
          </w:tcPr>
          <w:p>
            <w:pPr>
              <w:pStyle w:val="TableContents"/>
              <w:spacing w:before="0" w:after="283"/>
              <w:rPr/>
            </w:pPr>
            <w:r>
              <w:rPr/>
              <w:t> </w:t>
            </w:r>
          </w:p>
        </w:tc>
      </w:tr>
      <w:tr>
        <w:trPr/>
        <w:tc>
          <w:tcPr>
            <w:tcW w:w="317" w:type="dxa"/>
            <w:tcBorders/>
            <w:shd w:fill="FFFFFF" w:val="clear"/>
          </w:tcPr>
          <w:p>
            <w:pPr>
              <w:pStyle w:val="TableContents"/>
              <w:spacing w:before="0" w:after="283"/>
              <w:rPr/>
            </w:pPr>
            <w:r>
              <w:rPr/>
              <w:t> </w:t>
            </w:r>
          </w:p>
        </w:tc>
        <w:tc>
          <w:tcPr>
            <w:tcW w:w="258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Forfeited</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(181,750</w:t>
            </w:r>
          </w:p>
        </w:tc>
        <w:tc>
          <w:tcPr>
            <w:tcW w:w="2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60.68</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(120,750</w:t>
            </w:r>
          </w:p>
        </w:tc>
        <w:tc>
          <w:tcPr>
            <w:tcW w:w="2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60.37</w:t>
            </w:r>
          </w:p>
        </w:tc>
        <w:tc>
          <w:tcPr>
            <w:tcW w:w="238" w:type="dxa"/>
            <w:tcBorders/>
            <w:shd w:fill="FFFFFF" w:val="clear"/>
            <w:vAlign w:val="bottom"/>
          </w:tcPr>
          <w:p>
            <w:pPr>
              <w:pStyle w:val="TableContents"/>
              <w:spacing w:before="0" w:after="283"/>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Expired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(1,340,885</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54.86</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(481,650</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47.49</w:t>
            </w:r>
          </w:p>
        </w:tc>
        <w:tc>
          <w:tcPr>
            <w:tcW w:w="238" w:type="dxa"/>
            <w:tcBorders/>
            <w:shd w:fill="CCEEFF" w:val="clear"/>
            <w:vAlign w:val="bottom"/>
          </w:tcPr>
          <w:p>
            <w:pPr>
              <w:pStyle w:val="TableContents"/>
              <w:spacing w:before="0" w:after="283"/>
              <w:rPr/>
            </w:pPr>
            <w:r>
              <w:rPr/>
              <w:t> </w:t>
            </w:r>
          </w:p>
        </w:tc>
      </w:tr>
      <w:tr>
        <w:trPr/>
        <w:tc>
          <w:tcPr>
            <w:tcW w:w="317" w:type="dxa"/>
            <w:tcBorders/>
            <w:shd w:fill="auto" w:val="clear"/>
          </w:tcPr>
          <w:p>
            <w:pPr>
              <w:pStyle w:val="TableContents"/>
              <w:spacing w:before="0" w:after="283"/>
              <w:rPr/>
            </w:pPr>
            <w:r>
              <w:rPr/>
              <w:t> </w:t>
            </w:r>
          </w:p>
        </w:tc>
        <w:tc>
          <w:tcPr>
            <w:tcW w:w="258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r>
      <w:tr>
        <w:trPr/>
        <w:tc>
          <w:tcPr>
            <w:tcW w:w="317" w:type="dxa"/>
            <w:tcBorders/>
            <w:shd w:fill="FFFFFF" w:val="clear"/>
          </w:tcPr>
          <w:p>
            <w:pPr>
              <w:pStyle w:val="TableContents"/>
              <w:spacing w:before="0" w:after="283"/>
              <w:rPr/>
            </w:pPr>
            <w:r>
              <w:rPr/>
              <w:t> </w:t>
            </w:r>
          </w:p>
        </w:tc>
        <w:tc>
          <w:tcPr>
            <w:tcW w:w="258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Outstanding, end of period</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11,653,991</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56.02</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11,592,401</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56.32</w:t>
            </w:r>
          </w:p>
        </w:tc>
        <w:tc>
          <w:tcPr>
            <w:tcW w:w="238" w:type="dxa"/>
            <w:tcBorders/>
            <w:shd w:fill="FFFFFF" w:val="clear"/>
            <w:vAlign w:val="bottom"/>
          </w:tcPr>
          <w:p>
            <w:pPr>
              <w:pStyle w:val="TableContents"/>
              <w:spacing w:before="0" w:after="283"/>
              <w:rPr/>
            </w:pPr>
            <w:r>
              <w:rPr/>
              <w:t> </w:t>
            </w:r>
          </w:p>
        </w:tc>
      </w:tr>
      <w:tr>
        <w:trPr/>
        <w:tc>
          <w:tcPr>
            <w:tcW w:w="317" w:type="dxa"/>
            <w:tcBorders/>
            <w:shd w:fill="auto" w:val="clear"/>
          </w:tcPr>
          <w:p>
            <w:pPr>
              <w:pStyle w:val="TableContents"/>
              <w:spacing w:before="0" w:after="283"/>
              <w:rPr/>
            </w:pPr>
            <w:r>
              <w:rPr/>
              <w:t> </w:t>
            </w:r>
          </w:p>
        </w:tc>
        <w:tc>
          <w:tcPr>
            <w:tcW w:w="258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Exercisable, end of period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7,469,045</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59.36</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7,209,989</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59.20</w:t>
            </w:r>
          </w:p>
        </w:tc>
        <w:tc>
          <w:tcPr>
            <w:tcW w:w="238" w:type="dxa"/>
            <w:tcBorders/>
            <w:shd w:fill="CCEEFF" w:val="clear"/>
            <w:vAlign w:val="bottom"/>
          </w:tcPr>
          <w:p>
            <w:pPr>
              <w:pStyle w:val="TableContents"/>
              <w:spacing w:before="0" w:after="283"/>
              <w:rPr/>
            </w:pPr>
            <w:r>
              <w:rPr/>
              <w:t> </w:t>
            </w:r>
          </w:p>
        </w:tc>
      </w:tr>
      <w:tr>
        <w:trPr/>
        <w:tc>
          <w:tcPr>
            <w:tcW w:w="317" w:type="dxa"/>
            <w:tcBorders/>
            <w:shd w:fill="auto" w:val="clear"/>
          </w:tcPr>
          <w:p>
            <w:pPr>
              <w:pStyle w:val="TableContents"/>
              <w:spacing w:before="0" w:after="283"/>
              <w:rPr/>
            </w:pPr>
            <w:r>
              <w:rPr/>
              <w:t> </w:t>
            </w:r>
          </w:p>
        </w:tc>
        <w:tc>
          <w:tcPr>
            <w:tcW w:w="258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Agnico Eagle estimated the fair value of employee stock options under the Black-Scholes option pricing model using the following weighted average assumptions: </w:t>
      </w:r>
    </w:p>
    <w:tbl>
      <w:tblPr>
        <w:tblW w:w="5000" w:type="pct"/>
        <w:jc w:val="center"/>
        <w:tblInd w:w="0" w:type="dxa"/>
        <w:tblCellMar>
          <w:top w:w="0" w:type="dxa"/>
          <w:left w:w="0" w:type="dxa"/>
          <w:bottom w:w="0" w:type="dxa"/>
          <w:right w:w="0" w:type="dxa"/>
        </w:tblCellMar>
      </w:tblPr>
      <w:tblGrid>
        <w:gridCol w:w="469"/>
        <w:gridCol w:w="5681"/>
        <w:gridCol w:w="353"/>
        <w:gridCol w:w="176"/>
        <w:gridCol w:w="1322"/>
        <w:gridCol w:w="353"/>
        <w:gridCol w:w="176"/>
        <w:gridCol w:w="1322"/>
        <w:gridCol w:w="353"/>
      </w:tblGrid>
      <w:tr>
        <w:trPr/>
        <w:tc>
          <w:tcPr>
            <w:tcW w:w="469" w:type="dxa"/>
            <w:tcBorders/>
            <w:shd w:fill="auto" w:val="clear"/>
            <w:vAlign w:val="center"/>
          </w:tcPr>
          <w:p>
            <w:pPr>
              <w:pStyle w:val="TableContents"/>
              <w:spacing w:before="0" w:after="283"/>
              <w:rPr>
                <w:sz w:val="4"/>
                <w:szCs w:val="4"/>
              </w:rPr>
            </w:pPr>
            <w:r>
              <w:rPr>
                <w:sz w:val="4"/>
                <w:szCs w:val="4"/>
              </w:rPr>
            </w:r>
          </w:p>
        </w:tc>
        <w:tc>
          <w:tcPr>
            <w:tcW w:w="5681"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22"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22"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r>
      <w:tr>
        <w:trPr/>
        <w:tc>
          <w:tcPr>
            <w:tcW w:w="469" w:type="dxa"/>
            <w:tcBorders/>
            <w:shd w:fill="auto" w:val="clear"/>
            <w:vAlign w:val="bottom"/>
          </w:tcPr>
          <w:p>
            <w:pPr>
              <w:pStyle w:val="TableHeading"/>
              <w:suppressLineNumbers/>
              <w:spacing w:before="0" w:after="283"/>
              <w:jc w:val="center"/>
              <w:rPr/>
            </w:pPr>
            <w:r>
              <w:rPr/>
              <w:t> </w:t>
            </w:r>
          </w:p>
        </w:tc>
        <w:tc>
          <w:tcPr>
            <w:tcW w:w="5681" w:type="dxa"/>
            <w:tcBorders/>
            <w:shd w:fill="auto" w:val="clear"/>
            <w:vAlign w:val="bottom"/>
          </w:tcPr>
          <w:p>
            <w:pPr>
              <w:pStyle w:val="TableHeading"/>
              <w:spacing w:before="0" w:after="283"/>
              <w:jc w:val="left"/>
              <w:rPr/>
            </w:pPr>
            <w:r>
              <w:rPr/>
              <w:t> </w:t>
            </w:r>
          </w:p>
        </w:tc>
        <w:tc>
          <w:tcPr>
            <w:tcW w:w="353" w:type="dxa"/>
            <w:tcBorders/>
            <w:shd w:fill="auto" w:val="clear"/>
            <w:vAlign w:val="bottom"/>
          </w:tcPr>
          <w:p>
            <w:pPr>
              <w:pStyle w:val="TableHeading"/>
              <w:suppressLineNumbers/>
              <w:spacing w:before="0" w:after="283"/>
              <w:jc w:val="center"/>
              <w:rPr/>
            </w:pPr>
            <w:r>
              <w:rPr/>
              <w:t> </w:t>
            </w:r>
          </w:p>
        </w:tc>
        <w:tc>
          <w:tcPr>
            <w:tcW w:w="3349"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353" w:type="dxa"/>
            <w:tcBorders/>
            <w:shd w:fill="auto" w:val="clear"/>
            <w:vAlign w:val="bottom"/>
          </w:tcPr>
          <w:p>
            <w:pPr>
              <w:pStyle w:val="TableHeading"/>
              <w:suppressLineNumbers/>
              <w:spacing w:before="0" w:after="283"/>
              <w:jc w:val="center"/>
              <w:rPr/>
            </w:pPr>
            <w:r>
              <w:rPr/>
              <w:t> </w:t>
            </w:r>
          </w:p>
        </w:tc>
      </w:tr>
      <w:tr>
        <w:trPr/>
        <w:tc>
          <w:tcPr>
            <w:tcW w:w="469" w:type="dxa"/>
            <w:tcBorders/>
            <w:shd w:fill="auto" w:val="clear"/>
            <w:vAlign w:val="bottom"/>
          </w:tcPr>
          <w:p>
            <w:pPr>
              <w:pStyle w:val="TableHeading"/>
              <w:suppressLineNumbers/>
              <w:spacing w:before="0" w:after="283"/>
              <w:jc w:val="center"/>
              <w:rPr/>
            </w:pPr>
            <w:r>
              <w:rPr/>
              <w:t> </w:t>
            </w:r>
          </w:p>
        </w:tc>
        <w:tc>
          <w:tcPr>
            <w:tcW w:w="5681" w:type="dxa"/>
            <w:tcBorders/>
            <w:shd w:fill="auto" w:val="clear"/>
            <w:vAlign w:val="bottom"/>
          </w:tcPr>
          <w:p>
            <w:pPr>
              <w:pStyle w:val="TableHeading"/>
              <w:spacing w:before="0" w:after="283"/>
              <w:jc w:val="left"/>
              <w:rPr/>
            </w:pPr>
            <w:r>
              <w:rPr/>
              <w:t> </w:t>
            </w:r>
          </w:p>
        </w:tc>
        <w:tc>
          <w:tcPr>
            <w:tcW w:w="353" w:type="dxa"/>
            <w:tcBorders/>
            <w:shd w:fill="auto" w:val="clear"/>
            <w:vAlign w:val="bottom"/>
          </w:tcPr>
          <w:p>
            <w:pPr>
              <w:pStyle w:val="TableHeading"/>
              <w:suppressLineNumbers/>
              <w:spacing w:before="0" w:after="283"/>
              <w:jc w:val="center"/>
              <w:rPr/>
            </w:pPr>
            <w:r>
              <w:rPr/>
              <w:t> </w:t>
            </w:r>
          </w:p>
        </w:tc>
        <w:tc>
          <w:tcPr>
            <w:tcW w:w="149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353" w:type="dxa"/>
            <w:tcBorders/>
            <w:shd w:fill="auto" w:val="clear"/>
            <w:vAlign w:val="bottom"/>
          </w:tcPr>
          <w:p>
            <w:pPr>
              <w:pStyle w:val="TableHeading"/>
              <w:suppressLineNumbers/>
              <w:spacing w:before="0" w:after="283"/>
              <w:jc w:val="center"/>
              <w:rPr/>
            </w:pPr>
            <w:r>
              <w:rPr/>
              <w:t> </w:t>
            </w:r>
          </w:p>
        </w:tc>
        <w:tc>
          <w:tcPr>
            <w:tcW w:w="149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353" w:type="dxa"/>
            <w:tcBorders/>
            <w:shd w:fill="auto" w:val="clear"/>
            <w:vAlign w:val="bottom"/>
          </w:tcPr>
          <w:p>
            <w:pPr>
              <w:pStyle w:val="TableHeading"/>
              <w:suppressLineNumbers/>
              <w:spacing w:before="0" w:after="283"/>
              <w:jc w:val="center"/>
              <w:rPr/>
            </w:pPr>
            <w:r>
              <w:rPr/>
              <w:t> </w:t>
            </w:r>
          </w:p>
        </w:tc>
      </w:tr>
      <w:tr>
        <w:trPr/>
        <w:tc>
          <w:tcPr>
            <w:tcW w:w="469" w:type="dxa"/>
            <w:tcBorders/>
            <w:shd w:fill="CCEEFF" w:val="clear"/>
          </w:tcPr>
          <w:p>
            <w:pPr>
              <w:pStyle w:val="TableContents"/>
              <w:spacing w:before="0" w:after="283"/>
              <w:rPr/>
            </w:pPr>
            <w:r>
              <w:rPr/>
              <w:t> </w:t>
            </w:r>
          </w:p>
        </w:tc>
        <w:tc>
          <w:tcPr>
            <w:tcW w:w="568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Risk-free interest rate</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1.51%</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1.25%</w:t>
            </w:r>
          </w:p>
        </w:tc>
        <w:tc>
          <w:tcPr>
            <w:tcW w:w="353" w:type="dxa"/>
            <w:tcBorders/>
            <w:shd w:fill="CCEEFF" w:val="clear"/>
            <w:vAlign w:val="bottom"/>
          </w:tcPr>
          <w:p>
            <w:pPr>
              <w:pStyle w:val="TableContents"/>
              <w:spacing w:before="0" w:after="283"/>
              <w:rPr/>
            </w:pPr>
            <w:r>
              <w:rPr/>
              <w:t> </w:t>
            </w:r>
          </w:p>
        </w:tc>
      </w:tr>
      <w:tr>
        <w:trPr/>
        <w:tc>
          <w:tcPr>
            <w:tcW w:w="469" w:type="dxa"/>
            <w:tcBorders/>
            <w:shd w:fill="FFFFFF" w:val="clear"/>
          </w:tcPr>
          <w:p>
            <w:pPr>
              <w:pStyle w:val="TableContents"/>
              <w:spacing w:before="0" w:after="283"/>
              <w:rPr/>
            </w:pPr>
            <w:r>
              <w:rPr/>
              <w:t> </w:t>
            </w:r>
          </w:p>
        </w:tc>
        <w:tc>
          <w:tcPr>
            <w:tcW w:w="568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Expected life of employee stock options (in years)</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2.7</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2.8</w:t>
            </w:r>
          </w:p>
        </w:tc>
        <w:tc>
          <w:tcPr>
            <w:tcW w:w="353" w:type="dxa"/>
            <w:tcBorders/>
            <w:shd w:fill="FFFFFF" w:val="clear"/>
            <w:vAlign w:val="bottom"/>
          </w:tcPr>
          <w:p>
            <w:pPr>
              <w:pStyle w:val="TableContents"/>
              <w:spacing w:before="0" w:after="283"/>
              <w:rPr/>
            </w:pPr>
            <w:r>
              <w:rPr/>
              <w:t> </w:t>
            </w:r>
          </w:p>
        </w:tc>
      </w:tr>
      <w:tr>
        <w:trPr/>
        <w:tc>
          <w:tcPr>
            <w:tcW w:w="469" w:type="dxa"/>
            <w:tcBorders/>
            <w:shd w:fill="CCEEFF" w:val="clear"/>
          </w:tcPr>
          <w:p>
            <w:pPr>
              <w:pStyle w:val="TableContents"/>
              <w:spacing w:before="0" w:after="283"/>
              <w:rPr/>
            </w:pPr>
            <w:r>
              <w:rPr/>
              <w:t> </w:t>
            </w:r>
          </w:p>
        </w:tc>
        <w:tc>
          <w:tcPr>
            <w:tcW w:w="568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Expected volatility of Agnico Eagle's share price</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35.0%</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37.5%</w:t>
            </w:r>
          </w:p>
        </w:tc>
        <w:tc>
          <w:tcPr>
            <w:tcW w:w="353" w:type="dxa"/>
            <w:tcBorders/>
            <w:shd w:fill="CCEEFF" w:val="clear"/>
            <w:vAlign w:val="bottom"/>
          </w:tcPr>
          <w:p>
            <w:pPr>
              <w:pStyle w:val="TableContents"/>
              <w:spacing w:before="0" w:after="283"/>
              <w:rPr/>
            </w:pPr>
            <w:r>
              <w:rPr/>
              <w:t> </w:t>
            </w:r>
          </w:p>
        </w:tc>
      </w:tr>
      <w:tr>
        <w:trPr/>
        <w:tc>
          <w:tcPr>
            <w:tcW w:w="469" w:type="dxa"/>
            <w:tcBorders/>
            <w:shd w:fill="FFFFFF" w:val="clear"/>
          </w:tcPr>
          <w:p>
            <w:pPr>
              <w:pStyle w:val="TableContents"/>
              <w:spacing w:before="0" w:after="283"/>
              <w:rPr/>
            </w:pPr>
            <w:r>
              <w:rPr/>
              <w:t> </w:t>
            </w:r>
          </w:p>
        </w:tc>
        <w:tc>
          <w:tcPr>
            <w:tcW w:w="568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Expected dividend yield</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1.79%</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2.17%</w:t>
            </w:r>
          </w:p>
        </w:tc>
        <w:tc>
          <w:tcPr>
            <w:tcW w:w="353" w:type="dxa"/>
            <w:tcBorders/>
            <w:shd w:fill="FFFFFF"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8.     AVAILABLE-FOR-SALE SECURITIES </w:t>
      </w:r>
    </w:p>
    <w:p>
      <w:pPr>
        <w:pStyle w:val="TextBody"/>
        <w:numPr>
          <w:ilvl w:val="0"/>
          <w:numId w:val="0"/>
        </w:numPr>
        <w:ind w:left="707" w:hanging="0"/>
        <w:rPr>
          <w:rFonts w:ascii="times" w:hAnsi="times"/>
          <w:sz w:val="14"/>
        </w:rPr>
      </w:pPr>
      <w:r>
        <w:rPr>
          <w:rFonts w:ascii="times" w:hAnsi="times"/>
          <w:sz w:val="14"/>
        </w:rPr>
        <w:t xml:space="preserve">During the three and six months ended June 30, 2013, the Company did not dispose of any available-for-sale securities. During the three and six months ended June 30, 2012, the Company received proceeds of $30.7 million and recognized a loss before income taxes of $6.7 million on the sale of certain available-for-sale securities. </w:t>
      </w:r>
    </w:p>
    <w:p>
      <w:pPr>
        <w:pStyle w:val="TextBody"/>
        <w:numPr>
          <w:ilvl w:val="0"/>
          <w:numId w:val="0"/>
        </w:numPr>
        <w:ind w:left="707" w:hanging="0"/>
        <w:rPr>
          <w:rFonts w:ascii="times" w:hAnsi="times"/>
          <w:sz w:val="14"/>
        </w:rPr>
      </w:pPr>
      <w:r>
        <w:rPr>
          <w:rFonts w:ascii="times" w:hAnsi="times"/>
          <w:sz w:val="14"/>
        </w:rPr>
        <w:t xml:space="preserve">Available-for-sale securities consist of equity securities whose cost basis is determined using the average cost method. Available-for-sale securities are carried at fair value and comprise the following: </w:t>
      </w:r>
    </w:p>
    <w:tbl>
      <w:tblPr>
        <w:tblW w:w="5000" w:type="pct"/>
        <w:jc w:val="center"/>
        <w:tblInd w:w="0" w:type="dxa"/>
        <w:tblCellMar>
          <w:top w:w="0" w:type="dxa"/>
          <w:left w:w="0" w:type="dxa"/>
          <w:bottom w:w="0" w:type="dxa"/>
          <w:right w:w="0" w:type="dxa"/>
        </w:tblCellMar>
      </w:tblPr>
      <w:tblGrid>
        <w:gridCol w:w="358"/>
        <w:gridCol w:w="5334"/>
        <w:gridCol w:w="268"/>
        <w:gridCol w:w="142"/>
        <w:gridCol w:w="1454"/>
        <w:gridCol w:w="269"/>
        <w:gridCol w:w="142"/>
        <w:gridCol w:w="1969"/>
        <w:gridCol w:w="269"/>
      </w:tblGrid>
      <w:tr>
        <w:trPr/>
        <w:tc>
          <w:tcPr>
            <w:tcW w:w="358" w:type="dxa"/>
            <w:tcBorders/>
            <w:shd w:fill="auto" w:val="clear"/>
            <w:vAlign w:val="center"/>
          </w:tcPr>
          <w:p>
            <w:pPr>
              <w:pStyle w:val="TableContents"/>
              <w:spacing w:before="0" w:after="283"/>
              <w:rPr>
                <w:sz w:val="4"/>
                <w:szCs w:val="4"/>
              </w:rPr>
            </w:pPr>
            <w:r>
              <w:rPr>
                <w:sz w:val="4"/>
                <w:szCs w:val="4"/>
              </w:rPr>
            </w:r>
          </w:p>
        </w:tc>
        <w:tc>
          <w:tcPr>
            <w:tcW w:w="5334"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1454"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1969"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r>
      <w:tr>
        <w:trPr/>
        <w:tc>
          <w:tcPr>
            <w:tcW w:w="358" w:type="dxa"/>
            <w:tcBorders/>
            <w:shd w:fill="auto" w:val="clear"/>
            <w:vAlign w:val="bottom"/>
          </w:tcPr>
          <w:p>
            <w:pPr>
              <w:pStyle w:val="TableHeading"/>
              <w:suppressLineNumbers/>
              <w:spacing w:before="0" w:after="283"/>
              <w:jc w:val="center"/>
              <w:rPr/>
            </w:pPr>
            <w:r>
              <w:rPr/>
              <w:t> </w:t>
            </w:r>
          </w:p>
        </w:tc>
        <w:tc>
          <w:tcPr>
            <w:tcW w:w="5334" w:type="dxa"/>
            <w:tcBorders/>
            <w:shd w:fill="auto" w:val="clear"/>
            <w:vAlign w:val="bottom"/>
          </w:tcPr>
          <w:p>
            <w:pPr>
              <w:pStyle w:val="TableHeading"/>
              <w:spacing w:before="0" w:after="283"/>
              <w:jc w:val="left"/>
              <w:rPr/>
            </w:pPr>
            <w:r>
              <w:rPr/>
              <w:t> </w:t>
            </w:r>
          </w:p>
        </w:tc>
        <w:tc>
          <w:tcPr>
            <w:tcW w:w="268" w:type="dxa"/>
            <w:tcBorders/>
            <w:shd w:fill="auto" w:val="clear"/>
            <w:vAlign w:val="bottom"/>
          </w:tcPr>
          <w:p>
            <w:pPr>
              <w:pStyle w:val="TableHeading"/>
              <w:suppressLineNumbers/>
              <w:spacing w:before="0" w:after="283"/>
              <w:jc w:val="center"/>
              <w:rPr/>
            </w:pPr>
            <w:r>
              <w:rPr/>
              <w:t> </w:t>
            </w:r>
          </w:p>
        </w:tc>
        <w:tc>
          <w:tcPr>
            <w:tcW w:w="15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 xml:space="preserve">June 30, 2013 </w:t>
            </w:r>
          </w:p>
        </w:tc>
        <w:tc>
          <w:tcPr>
            <w:tcW w:w="269" w:type="dxa"/>
            <w:tcBorders/>
            <w:shd w:fill="auto" w:val="clear"/>
            <w:vAlign w:val="bottom"/>
          </w:tcPr>
          <w:p>
            <w:pPr>
              <w:pStyle w:val="TableHeading"/>
              <w:suppressLineNumbers/>
              <w:spacing w:before="0" w:after="283"/>
              <w:jc w:val="center"/>
              <w:rPr/>
            </w:pPr>
            <w:r>
              <w:rPr/>
              <w:t> </w:t>
            </w:r>
          </w:p>
        </w:tc>
        <w:tc>
          <w:tcPr>
            <w:tcW w:w="211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 xml:space="preserve">December 31, 2012 </w:t>
            </w:r>
          </w:p>
        </w:tc>
        <w:tc>
          <w:tcPr>
            <w:tcW w:w="269" w:type="dxa"/>
            <w:tcBorders/>
            <w:shd w:fill="auto" w:val="clear"/>
            <w:vAlign w:val="bottom"/>
          </w:tcPr>
          <w:p>
            <w:pPr>
              <w:pStyle w:val="TableHeading"/>
              <w:suppressLineNumbers/>
              <w:spacing w:before="0" w:after="283"/>
              <w:jc w:val="center"/>
              <w:rPr/>
            </w:pPr>
            <w:r>
              <w:rPr/>
              <w:t> </w:t>
            </w:r>
          </w:p>
        </w:tc>
      </w:tr>
      <w:tr>
        <w:trPr/>
        <w:tc>
          <w:tcPr>
            <w:tcW w:w="358" w:type="dxa"/>
            <w:tcBorders/>
            <w:shd w:fill="CCEEFF" w:val="clear"/>
          </w:tcPr>
          <w:p>
            <w:pPr>
              <w:pStyle w:val="TableContents"/>
              <w:spacing w:before="0" w:after="283"/>
              <w:rPr/>
            </w:pPr>
            <w:r>
              <w:rPr/>
              <w:t> </w:t>
            </w:r>
          </w:p>
        </w:tc>
        <w:tc>
          <w:tcPr>
            <w:tcW w:w="5334"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Available-for-sale securities in an unrealized gain position:</w:t>
            </w:r>
          </w:p>
        </w:tc>
        <w:tc>
          <w:tcPr>
            <w:tcW w:w="268"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45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96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r>
      <w:tr>
        <w:trPr/>
        <w:tc>
          <w:tcPr>
            <w:tcW w:w="358" w:type="dxa"/>
            <w:tcBorders/>
            <w:shd w:fill="FFFFFF" w:val="clear"/>
          </w:tcPr>
          <w:p>
            <w:pPr>
              <w:pStyle w:val="TableContents"/>
              <w:spacing w:before="0" w:after="283"/>
              <w:rPr/>
            </w:pPr>
            <w:r>
              <w:rPr/>
              <w:t> </w:t>
            </w:r>
          </w:p>
        </w:tc>
        <w:tc>
          <w:tcPr>
            <w:tcW w:w="533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Cost (net of impairments)</w:t>
            </w:r>
          </w:p>
        </w:tc>
        <w:tc>
          <w:tcPr>
            <w:tcW w:w="268"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54" w:type="dxa"/>
            <w:tcBorders/>
            <w:shd w:fill="FFFFFF" w:val="clear"/>
            <w:vAlign w:val="bottom"/>
          </w:tcPr>
          <w:p>
            <w:pPr>
              <w:pStyle w:val="TableContents"/>
              <w:spacing w:before="0" w:after="283"/>
              <w:jc w:val="right"/>
              <w:rPr>
                <w:rFonts w:ascii="times" w:hAnsi="times"/>
                <w:sz w:val="14"/>
              </w:rPr>
            </w:pPr>
            <w:r>
              <w:rPr>
                <w:rFonts w:ascii="times" w:hAnsi="times"/>
                <w:sz w:val="14"/>
              </w:rPr>
              <w:t>35,745</w:t>
            </w:r>
          </w:p>
        </w:tc>
        <w:tc>
          <w:tcPr>
            <w:tcW w:w="269"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9" w:type="dxa"/>
            <w:tcBorders/>
            <w:shd w:fill="FFFFFF" w:val="clear"/>
            <w:vAlign w:val="bottom"/>
          </w:tcPr>
          <w:p>
            <w:pPr>
              <w:pStyle w:val="TableContents"/>
              <w:spacing w:before="0" w:after="283"/>
              <w:jc w:val="right"/>
              <w:rPr>
                <w:rFonts w:ascii="times" w:hAnsi="times"/>
                <w:sz w:val="14"/>
              </w:rPr>
            </w:pPr>
            <w:r>
              <w:rPr>
                <w:rFonts w:ascii="times" w:hAnsi="times"/>
                <w:sz w:val="14"/>
              </w:rPr>
              <w:t>4,352</w:t>
            </w:r>
          </w:p>
        </w:tc>
        <w:tc>
          <w:tcPr>
            <w:tcW w:w="269" w:type="dxa"/>
            <w:tcBorders/>
            <w:shd w:fill="FFFFFF" w:val="clear"/>
            <w:vAlign w:val="bottom"/>
          </w:tcPr>
          <w:p>
            <w:pPr>
              <w:pStyle w:val="TableContents"/>
              <w:spacing w:before="0" w:after="283"/>
              <w:rPr/>
            </w:pPr>
            <w:r>
              <w:rPr/>
              <w:t> </w:t>
            </w:r>
          </w:p>
        </w:tc>
      </w:tr>
      <w:tr>
        <w:trPr/>
        <w:tc>
          <w:tcPr>
            <w:tcW w:w="358" w:type="dxa"/>
            <w:tcBorders/>
            <w:shd w:fill="CCEEFF" w:val="clear"/>
          </w:tcPr>
          <w:p>
            <w:pPr>
              <w:pStyle w:val="TableContents"/>
              <w:spacing w:before="0" w:after="283"/>
              <w:rPr/>
            </w:pPr>
            <w:r>
              <w:rPr/>
              <w:t> </w:t>
            </w:r>
          </w:p>
        </w:tc>
        <w:tc>
          <w:tcPr>
            <w:tcW w:w="533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Unrealized gains in accumulated other comprehensive loss</w:t>
            </w:r>
          </w:p>
        </w:tc>
        <w:tc>
          <w:tcPr>
            <w:tcW w:w="268"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454" w:type="dxa"/>
            <w:tcBorders/>
            <w:shd w:fill="CCEEFF" w:val="clear"/>
            <w:vAlign w:val="bottom"/>
          </w:tcPr>
          <w:p>
            <w:pPr>
              <w:pStyle w:val="TableContents"/>
              <w:spacing w:before="0" w:after="283"/>
              <w:jc w:val="right"/>
              <w:rPr>
                <w:rFonts w:ascii="times" w:hAnsi="times"/>
                <w:sz w:val="14"/>
              </w:rPr>
            </w:pPr>
            <w:r>
              <w:rPr>
                <w:rFonts w:ascii="times" w:hAnsi="times"/>
                <w:sz w:val="14"/>
              </w:rPr>
              <w:t>4,327</w:t>
            </w:r>
          </w:p>
        </w:tc>
        <w:tc>
          <w:tcPr>
            <w:tcW w:w="26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969" w:type="dxa"/>
            <w:tcBorders/>
            <w:shd w:fill="CCEEFF" w:val="clear"/>
            <w:vAlign w:val="bottom"/>
          </w:tcPr>
          <w:p>
            <w:pPr>
              <w:pStyle w:val="TableContents"/>
              <w:spacing w:before="0" w:after="283"/>
              <w:jc w:val="right"/>
              <w:rPr>
                <w:rFonts w:ascii="times" w:hAnsi="times"/>
                <w:sz w:val="14"/>
              </w:rPr>
            </w:pPr>
            <w:r>
              <w:rPr>
                <w:rFonts w:ascii="times" w:hAnsi="times"/>
                <w:sz w:val="14"/>
              </w:rPr>
              <w:t>1,902</w:t>
            </w:r>
          </w:p>
        </w:tc>
        <w:tc>
          <w:tcPr>
            <w:tcW w:w="269" w:type="dxa"/>
            <w:tcBorders/>
            <w:shd w:fill="CCEEFF" w:val="clear"/>
            <w:vAlign w:val="bottom"/>
          </w:tcPr>
          <w:p>
            <w:pPr>
              <w:pStyle w:val="TableContents"/>
              <w:spacing w:before="0" w:after="283"/>
              <w:rPr/>
            </w:pPr>
            <w:r>
              <w:rPr/>
              <w:t> </w:t>
            </w:r>
          </w:p>
        </w:tc>
      </w:tr>
      <w:tr>
        <w:trPr/>
        <w:tc>
          <w:tcPr>
            <w:tcW w:w="358" w:type="dxa"/>
            <w:tcBorders/>
            <w:shd w:fill="auto" w:val="clear"/>
          </w:tcPr>
          <w:p>
            <w:pPr>
              <w:pStyle w:val="TableContents"/>
              <w:spacing w:before="0" w:after="283"/>
              <w:rPr/>
            </w:pPr>
            <w:r>
              <w:rPr/>
              <w:t> </w:t>
            </w:r>
          </w:p>
        </w:tc>
        <w:tc>
          <w:tcPr>
            <w:tcW w:w="5334"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c>
          <w:tcPr>
            <w:tcW w:w="211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r>
      <w:tr>
        <w:trPr/>
        <w:tc>
          <w:tcPr>
            <w:tcW w:w="358" w:type="dxa"/>
            <w:tcBorders/>
            <w:shd w:fill="FFFFFF" w:val="clear"/>
          </w:tcPr>
          <w:p>
            <w:pPr>
              <w:pStyle w:val="TableContents"/>
              <w:spacing w:before="0" w:after="283"/>
              <w:rPr/>
            </w:pPr>
            <w:r>
              <w:rPr/>
              <w:t> </w:t>
            </w:r>
          </w:p>
        </w:tc>
        <w:tc>
          <w:tcPr>
            <w:tcW w:w="533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Estimated fair value</w:t>
            </w:r>
          </w:p>
        </w:tc>
        <w:tc>
          <w:tcPr>
            <w:tcW w:w="268"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c>
          <w:tcPr>
            <w:tcW w:w="1454" w:type="dxa"/>
            <w:tcBorders/>
            <w:shd w:fill="FFFFFF" w:val="clear"/>
            <w:vAlign w:val="bottom"/>
          </w:tcPr>
          <w:p>
            <w:pPr>
              <w:pStyle w:val="TableContents"/>
              <w:spacing w:before="0" w:after="283"/>
              <w:jc w:val="right"/>
              <w:rPr>
                <w:rFonts w:ascii="times" w:hAnsi="times"/>
                <w:sz w:val="14"/>
              </w:rPr>
            </w:pPr>
            <w:r>
              <w:rPr>
                <w:rFonts w:ascii="times" w:hAnsi="times"/>
                <w:sz w:val="14"/>
              </w:rPr>
              <w:t>40,072</w:t>
            </w:r>
          </w:p>
        </w:tc>
        <w:tc>
          <w:tcPr>
            <w:tcW w:w="269"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c>
          <w:tcPr>
            <w:tcW w:w="1969" w:type="dxa"/>
            <w:tcBorders/>
            <w:shd w:fill="FFFFFF" w:val="clear"/>
            <w:vAlign w:val="bottom"/>
          </w:tcPr>
          <w:p>
            <w:pPr>
              <w:pStyle w:val="TableContents"/>
              <w:spacing w:before="0" w:after="283"/>
              <w:jc w:val="right"/>
              <w:rPr>
                <w:rFonts w:ascii="times" w:hAnsi="times"/>
                <w:sz w:val="14"/>
              </w:rPr>
            </w:pPr>
            <w:r>
              <w:rPr>
                <w:rFonts w:ascii="times" w:hAnsi="times"/>
                <w:sz w:val="14"/>
              </w:rPr>
              <w:t>6,254</w:t>
            </w:r>
          </w:p>
        </w:tc>
        <w:tc>
          <w:tcPr>
            <w:tcW w:w="269" w:type="dxa"/>
            <w:tcBorders/>
            <w:shd w:fill="FFFFFF" w:val="clear"/>
            <w:vAlign w:val="bottom"/>
          </w:tcPr>
          <w:p>
            <w:pPr>
              <w:pStyle w:val="TableContents"/>
              <w:spacing w:before="0" w:after="283"/>
              <w:rPr/>
            </w:pPr>
            <w:r>
              <w:rPr/>
              <w:t> </w:t>
            </w:r>
          </w:p>
        </w:tc>
      </w:tr>
      <w:tr>
        <w:trPr/>
        <w:tc>
          <w:tcPr>
            <w:tcW w:w="358" w:type="dxa"/>
            <w:tcBorders/>
            <w:shd w:fill="auto" w:val="clear"/>
          </w:tcPr>
          <w:p>
            <w:pPr>
              <w:pStyle w:val="TableContents"/>
              <w:spacing w:before="0" w:after="283"/>
              <w:rPr/>
            </w:pPr>
            <w:r>
              <w:rPr/>
              <w:t> </w:t>
            </w:r>
          </w:p>
        </w:tc>
        <w:tc>
          <w:tcPr>
            <w:tcW w:w="5334"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c>
          <w:tcPr>
            <w:tcW w:w="211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r>
      <w:tr>
        <w:trPr/>
        <w:tc>
          <w:tcPr>
            <w:tcW w:w="358" w:type="dxa"/>
            <w:tcBorders/>
            <w:shd w:fill="CCEEFF" w:val="clear"/>
          </w:tcPr>
          <w:p>
            <w:pPr>
              <w:pStyle w:val="TableContents"/>
              <w:spacing w:before="0" w:after="283"/>
              <w:rPr/>
            </w:pPr>
            <w:r>
              <w:rPr/>
              <w:t> </w:t>
            </w:r>
          </w:p>
        </w:tc>
        <w:tc>
          <w:tcPr>
            <w:tcW w:w="5334" w:type="dxa"/>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Available-for-sale securities in an unrealized loss position:</w:t>
            </w:r>
          </w:p>
        </w:tc>
        <w:tc>
          <w:tcPr>
            <w:tcW w:w="268"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45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96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r>
      <w:tr>
        <w:trPr/>
        <w:tc>
          <w:tcPr>
            <w:tcW w:w="358" w:type="dxa"/>
            <w:tcBorders/>
            <w:shd w:fill="FFFFFF" w:val="clear"/>
          </w:tcPr>
          <w:p>
            <w:pPr>
              <w:pStyle w:val="TableContents"/>
              <w:spacing w:before="0" w:after="283"/>
              <w:rPr/>
            </w:pPr>
            <w:r>
              <w:rPr/>
              <w:t> </w:t>
            </w:r>
          </w:p>
        </w:tc>
        <w:tc>
          <w:tcPr>
            <w:tcW w:w="533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Cost (net of impairments)</w:t>
            </w:r>
          </w:p>
        </w:tc>
        <w:tc>
          <w:tcPr>
            <w:tcW w:w="268"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c>
          <w:tcPr>
            <w:tcW w:w="1454" w:type="dxa"/>
            <w:tcBorders/>
            <w:shd w:fill="FFFFFF" w:val="clear"/>
            <w:vAlign w:val="bottom"/>
          </w:tcPr>
          <w:p>
            <w:pPr>
              <w:pStyle w:val="TableContents"/>
              <w:spacing w:before="0" w:after="283"/>
              <w:jc w:val="right"/>
              <w:rPr>
                <w:rFonts w:ascii="times" w:hAnsi="times"/>
                <w:sz w:val="14"/>
              </w:rPr>
            </w:pPr>
            <w:r>
              <w:rPr>
                <w:rFonts w:ascii="times" w:hAnsi="times"/>
                <w:sz w:val="14"/>
              </w:rPr>
              <w:t>33,287</w:t>
            </w:r>
          </w:p>
        </w:tc>
        <w:tc>
          <w:tcPr>
            <w:tcW w:w="269"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c>
          <w:tcPr>
            <w:tcW w:w="1969" w:type="dxa"/>
            <w:tcBorders/>
            <w:shd w:fill="FFFFFF" w:val="clear"/>
            <w:vAlign w:val="bottom"/>
          </w:tcPr>
          <w:p>
            <w:pPr>
              <w:pStyle w:val="TableContents"/>
              <w:spacing w:before="0" w:after="283"/>
              <w:jc w:val="right"/>
              <w:rPr>
                <w:rFonts w:ascii="times" w:hAnsi="times"/>
                <w:sz w:val="14"/>
              </w:rPr>
            </w:pPr>
            <w:r>
              <w:rPr>
                <w:rFonts w:ascii="times" w:hAnsi="times"/>
                <w:sz w:val="14"/>
              </w:rPr>
              <w:t>48,047</w:t>
            </w:r>
          </w:p>
        </w:tc>
        <w:tc>
          <w:tcPr>
            <w:tcW w:w="269" w:type="dxa"/>
            <w:tcBorders/>
            <w:shd w:fill="FFFFFF" w:val="clear"/>
            <w:vAlign w:val="bottom"/>
          </w:tcPr>
          <w:p>
            <w:pPr>
              <w:pStyle w:val="TableContents"/>
              <w:spacing w:before="0" w:after="283"/>
              <w:rPr/>
            </w:pPr>
            <w:r>
              <w:rPr/>
              <w:t> </w:t>
            </w:r>
          </w:p>
        </w:tc>
      </w:tr>
      <w:tr>
        <w:trPr/>
        <w:tc>
          <w:tcPr>
            <w:tcW w:w="358" w:type="dxa"/>
            <w:tcBorders/>
            <w:shd w:fill="CCEEFF" w:val="clear"/>
          </w:tcPr>
          <w:p>
            <w:pPr>
              <w:pStyle w:val="TableContents"/>
              <w:spacing w:before="0" w:after="283"/>
              <w:rPr/>
            </w:pPr>
            <w:r>
              <w:rPr/>
              <w:t> </w:t>
            </w:r>
          </w:p>
        </w:tc>
        <w:tc>
          <w:tcPr>
            <w:tcW w:w="533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Unrealized losses in accumulated other comprehensive loss</w:t>
            </w:r>
          </w:p>
        </w:tc>
        <w:tc>
          <w:tcPr>
            <w:tcW w:w="268"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454" w:type="dxa"/>
            <w:tcBorders/>
            <w:shd w:fill="CCEEFF" w:val="clear"/>
            <w:vAlign w:val="bottom"/>
          </w:tcPr>
          <w:p>
            <w:pPr>
              <w:pStyle w:val="TableContents"/>
              <w:spacing w:before="0" w:after="283"/>
              <w:jc w:val="right"/>
              <w:rPr>
                <w:rFonts w:ascii="times" w:hAnsi="times"/>
                <w:sz w:val="14"/>
              </w:rPr>
            </w:pPr>
            <w:r>
              <w:rPr>
                <w:rFonts w:ascii="times" w:hAnsi="times"/>
                <w:sz w:val="14"/>
              </w:rPr>
              <w:t>(4,554</w:t>
            </w:r>
          </w:p>
        </w:tc>
        <w:tc>
          <w:tcPr>
            <w:tcW w:w="269"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1969" w:type="dxa"/>
            <w:tcBorders/>
            <w:shd w:fill="CCEEFF" w:val="clear"/>
            <w:vAlign w:val="bottom"/>
          </w:tcPr>
          <w:p>
            <w:pPr>
              <w:pStyle w:val="TableContents"/>
              <w:spacing w:before="0" w:after="283"/>
              <w:jc w:val="right"/>
              <w:rPr>
                <w:rFonts w:ascii="times" w:hAnsi="times"/>
                <w:sz w:val="14"/>
              </w:rPr>
            </w:pPr>
            <w:r>
              <w:rPr>
                <w:rFonts w:ascii="times" w:hAnsi="times"/>
                <w:sz w:val="14"/>
              </w:rPr>
              <w:t>(9,582</w:t>
            </w:r>
          </w:p>
        </w:tc>
        <w:tc>
          <w:tcPr>
            <w:tcW w:w="269"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358" w:type="dxa"/>
            <w:tcBorders/>
            <w:shd w:fill="auto" w:val="clear"/>
          </w:tcPr>
          <w:p>
            <w:pPr>
              <w:pStyle w:val="TableContents"/>
              <w:spacing w:before="0" w:after="283"/>
              <w:rPr/>
            </w:pPr>
            <w:r>
              <w:rPr/>
              <w:t> </w:t>
            </w:r>
          </w:p>
        </w:tc>
        <w:tc>
          <w:tcPr>
            <w:tcW w:w="5334"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c>
          <w:tcPr>
            <w:tcW w:w="211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r>
      <w:tr>
        <w:trPr/>
        <w:tc>
          <w:tcPr>
            <w:tcW w:w="358" w:type="dxa"/>
            <w:tcBorders/>
            <w:shd w:fill="FFFFFF" w:val="clear"/>
          </w:tcPr>
          <w:p>
            <w:pPr>
              <w:pStyle w:val="TableContents"/>
              <w:spacing w:before="0" w:after="283"/>
              <w:rPr/>
            </w:pPr>
            <w:r>
              <w:rPr/>
              <w:t> </w:t>
            </w:r>
          </w:p>
        </w:tc>
        <w:tc>
          <w:tcPr>
            <w:tcW w:w="533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Estimated fair value</w:t>
            </w:r>
          </w:p>
        </w:tc>
        <w:tc>
          <w:tcPr>
            <w:tcW w:w="268"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c>
          <w:tcPr>
            <w:tcW w:w="1454" w:type="dxa"/>
            <w:tcBorders/>
            <w:shd w:fill="FFFFFF" w:val="clear"/>
            <w:vAlign w:val="bottom"/>
          </w:tcPr>
          <w:p>
            <w:pPr>
              <w:pStyle w:val="TableContents"/>
              <w:spacing w:before="0" w:after="283"/>
              <w:jc w:val="right"/>
              <w:rPr>
                <w:rFonts w:ascii="times" w:hAnsi="times"/>
                <w:sz w:val="14"/>
              </w:rPr>
            </w:pPr>
            <w:r>
              <w:rPr>
                <w:rFonts w:ascii="times" w:hAnsi="times"/>
                <w:sz w:val="14"/>
              </w:rPr>
              <w:t>28,733</w:t>
            </w:r>
          </w:p>
        </w:tc>
        <w:tc>
          <w:tcPr>
            <w:tcW w:w="269"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c>
          <w:tcPr>
            <w:tcW w:w="1969" w:type="dxa"/>
            <w:tcBorders/>
            <w:shd w:fill="FFFFFF" w:val="clear"/>
            <w:vAlign w:val="bottom"/>
          </w:tcPr>
          <w:p>
            <w:pPr>
              <w:pStyle w:val="TableContents"/>
              <w:spacing w:before="0" w:after="283"/>
              <w:jc w:val="right"/>
              <w:rPr>
                <w:rFonts w:ascii="times" w:hAnsi="times"/>
                <w:sz w:val="14"/>
              </w:rPr>
            </w:pPr>
            <w:r>
              <w:rPr>
                <w:rFonts w:ascii="times" w:hAnsi="times"/>
                <w:sz w:val="14"/>
              </w:rPr>
              <w:t>38,465</w:t>
            </w:r>
          </w:p>
        </w:tc>
        <w:tc>
          <w:tcPr>
            <w:tcW w:w="269" w:type="dxa"/>
            <w:tcBorders/>
            <w:shd w:fill="FFFFFF" w:val="clear"/>
            <w:vAlign w:val="bottom"/>
          </w:tcPr>
          <w:p>
            <w:pPr>
              <w:pStyle w:val="TableContents"/>
              <w:spacing w:before="0" w:after="283"/>
              <w:rPr/>
            </w:pPr>
            <w:r>
              <w:rPr/>
              <w:t> </w:t>
            </w:r>
          </w:p>
        </w:tc>
      </w:tr>
      <w:tr>
        <w:trPr/>
        <w:tc>
          <w:tcPr>
            <w:tcW w:w="358" w:type="dxa"/>
            <w:tcBorders/>
            <w:shd w:fill="auto" w:val="clear"/>
          </w:tcPr>
          <w:p>
            <w:pPr>
              <w:pStyle w:val="TableContents"/>
              <w:spacing w:before="0" w:after="283"/>
              <w:rPr/>
            </w:pPr>
            <w:r>
              <w:rPr/>
              <w:t> </w:t>
            </w:r>
          </w:p>
        </w:tc>
        <w:tc>
          <w:tcPr>
            <w:tcW w:w="5334"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5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c>
          <w:tcPr>
            <w:tcW w:w="211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r>
      <w:tr>
        <w:trPr/>
        <w:tc>
          <w:tcPr>
            <w:tcW w:w="358" w:type="dxa"/>
            <w:tcBorders/>
            <w:shd w:fill="CCEEFF" w:val="clear"/>
          </w:tcPr>
          <w:p>
            <w:pPr>
              <w:pStyle w:val="TableContents"/>
              <w:spacing w:before="0" w:after="283"/>
              <w:rPr/>
            </w:pPr>
            <w:r>
              <w:rPr/>
              <w:t> </w:t>
            </w:r>
          </w:p>
        </w:tc>
        <w:tc>
          <w:tcPr>
            <w:tcW w:w="533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Total estimated fair value of available-for-sale securities</w:t>
            </w:r>
          </w:p>
        </w:tc>
        <w:tc>
          <w:tcPr>
            <w:tcW w:w="268"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54" w:type="dxa"/>
            <w:tcBorders/>
            <w:shd w:fill="CCEEFF" w:val="clear"/>
            <w:vAlign w:val="bottom"/>
          </w:tcPr>
          <w:p>
            <w:pPr>
              <w:pStyle w:val="TableContents"/>
              <w:spacing w:before="0" w:after="283"/>
              <w:jc w:val="right"/>
              <w:rPr>
                <w:rFonts w:ascii="times" w:hAnsi="times"/>
                <w:sz w:val="14"/>
              </w:rPr>
            </w:pPr>
            <w:r>
              <w:rPr>
                <w:rFonts w:ascii="times" w:hAnsi="times"/>
                <w:sz w:val="14"/>
              </w:rPr>
              <w:t>68,805</w:t>
            </w:r>
          </w:p>
        </w:tc>
        <w:tc>
          <w:tcPr>
            <w:tcW w:w="26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69"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69" w:type="dxa"/>
            <w:tcBorders/>
            <w:shd w:fill="CCEEFF" w:val="clear"/>
            <w:vAlign w:val="bottom"/>
          </w:tcPr>
          <w:p>
            <w:pPr>
              <w:pStyle w:val="TableContents"/>
              <w:spacing w:before="0" w:after="283"/>
              <w:rPr/>
            </w:pPr>
            <w:r>
              <w:rPr/>
              <w:t> </w:t>
            </w:r>
          </w:p>
        </w:tc>
      </w:tr>
      <w:tr>
        <w:trPr/>
        <w:tc>
          <w:tcPr>
            <w:tcW w:w="358" w:type="dxa"/>
            <w:tcBorders/>
            <w:shd w:fill="auto" w:val="clear"/>
          </w:tcPr>
          <w:p>
            <w:pPr>
              <w:pStyle w:val="TableContents"/>
              <w:spacing w:before="0" w:after="283"/>
              <w:rPr/>
            </w:pPr>
            <w:r>
              <w:rPr/>
              <w:t> </w:t>
            </w:r>
          </w:p>
        </w:tc>
        <w:tc>
          <w:tcPr>
            <w:tcW w:w="5334"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5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c>
          <w:tcPr>
            <w:tcW w:w="211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69"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Company's investments in available-for-sale securities consist primarily of investments in common shares of entities in the mining industry. During the three and six months ended June 30, 2013, certain available-for-sale securities fell into an unrealized loss position. </w:t>
      </w:r>
    </w:p>
    <w:p>
      <w:pPr>
        <w:pStyle w:val="TextBody"/>
        <w:jc w:val="center"/>
        <w:rPr>
          <w:rFonts w:ascii="times" w:hAnsi="times"/>
          <w:sz w:val="20"/>
        </w:rPr>
      </w:pPr>
      <w:r>
        <w:rPr>
          <w:rFonts w:ascii="times" w:hAnsi="times"/>
          <w:sz w:val="20"/>
        </w:rPr>
        <w:t>28</w:t>
      </w:r>
    </w:p>
    <w:p>
      <w:pPr>
        <w:pStyle w:val="HorizontalLine"/>
        <w:pBdr>
          <w:bottom w:val="single" w:sz="20" w:space="0" w:color="808080"/>
        </w:pBdr>
        <w:rPr/>
      </w:pPr>
      <w:r>
        <w:rPr/>
      </w:r>
      <w:r>
        <w:br w:type="page"/>
      </w:r>
    </w:p>
    <w:p>
      <w:pPr>
        <w:pStyle w:val="TextBody"/>
        <w:jc w:val="center"/>
        <w:rPr>
          <w:rFonts w:ascii="times" w:hAnsi="times"/>
          <w:b/>
          <w:sz w:val="20"/>
        </w:rPr>
      </w:pPr>
      <w:bookmarkStart w:id="55" w:name="page_fi72201_1_29"/>
      <w:bookmarkEnd w:id="55"/>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8.     AVAILABLE-FOR-SALE SECURITIES (Continued) </w:t>
      </w:r>
    </w:p>
    <w:p>
      <w:pPr>
        <w:pStyle w:val="TextBody"/>
        <w:numPr>
          <w:ilvl w:val="0"/>
          <w:numId w:val="0"/>
        </w:numPr>
        <w:ind w:left="707" w:hanging="0"/>
        <w:rPr>
          <w:rFonts w:ascii="times" w:hAnsi="times"/>
          <w:sz w:val="14"/>
        </w:rPr>
      </w:pPr>
      <w:r>
        <w:rPr>
          <w:rFonts w:ascii="times" w:hAnsi="times"/>
          <w:sz w:val="14"/>
        </w:rPr>
        <w:t xml:space="preserve">In each case, the Company evaluated the near-term prospects of the issuers in relation to the severity and duration of the impairment. During the three months ended June 30, 2013, the Company recorded a $17.3 million (three months ended June 30, 2012  $11.6 million) impairment loss on certain available-for-sale securities that were determined to be other-than-temporarily impaired. During the six months ended June 30, 2013, the Company recorded a $28.3 million (six months ended June 30, 2012  $11.6 million) impairment loss on certain available-for-sale securities that were determined to be other-than-temporarily impaired. </w:t>
      </w:r>
    </w:p>
    <w:p>
      <w:pPr>
        <w:pStyle w:val="TextBody"/>
        <w:numPr>
          <w:ilvl w:val="0"/>
          <w:numId w:val="0"/>
        </w:numPr>
        <w:ind w:left="707" w:hanging="0"/>
        <w:rPr>
          <w:rFonts w:ascii="times" w:hAnsi="times"/>
          <w:sz w:val="14"/>
        </w:rPr>
      </w:pPr>
      <w:r>
        <w:rPr>
          <w:rFonts w:ascii="times" w:hAnsi="times"/>
          <w:sz w:val="14"/>
        </w:rPr>
        <w:t xml:space="preserve">At June 30, 2013, the fair value of available-for-sale securities in an unrealized loss position was $28.7 million (December 31, 2012  $38.5 million) with total unrealized losses in accumulated other comprehensive loss of $4.6 million (December 31, 2012  $9.6 million). Based on an evaluation of the severity and duration of the impairment of these available-for-sale securities (less than three months) and on the Company's intent to hold the investments for a period of time sufficient for a recovery of fair value, the Company does not consider these available-for-sale securities to be other-than-temporarily impaired as at June 30, 2013. </w:t>
      </w:r>
    </w:p>
    <w:p>
      <w:pPr>
        <w:pStyle w:val="TextBody"/>
        <w:rPr>
          <w:rFonts w:ascii="times" w:hAnsi="times"/>
          <w:b/>
          <w:sz w:val="14"/>
        </w:rPr>
      </w:pPr>
      <w:r>
        <w:rPr>
          <w:rFonts w:ascii="times" w:hAnsi="times"/>
          <w:b/>
          <w:sz w:val="14"/>
        </w:rPr>
        <w:t xml:space="preserve">9.     LONG-TERM DEBT </w:t>
      </w:r>
    </w:p>
    <w:p>
      <w:pPr>
        <w:pStyle w:val="TextBody"/>
        <w:numPr>
          <w:ilvl w:val="0"/>
          <w:numId w:val="0"/>
        </w:numPr>
        <w:ind w:left="707" w:hanging="0"/>
        <w:rPr>
          <w:rFonts w:ascii="times" w:hAnsi="times"/>
          <w:b/>
          <w:i/>
          <w:sz w:val="14"/>
        </w:rPr>
      </w:pPr>
      <w:r>
        <w:rPr>
          <w:rFonts w:ascii="times" w:hAnsi="times"/>
          <w:b/>
          <w:i/>
          <w:sz w:val="14"/>
        </w:rPr>
        <w:t xml:space="preserve">Credit Facility </w:t>
      </w:r>
    </w:p>
    <w:p>
      <w:pPr>
        <w:pStyle w:val="TextBody"/>
        <w:numPr>
          <w:ilvl w:val="0"/>
          <w:numId w:val="0"/>
        </w:numPr>
        <w:ind w:left="707" w:hanging="0"/>
        <w:rPr>
          <w:rFonts w:ascii="times" w:hAnsi="times"/>
          <w:sz w:val="14"/>
        </w:rPr>
      </w:pPr>
      <w:r>
        <w:rPr>
          <w:rFonts w:ascii="times" w:hAnsi="times"/>
          <w:sz w:val="14"/>
        </w:rPr>
        <w:t xml:space="preserve">On June 22, 2010, the Company amended and restated its Credit Facility, increasing the amount available from $900.0 million to $1,200.0 million. </w:t>
      </w:r>
    </w:p>
    <w:p>
      <w:pPr>
        <w:pStyle w:val="TextBody"/>
        <w:numPr>
          <w:ilvl w:val="0"/>
          <w:numId w:val="0"/>
        </w:numPr>
        <w:ind w:left="707" w:hanging="0"/>
        <w:rPr>
          <w:rFonts w:ascii="times" w:hAnsi="times"/>
          <w:sz w:val="14"/>
        </w:rPr>
      </w:pPr>
      <w:r>
        <w:rPr>
          <w:rFonts w:ascii="times" w:hAnsi="times"/>
          <w:sz w:val="14"/>
        </w:rPr>
        <w:t xml:space="preserve">On July 20, 2012, the Company further amended the Credit Facility, extending the maturity date from June 22, 2016 to June 22, 2017 and updating pricing terms to reflect improved market conditions. </w:t>
      </w:r>
    </w:p>
    <w:p>
      <w:pPr>
        <w:pStyle w:val="TextBody"/>
        <w:numPr>
          <w:ilvl w:val="0"/>
          <w:numId w:val="0"/>
        </w:numPr>
        <w:ind w:left="707" w:hanging="0"/>
        <w:rPr>
          <w:rFonts w:ascii="times" w:hAnsi="times"/>
          <w:sz w:val="14"/>
        </w:rPr>
      </w:pPr>
      <w:r>
        <w:rPr>
          <w:rFonts w:ascii="times" w:hAnsi="times"/>
          <w:sz w:val="14"/>
        </w:rPr>
        <w:t xml:space="preserve">At June 30, 2013, the Credit Facility was drawn down by $50.0 million (December 31, 2012  $30.0 million). Amounts drawn down, together with related outstanding letters of credit, resulted in Credit Facility availability of $1,148.9 million at June 30, 2013. </w:t>
      </w:r>
    </w:p>
    <w:p>
      <w:pPr>
        <w:pStyle w:val="TextBody"/>
        <w:numPr>
          <w:ilvl w:val="0"/>
          <w:numId w:val="0"/>
        </w:numPr>
        <w:ind w:left="707" w:hanging="0"/>
        <w:rPr>
          <w:rFonts w:ascii="times" w:hAnsi="times"/>
          <w:b/>
          <w:i/>
          <w:sz w:val="14"/>
        </w:rPr>
      </w:pPr>
      <w:r>
        <w:rPr>
          <w:rFonts w:ascii="times" w:hAnsi="times"/>
          <w:b/>
          <w:i/>
          <w:sz w:val="14"/>
        </w:rPr>
        <w:t xml:space="preserve">2012 Notes </w:t>
      </w:r>
    </w:p>
    <w:p>
      <w:pPr>
        <w:pStyle w:val="TextBody"/>
        <w:numPr>
          <w:ilvl w:val="0"/>
          <w:numId w:val="0"/>
        </w:numPr>
        <w:ind w:left="707" w:hanging="0"/>
        <w:rPr>
          <w:rFonts w:ascii="times" w:hAnsi="times"/>
          <w:sz w:val="14"/>
        </w:rPr>
      </w:pPr>
      <w:r>
        <w:rPr>
          <w:rFonts w:ascii="times" w:hAnsi="times"/>
          <w:sz w:val="14"/>
        </w:rPr>
        <w:t xml:space="preserve">On July 24, 2012, the Company closed a private placement consisting of $200.0 million of guaranteed senior unsecured notes due in 2022 and 2024 (the "2012 Notes") with a weighted average maturity of 11.0 years and weighted average yield of 4.95%. </w:t>
      </w:r>
    </w:p>
    <w:p>
      <w:pPr>
        <w:pStyle w:val="TextBody"/>
        <w:numPr>
          <w:ilvl w:val="0"/>
          <w:numId w:val="0"/>
        </w:numPr>
        <w:ind w:left="707" w:hanging="0"/>
        <w:rPr>
          <w:rFonts w:ascii="times" w:hAnsi="times"/>
          <w:sz w:val="14"/>
        </w:rPr>
      </w:pPr>
      <w:r>
        <w:rPr>
          <w:rFonts w:ascii="times" w:hAnsi="times"/>
          <w:sz w:val="14"/>
        </w:rPr>
        <w:t xml:space="preserve">The following are the individual series' of the 2012 Notes: </w:t>
      </w:r>
    </w:p>
    <w:tbl>
      <w:tblPr>
        <w:tblW w:w="5000" w:type="pct"/>
        <w:jc w:val="center"/>
        <w:tblInd w:w="0" w:type="dxa"/>
        <w:tblCellMar>
          <w:top w:w="0" w:type="dxa"/>
          <w:left w:w="0" w:type="dxa"/>
          <w:bottom w:w="0" w:type="dxa"/>
          <w:right w:w="0" w:type="dxa"/>
        </w:tblCellMar>
      </w:tblPr>
      <w:tblGrid>
        <w:gridCol w:w="565"/>
        <w:gridCol w:w="1143"/>
        <w:gridCol w:w="424"/>
        <w:gridCol w:w="224"/>
        <w:gridCol w:w="1591"/>
        <w:gridCol w:w="424"/>
        <w:gridCol w:w="212"/>
        <w:gridCol w:w="2157"/>
        <w:gridCol w:w="424"/>
        <w:gridCol w:w="212"/>
        <w:gridCol w:w="2404"/>
        <w:gridCol w:w="425"/>
      </w:tblGrid>
      <w:tr>
        <w:trPr/>
        <w:tc>
          <w:tcPr>
            <w:tcW w:w="565" w:type="dxa"/>
            <w:tcBorders/>
            <w:shd w:fill="auto" w:val="clear"/>
            <w:vAlign w:val="center"/>
          </w:tcPr>
          <w:p>
            <w:pPr>
              <w:pStyle w:val="TableContents"/>
              <w:spacing w:before="0" w:after="283"/>
              <w:rPr>
                <w:sz w:val="4"/>
                <w:szCs w:val="4"/>
              </w:rPr>
            </w:pPr>
            <w:r>
              <w:rPr>
                <w:sz w:val="4"/>
                <w:szCs w:val="4"/>
              </w:rPr>
            </w:r>
          </w:p>
        </w:tc>
        <w:tc>
          <w:tcPr>
            <w:tcW w:w="1143"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9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157"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404"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r>
      <w:tr>
        <w:trPr/>
        <w:tc>
          <w:tcPr>
            <w:tcW w:w="565" w:type="dxa"/>
            <w:tcBorders/>
            <w:shd w:fill="auto" w:val="clear"/>
            <w:vAlign w:val="bottom"/>
          </w:tcPr>
          <w:p>
            <w:pPr>
              <w:pStyle w:val="TableHeading"/>
              <w:suppressLineNumbers/>
              <w:spacing w:before="0" w:after="283"/>
              <w:jc w:val="center"/>
              <w:rPr/>
            </w:pPr>
            <w:r>
              <w:rPr/>
              <w:t> </w:t>
            </w:r>
          </w:p>
        </w:tc>
        <w:tc>
          <w:tcPr>
            <w:tcW w:w="1143" w:type="dxa"/>
            <w:tcBorders/>
            <w:shd w:fill="auto" w:val="clear"/>
            <w:vAlign w:val="bottom"/>
          </w:tcPr>
          <w:p>
            <w:pPr>
              <w:pStyle w:val="TableHeading"/>
              <w:spacing w:before="0" w:after="283"/>
              <w:jc w:val="left"/>
              <w:rPr/>
            </w:pPr>
            <w:r>
              <w:rPr/>
              <w:t> </w:t>
            </w:r>
          </w:p>
        </w:tc>
        <w:tc>
          <w:tcPr>
            <w:tcW w:w="424" w:type="dxa"/>
            <w:tcBorders/>
            <w:shd w:fill="auto" w:val="clear"/>
            <w:vAlign w:val="bottom"/>
          </w:tcPr>
          <w:p>
            <w:pPr>
              <w:pStyle w:val="TableHeading"/>
              <w:suppressLineNumbers/>
              <w:spacing w:before="0" w:after="283"/>
              <w:jc w:val="center"/>
              <w:rPr/>
            </w:pPr>
            <w:r>
              <w:rPr/>
              <w:t> </w:t>
            </w:r>
          </w:p>
        </w:tc>
        <w:tc>
          <w:tcPr>
            <w:tcW w:w="18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Principal </w:t>
            </w:r>
          </w:p>
        </w:tc>
        <w:tc>
          <w:tcPr>
            <w:tcW w:w="424" w:type="dxa"/>
            <w:tcBorders/>
            <w:shd w:fill="auto" w:val="clear"/>
            <w:vAlign w:val="bottom"/>
          </w:tcPr>
          <w:p>
            <w:pPr>
              <w:pStyle w:val="TableHeading"/>
              <w:suppressLineNumbers/>
              <w:spacing w:before="0" w:after="283"/>
              <w:jc w:val="center"/>
              <w:rPr/>
            </w:pPr>
            <w:r>
              <w:rPr/>
              <w:t> </w:t>
            </w:r>
          </w:p>
        </w:tc>
        <w:tc>
          <w:tcPr>
            <w:tcW w:w="23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Interest Rate </w:t>
            </w:r>
          </w:p>
        </w:tc>
        <w:tc>
          <w:tcPr>
            <w:tcW w:w="424" w:type="dxa"/>
            <w:tcBorders/>
            <w:shd w:fill="auto" w:val="clear"/>
            <w:vAlign w:val="bottom"/>
          </w:tcPr>
          <w:p>
            <w:pPr>
              <w:pStyle w:val="TableHeading"/>
              <w:suppressLineNumbers/>
              <w:spacing w:before="0" w:after="283"/>
              <w:jc w:val="center"/>
              <w:rPr/>
            </w:pPr>
            <w:r>
              <w:rPr/>
              <w:t> </w:t>
            </w:r>
          </w:p>
        </w:tc>
        <w:tc>
          <w:tcPr>
            <w:tcW w:w="261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Maturity Date </w:t>
            </w:r>
          </w:p>
        </w:tc>
        <w:tc>
          <w:tcPr>
            <w:tcW w:w="425" w:type="dxa"/>
            <w:tcBorders/>
            <w:shd w:fill="auto" w:val="clear"/>
            <w:vAlign w:val="bottom"/>
          </w:tcPr>
          <w:p>
            <w:pPr>
              <w:pStyle w:val="TableHeading"/>
              <w:suppressLineNumbers/>
              <w:spacing w:before="0" w:after="283"/>
              <w:jc w:val="center"/>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Series A</w:t>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100,000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rFonts w:ascii="times" w:hAnsi="times"/>
                <w:sz w:val="14"/>
              </w:rPr>
            </w:pPr>
            <w:r>
              <w:rPr>
                <w:rFonts w:ascii="times" w:hAnsi="times"/>
                <w:sz w:val="14"/>
              </w:rPr>
              <w:t>4.87%</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rFonts w:ascii="times" w:hAnsi="times"/>
                <w:sz w:val="14"/>
              </w:rPr>
            </w:pPr>
            <w:r>
              <w:rPr>
                <w:rFonts w:ascii="times" w:hAnsi="times"/>
                <w:sz w:val="14"/>
              </w:rPr>
              <w:t>7/23/2022</w:t>
            </w:r>
          </w:p>
        </w:tc>
        <w:tc>
          <w:tcPr>
            <w:tcW w:w="425" w:type="dxa"/>
            <w:tcBorders/>
            <w:shd w:fill="CCEEFF" w:val="clear"/>
            <w:vAlign w:val="bottom"/>
          </w:tcPr>
          <w:p>
            <w:pPr>
              <w:pStyle w:val="TableContents"/>
              <w:spacing w:before="0" w:after="283"/>
              <w:rPr/>
            </w:pPr>
            <w:r>
              <w:rPr/>
              <w:t> </w:t>
            </w:r>
          </w:p>
        </w:tc>
      </w:tr>
      <w:tr>
        <w:trPr/>
        <w:tc>
          <w:tcPr>
            <w:tcW w:w="565" w:type="dxa"/>
            <w:tcBorders/>
            <w:shd w:fill="FFFFFF" w:val="clear"/>
          </w:tcPr>
          <w:p>
            <w:pPr>
              <w:pStyle w:val="TableContents"/>
              <w:spacing w:before="0" w:after="283"/>
              <w:rPr/>
            </w:pPr>
            <w:r>
              <w:rPr/>
              <w:t> </w:t>
            </w:r>
          </w:p>
        </w:tc>
        <w:tc>
          <w:tcPr>
            <w:tcW w:w="1143"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Series B</w:t>
            </w:r>
          </w:p>
        </w:tc>
        <w:tc>
          <w:tcPr>
            <w:tcW w:w="424" w:type="dxa"/>
            <w:tcBorders/>
            <w:shd w:fill="FFFFFF" w:val="clear"/>
            <w:vAlign w:val="bottom"/>
          </w:tcPr>
          <w:p>
            <w:pPr>
              <w:pStyle w:val="TableContents"/>
              <w:spacing w:before="0" w:after="283"/>
              <w:rPr/>
            </w:pPr>
            <w:r>
              <w:rPr/>
              <w:t> </w:t>
            </w:r>
          </w:p>
        </w:tc>
        <w:tc>
          <w:tcPr>
            <w:tcW w:w="224" w:type="dxa"/>
            <w:tcBorders/>
            <w:shd w:fill="FFFFFF" w:val="clear"/>
            <w:vAlign w:val="bottom"/>
          </w:tcPr>
          <w:p>
            <w:pPr>
              <w:pStyle w:val="TableContents"/>
              <w:spacing w:before="0" w:after="283"/>
              <w:rPr/>
            </w:pPr>
            <w:r>
              <w:rPr/>
              <w:t> </w:t>
            </w:r>
          </w:p>
        </w:tc>
        <w:tc>
          <w:tcPr>
            <w:tcW w:w="1591" w:type="dxa"/>
            <w:tcBorders/>
            <w:shd w:fill="FFFFFF" w:val="clear"/>
            <w:vAlign w:val="bottom"/>
          </w:tcPr>
          <w:p>
            <w:pPr>
              <w:pStyle w:val="TableContents"/>
              <w:spacing w:before="0" w:after="283"/>
              <w:jc w:val="right"/>
              <w:rPr>
                <w:rFonts w:ascii="times" w:hAnsi="times"/>
                <w:sz w:val="14"/>
              </w:rPr>
            </w:pPr>
            <w:r>
              <w:rPr>
                <w:rFonts w:ascii="times" w:hAnsi="times"/>
                <w:sz w:val="14"/>
              </w:rPr>
              <w:t>100,000</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157" w:type="dxa"/>
            <w:tcBorders/>
            <w:shd w:fill="FFFFFF" w:val="clear"/>
            <w:vAlign w:val="bottom"/>
          </w:tcPr>
          <w:p>
            <w:pPr>
              <w:pStyle w:val="TableContents"/>
              <w:spacing w:before="0" w:after="283"/>
              <w:jc w:val="right"/>
              <w:rPr>
                <w:rFonts w:ascii="times" w:hAnsi="times"/>
                <w:sz w:val="14"/>
              </w:rPr>
            </w:pPr>
            <w:r>
              <w:rPr>
                <w:rFonts w:ascii="times" w:hAnsi="times"/>
                <w:sz w:val="14"/>
              </w:rPr>
              <w:t>5.02%</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404" w:type="dxa"/>
            <w:tcBorders/>
            <w:shd w:fill="FFFFFF" w:val="clear"/>
            <w:vAlign w:val="bottom"/>
          </w:tcPr>
          <w:p>
            <w:pPr>
              <w:pStyle w:val="TableContents"/>
              <w:spacing w:before="0" w:after="283"/>
              <w:jc w:val="right"/>
              <w:rPr>
                <w:rFonts w:ascii="times" w:hAnsi="times"/>
                <w:sz w:val="14"/>
              </w:rPr>
            </w:pPr>
            <w:r>
              <w:rPr>
                <w:rFonts w:ascii="times" w:hAnsi="times"/>
                <w:sz w:val="14"/>
              </w:rPr>
              <w:t>7/23/2024</w:t>
            </w:r>
          </w:p>
        </w:tc>
        <w:tc>
          <w:tcPr>
            <w:tcW w:w="425" w:type="dxa"/>
            <w:tcBorders/>
            <w:shd w:fill="FFFF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sz w:val="4"/>
                <w:szCs w:val="4"/>
              </w:rPr>
            </w:pPr>
            <w:r>
              <w:rPr>
                <w:sz w:val="4"/>
                <w:szCs w:val="4"/>
              </w:rPr>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200,000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pPr>
            <w:r>
              <w:rPr/>
              <w:t> </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pPr>
            <w:r>
              <w:rPr/>
              <w:t> </w:t>
            </w:r>
          </w:p>
        </w:tc>
        <w:tc>
          <w:tcPr>
            <w:tcW w:w="425" w:type="dxa"/>
            <w:tcBorders/>
            <w:shd w:fill="CCEE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b/>
          <w:i/>
          <w:sz w:val="14"/>
        </w:rPr>
      </w:pPr>
      <w:r>
        <w:rPr>
          <w:rFonts w:ascii="times" w:hAnsi="times"/>
          <w:b/>
          <w:i/>
          <w:sz w:val="14"/>
        </w:rPr>
        <w:t xml:space="preserve">2010 Notes </w:t>
      </w:r>
    </w:p>
    <w:p>
      <w:pPr>
        <w:pStyle w:val="TextBody"/>
        <w:numPr>
          <w:ilvl w:val="0"/>
          <w:numId w:val="0"/>
        </w:numPr>
        <w:ind w:left="707" w:hanging="0"/>
        <w:rPr>
          <w:rFonts w:ascii="times" w:hAnsi="times"/>
          <w:sz w:val="14"/>
        </w:rPr>
      </w:pPr>
      <w:r>
        <w:rPr>
          <w:rFonts w:ascii="times" w:hAnsi="times"/>
          <w:sz w:val="14"/>
        </w:rPr>
        <w:t xml:space="preserve">On April 7, 2010, the Company closed a private placement consisting of $600.0 million of guaranteed senior unsecured notes due in 2017, 2020 and 2022 (the "2010 Notes") with a weighted average maturity of 9.84 years and weighted average yield of 6.59%. </w:t>
      </w:r>
    </w:p>
    <w:p>
      <w:pPr>
        <w:pStyle w:val="TextBody"/>
        <w:numPr>
          <w:ilvl w:val="0"/>
          <w:numId w:val="0"/>
        </w:numPr>
        <w:ind w:left="707" w:hanging="0"/>
        <w:rPr>
          <w:rFonts w:ascii="times" w:hAnsi="times"/>
          <w:sz w:val="14"/>
        </w:rPr>
      </w:pPr>
      <w:r>
        <w:rPr>
          <w:rFonts w:ascii="times" w:hAnsi="times"/>
          <w:sz w:val="14"/>
        </w:rPr>
        <w:t xml:space="preserve">The following are the individual series' of the issued 2010 Notes: </w:t>
      </w:r>
    </w:p>
    <w:tbl>
      <w:tblPr>
        <w:tblW w:w="5000" w:type="pct"/>
        <w:jc w:val="center"/>
        <w:tblInd w:w="0" w:type="dxa"/>
        <w:tblCellMar>
          <w:top w:w="0" w:type="dxa"/>
          <w:left w:w="0" w:type="dxa"/>
          <w:bottom w:w="0" w:type="dxa"/>
          <w:right w:w="0" w:type="dxa"/>
        </w:tblCellMar>
      </w:tblPr>
      <w:tblGrid>
        <w:gridCol w:w="565"/>
        <w:gridCol w:w="1143"/>
        <w:gridCol w:w="424"/>
        <w:gridCol w:w="224"/>
        <w:gridCol w:w="1591"/>
        <w:gridCol w:w="424"/>
        <w:gridCol w:w="212"/>
        <w:gridCol w:w="2157"/>
        <w:gridCol w:w="424"/>
        <w:gridCol w:w="212"/>
        <w:gridCol w:w="2404"/>
        <w:gridCol w:w="425"/>
      </w:tblGrid>
      <w:tr>
        <w:trPr/>
        <w:tc>
          <w:tcPr>
            <w:tcW w:w="565" w:type="dxa"/>
            <w:tcBorders/>
            <w:shd w:fill="auto" w:val="clear"/>
            <w:vAlign w:val="center"/>
          </w:tcPr>
          <w:p>
            <w:pPr>
              <w:pStyle w:val="TableContents"/>
              <w:spacing w:before="0" w:after="283"/>
              <w:rPr>
                <w:sz w:val="4"/>
                <w:szCs w:val="4"/>
              </w:rPr>
            </w:pPr>
            <w:r>
              <w:rPr>
                <w:sz w:val="4"/>
                <w:szCs w:val="4"/>
              </w:rPr>
            </w:r>
          </w:p>
        </w:tc>
        <w:tc>
          <w:tcPr>
            <w:tcW w:w="1143"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9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157"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404"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r>
      <w:tr>
        <w:trPr/>
        <w:tc>
          <w:tcPr>
            <w:tcW w:w="565" w:type="dxa"/>
            <w:tcBorders/>
            <w:shd w:fill="auto" w:val="clear"/>
            <w:vAlign w:val="bottom"/>
          </w:tcPr>
          <w:p>
            <w:pPr>
              <w:pStyle w:val="TableHeading"/>
              <w:suppressLineNumbers/>
              <w:spacing w:before="0" w:after="283"/>
              <w:jc w:val="center"/>
              <w:rPr/>
            </w:pPr>
            <w:r>
              <w:rPr/>
              <w:t> </w:t>
            </w:r>
          </w:p>
        </w:tc>
        <w:tc>
          <w:tcPr>
            <w:tcW w:w="1143" w:type="dxa"/>
            <w:tcBorders/>
            <w:shd w:fill="auto" w:val="clear"/>
            <w:vAlign w:val="bottom"/>
          </w:tcPr>
          <w:p>
            <w:pPr>
              <w:pStyle w:val="TableHeading"/>
              <w:spacing w:before="0" w:after="283"/>
              <w:jc w:val="left"/>
              <w:rPr/>
            </w:pPr>
            <w:r>
              <w:rPr/>
              <w:t> </w:t>
            </w:r>
          </w:p>
        </w:tc>
        <w:tc>
          <w:tcPr>
            <w:tcW w:w="424" w:type="dxa"/>
            <w:tcBorders/>
            <w:shd w:fill="auto" w:val="clear"/>
            <w:vAlign w:val="bottom"/>
          </w:tcPr>
          <w:p>
            <w:pPr>
              <w:pStyle w:val="TableHeading"/>
              <w:suppressLineNumbers/>
              <w:spacing w:before="0" w:after="283"/>
              <w:jc w:val="center"/>
              <w:rPr/>
            </w:pPr>
            <w:r>
              <w:rPr/>
              <w:t> </w:t>
            </w:r>
          </w:p>
        </w:tc>
        <w:tc>
          <w:tcPr>
            <w:tcW w:w="18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Principal </w:t>
            </w:r>
          </w:p>
        </w:tc>
        <w:tc>
          <w:tcPr>
            <w:tcW w:w="424" w:type="dxa"/>
            <w:tcBorders/>
            <w:shd w:fill="auto" w:val="clear"/>
            <w:vAlign w:val="bottom"/>
          </w:tcPr>
          <w:p>
            <w:pPr>
              <w:pStyle w:val="TableHeading"/>
              <w:suppressLineNumbers/>
              <w:spacing w:before="0" w:after="283"/>
              <w:jc w:val="center"/>
              <w:rPr/>
            </w:pPr>
            <w:r>
              <w:rPr/>
              <w:t> </w:t>
            </w:r>
          </w:p>
        </w:tc>
        <w:tc>
          <w:tcPr>
            <w:tcW w:w="23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Interest Rate </w:t>
            </w:r>
          </w:p>
        </w:tc>
        <w:tc>
          <w:tcPr>
            <w:tcW w:w="424" w:type="dxa"/>
            <w:tcBorders/>
            <w:shd w:fill="auto" w:val="clear"/>
            <w:vAlign w:val="bottom"/>
          </w:tcPr>
          <w:p>
            <w:pPr>
              <w:pStyle w:val="TableHeading"/>
              <w:suppressLineNumbers/>
              <w:spacing w:before="0" w:after="283"/>
              <w:jc w:val="center"/>
              <w:rPr/>
            </w:pPr>
            <w:r>
              <w:rPr/>
              <w:t> </w:t>
            </w:r>
          </w:p>
        </w:tc>
        <w:tc>
          <w:tcPr>
            <w:tcW w:w="261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Maturity Date </w:t>
            </w:r>
          </w:p>
        </w:tc>
        <w:tc>
          <w:tcPr>
            <w:tcW w:w="425" w:type="dxa"/>
            <w:tcBorders/>
            <w:shd w:fill="auto" w:val="clear"/>
            <w:vAlign w:val="bottom"/>
          </w:tcPr>
          <w:p>
            <w:pPr>
              <w:pStyle w:val="TableHeading"/>
              <w:suppressLineNumbers/>
              <w:spacing w:before="0" w:after="283"/>
              <w:jc w:val="center"/>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Series A</w:t>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115,000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rFonts w:ascii="times" w:hAnsi="times"/>
                <w:sz w:val="14"/>
              </w:rPr>
            </w:pPr>
            <w:r>
              <w:rPr>
                <w:rFonts w:ascii="times" w:hAnsi="times"/>
                <w:sz w:val="14"/>
              </w:rPr>
              <w:t>6.13%</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rFonts w:ascii="times" w:hAnsi="times"/>
                <w:sz w:val="14"/>
              </w:rPr>
            </w:pPr>
            <w:r>
              <w:rPr>
                <w:rFonts w:ascii="times" w:hAnsi="times"/>
                <w:sz w:val="14"/>
              </w:rPr>
              <w:t>7/4/2017</w:t>
            </w:r>
          </w:p>
        </w:tc>
        <w:tc>
          <w:tcPr>
            <w:tcW w:w="425" w:type="dxa"/>
            <w:tcBorders/>
            <w:shd w:fill="CCEEFF" w:val="clear"/>
            <w:vAlign w:val="bottom"/>
          </w:tcPr>
          <w:p>
            <w:pPr>
              <w:pStyle w:val="TableContents"/>
              <w:spacing w:before="0" w:after="283"/>
              <w:rPr/>
            </w:pPr>
            <w:r>
              <w:rPr/>
              <w:t> </w:t>
            </w:r>
          </w:p>
        </w:tc>
      </w:tr>
      <w:tr>
        <w:trPr/>
        <w:tc>
          <w:tcPr>
            <w:tcW w:w="565" w:type="dxa"/>
            <w:tcBorders/>
            <w:shd w:fill="FFFFFF" w:val="clear"/>
          </w:tcPr>
          <w:p>
            <w:pPr>
              <w:pStyle w:val="TableContents"/>
              <w:spacing w:before="0" w:after="283"/>
              <w:rPr/>
            </w:pPr>
            <w:r>
              <w:rPr/>
              <w:t> </w:t>
            </w:r>
          </w:p>
        </w:tc>
        <w:tc>
          <w:tcPr>
            <w:tcW w:w="1143"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Series B</w:t>
            </w:r>
          </w:p>
        </w:tc>
        <w:tc>
          <w:tcPr>
            <w:tcW w:w="424" w:type="dxa"/>
            <w:tcBorders/>
            <w:shd w:fill="FFFFFF" w:val="clear"/>
            <w:vAlign w:val="bottom"/>
          </w:tcPr>
          <w:p>
            <w:pPr>
              <w:pStyle w:val="TableContents"/>
              <w:spacing w:before="0" w:after="283"/>
              <w:rPr/>
            </w:pPr>
            <w:r>
              <w:rPr/>
              <w:t> </w:t>
            </w:r>
          </w:p>
        </w:tc>
        <w:tc>
          <w:tcPr>
            <w:tcW w:w="224" w:type="dxa"/>
            <w:tcBorders/>
            <w:shd w:fill="FFFFFF" w:val="clear"/>
            <w:vAlign w:val="bottom"/>
          </w:tcPr>
          <w:p>
            <w:pPr>
              <w:pStyle w:val="TableContents"/>
              <w:spacing w:before="0" w:after="283"/>
              <w:rPr/>
            </w:pPr>
            <w:r>
              <w:rPr/>
              <w:t> </w:t>
            </w:r>
          </w:p>
        </w:tc>
        <w:tc>
          <w:tcPr>
            <w:tcW w:w="1591" w:type="dxa"/>
            <w:tcBorders/>
            <w:shd w:fill="FFFFFF" w:val="clear"/>
            <w:vAlign w:val="bottom"/>
          </w:tcPr>
          <w:p>
            <w:pPr>
              <w:pStyle w:val="TableContents"/>
              <w:spacing w:before="0" w:after="283"/>
              <w:jc w:val="right"/>
              <w:rPr>
                <w:rFonts w:ascii="times" w:hAnsi="times"/>
                <w:sz w:val="14"/>
              </w:rPr>
            </w:pPr>
            <w:r>
              <w:rPr>
                <w:rFonts w:ascii="times" w:hAnsi="times"/>
                <w:sz w:val="14"/>
              </w:rPr>
              <w:t>360,000</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157" w:type="dxa"/>
            <w:tcBorders/>
            <w:shd w:fill="FFFFFF" w:val="clear"/>
            <w:vAlign w:val="bottom"/>
          </w:tcPr>
          <w:p>
            <w:pPr>
              <w:pStyle w:val="TableContents"/>
              <w:spacing w:before="0" w:after="283"/>
              <w:jc w:val="right"/>
              <w:rPr>
                <w:rFonts w:ascii="times" w:hAnsi="times"/>
                <w:sz w:val="14"/>
              </w:rPr>
            </w:pPr>
            <w:r>
              <w:rPr>
                <w:rFonts w:ascii="times" w:hAnsi="times"/>
                <w:sz w:val="14"/>
              </w:rPr>
              <w:t>6.67%</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404" w:type="dxa"/>
            <w:tcBorders/>
            <w:shd w:fill="FFFFFF" w:val="clear"/>
            <w:vAlign w:val="bottom"/>
          </w:tcPr>
          <w:p>
            <w:pPr>
              <w:pStyle w:val="TableContents"/>
              <w:spacing w:before="0" w:after="283"/>
              <w:jc w:val="right"/>
              <w:rPr>
                <w:rFonts w:ascii="times" w:hAnsi="times"/>
                <w:sz w:val="14"/>
              </w:rPr>
            </w:pPr>
            <w:r>
              <w:rPr>
                <w:rFonts w:ascii="times" w:hAnsi="times"/>
                <w:sz w:val="14"/>
              </w:rPr>
              <w:t>7/4/2020</w:t>
            </w:r>
          </w:p>
        </w:tc>
        <w:tc>
          <w:tcPr>
            <w:tcW w:w="425" w:type="dxa"/>
            <w:tcBorders/>
            <w:shd w:fill="FFFFFF" w:val="clear"/>
            <w:vAlign w:val="bottom"/>
          </w:tcPr>
          <w:p>
            <w:pPr>
              <w:pStyle w:val="TableContents"/>
              <w:spacing w:before="0" w:after="283"/>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Series C</w:t>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125,000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rFonts w:ascii="times" w:hAnsi="times"/>
                <w:sz w:val="14"/>
              </w:rPr>
            </w:pPr>
            <w:r>
              <w:rPr>
                <w:rFonts w:ascii="times" w:hAnsi="times"/>
                <w:sz w:val="14"/>
              </w:rPr>
              <w:t>6.77%</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rFonts w:ascii="times" w:hAnsi="times"/>
                <w:sz w:val="14"/>
              </w:rPr>
            </w:pPr>
            <w:r>
              <w:rPr>
                <w:rFonts w:ascii="times" w:hAnsi="times"/>
                <w:sz w:val="14"/>
              </w:rPr>
              <w:t>7/4/2022</w:t>
            </w:r>
          </w:p>
        </w:tc>
        <w:tc>
          <w:tcPr>
            <w:tcW w:w="425" w:type="dxa"/>
            <w:tcBorders/>
            <w:shd w:fill="CCEE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r>
        <w:trPr/>
        <w:tc>
          <w:tcPr>
            <w:tcW w:w="565" w:type="dxa"/>
            <w:tcBorders/>
            <w:shd w:fill="FFFFFF" w:val="clear"/>
          </w:tcPr>
          <w:p>
            <w:pPr>
              <w:pStyle w:val="TableContents"/>
              <w:spacing w:before="0" w:after="283"/>
              <w:rPr/>
            </w:pPr>
            <w:r>
              <w:rPr/>
              <w:t> </w:t>
            </w:r>
          </w:p>
        </w:tc>
        <w:tc>
          <w:tcPr>
            <w:tcW w:w="1143" w:type="dxa"/>
            <w:tcBorders/>
            <w:shd w:fill="FFFFFF" w:val="clear"/>
            <w:vAlign w:val="bottom"/>
          </w:tcPr>
          <w:p>
            <w:pPr>
              <w:pStyle w:val="TableContents"/>
              <w:spacing w:before="0" w:after="283"/>
              <w:ind w:left="160" w:right="0" w:hanging="160"/>
              <w:rPr>
                <w:sz w:val="4"/>
                <w:szCs w:val="4"/>
              </w:rPr>
            </w:pPr>
            <w:r>
              <w:rPr>
                <w:sz w:val="4"/>
                <w:szCs w:val="4"/>
              </w:rPr>
            </w:r>
          </w:p>
        </w:tc>
        <w:tc>
          <w:tcPr>
            <w:tcW w:w="424" w:type="dxa"/>
            <w:tcBorders/>
            <w:shd w:fill="FFFFFF" w:val="clear"/>
            <w:vAlign w:val="bottom"/>
          </w:tcPr>
          <w:p>
            <w:pPr>
              <w:pStyle w:val="TableContents"/>
              <w:spacing w:before="0" w:after="283"/>
              <w:rPr/>
            </w:pPr>
            <w:r>
              <w:rPr/>
              <w:t> </w:t>
            </w:r>
          </w:p>
        </w:tc>
        <w:tc>
          <w:tcPr>
            <w:tcW w:w="22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FFFFFF" w:val="clear"/>
            <w:vAlign w:val="bottom"/>
          </w:tcPr>
          <w:p>
            <w:pPr>
              <w:pStyle w:val="TableContents"/>
              <w:spacing w:before="0" w:after="283"/>
              <w:jc w:val="right"/>
              <w:rPr>
                <w:rFonts w:ascii="times" w:hAnsi="times"/>
                <w:sz w:val="14"/>
              </w:rPr>
            </w:pPr>
            <w:r>
              <w:rPr>
                <w:rFonts w:ascii="times" w:hAnsi="times"/>
                <w:sz w:val="14"/>
              </w:rPr>
              <w:t>600,000</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157" w:type="dxa"/>
            <w:tcBorders/>
            <w:shd w:fill="FFFFFF" w:val="clear"/>
            <w:vAlign w:val="bottom"/>
          </w:tcPr>
          <w:p>
            <w:pPr>
              <w:pStyle w:val="TableContents"/>
              <w:spacing w:before="0" w:after="283"/>
              <w:jc w:val="right"/>
              <w:rPr/>
            </w:pPr>
            <w:r>
              <w:rPr/>
              <w:t> </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404" w:type="dxa"/>
            <w:tcBorders/>
            <w:shd w:fill="FFFFFF" w:val="clear"/>
            <w:vAlign w:val="bottom"/>
          </w:tcPr>
          <w:p>
            <w:pPr>
              <w:pStyle w:val="TableContents"/>
              <w:spacing w:before="0" w:after="283"/>
              <w:jc w:val="right"/>
              <w:rPr/>
            </w:pPr>
            <w:r>
              <w:rPr/>
              <w:t> </w:t>
            </w:r>
          </w:p>
        </w:tc>
        <w:tc>
          <w:tcPr>
            <w:tcW w:w="425" w:type="dxa"/>
            <w:tcBorders/>
            <w:shd w:fill="FFFF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b/>
          <w:i/>
          <w:sz w:val="14"/>
        </w:rPr>
      </w:pPr>
      <w:r>
        <w:rPr>
          <w:rFonts w:ascii="times" w:hAnsi="times"/>
          <w:b/>
          <w:i/>
          <w:sz w:val="14"/>
        </w:rPr>
        <w:t xml:space="preserve">Covenants </w:t>
      </w:r>
    </w:p>
    <w:p>
      <w:pPr>
        <w:pStyle w:val="TextBody"/>
        <w:numPr>
          <w:ilvl w:val="0"/>
          <w:numId w:val="0"/>
        </w:numPr>
        <w:ind w:left="707" w:hanging="0"/>
        <w:rPr>
          <w:rFonts w:ascii="times" w:hAnsi="times"/>
          <w:sz w:val="14"/>
        </w:rPr>
      </w:pPr>
      <w:r>
        <w:rPr>
          <w:rFonts w:ascii="times" w:hAnsi="times"/>
          <w:sz w:val="14"/>
        </w:rPr>
        <w:t xml:space="preserve">Payment and performance of Agnico Eagle's obligations under the Credit Facility, 2012 Notes and 2010 Notes is guaranteed by each of its significant subsidiaries and certain of its other subsidiaries (the "Guarantors"). </w:t>
      </w:r>
    </w:p>
    <w:p>
      <w:pPr>
        <w:pStyle w:val="TextBody"/>
        <w:jc w:val="center"/>
        <w:rPr>
          <w:rFonts w:ascii="times" w:hAnsi="times"/>
          <w:sz w:val="20"/>
        </w:rPr>
      </w:pPr>
      <w:r>
        <w:rPr>
          <w:rFonts w:ascii="times" w:hAnsi="times"/>
          <w:sz w:val="20"/>
        </w:rPr>
        <w:t>29</w:t>
      </w:r>
    </w:p>
    <w:p>
      <w:pPr>
        <w:pStyle w:val="HorizontalLine"/>
        <w:pBdr>
          <w:bottom w:val="single" w:sz="20" w:space="0" w:color="808080"/>
        </w:pBdr>
        <w:rPr/>
      </w:pPr>
      <w:r>
        <w:rPr/>
      </w:r>
      <w:r>
        <w:br w:type="page"/>
      </w:r>
    </w:p>
    <w:p>
      <w:pPr>
        <w:pStyle w:val="TextBody"/>
        <w:jc w:val="center"/>
        <w:rPr>
          <w:rFonts w:ascii="times" w:hAnsi="times"/>
          <w:b/>
          <w:sz w:val="20"/>
        </w:rPr>
      </w:pPr>
      <w:bookmarkStart w:id="56" w:name="page_fi72201_1_30"/>
      <w:bookmarkEnd w:id="56"/>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9.     LONG-TERM DEBT (Continued) </w:t>
      </w:r>
    </w:p>
    <w:p>
      <w:pPr>
        <w:pStyle w:val="TextBody"/>
        <w:numPr>
          <w:ilvl w:val="0"/>
          <w:numId w:val="0"/>
        </w:numPr>
        <w:ind w:left="707" w:hanging="0"/>
        <w:rPr>
          <w:rFonts w:ascii="times" w:hAnsi="times"/>
          <w:sz w:val="14"/>
        </w:rPr>
      </w:pPr>
      <w:r>
        <w:rPr>
          <w:rFonts w:ascii="times" w:hAnsi="times"/>
          <w:sz w:val="14"/>
        </w:rPr>
        <w:t xml:space="preserve">The Credit Facility contains covenants that limit, among other things, the ability of the Company to incur additional indebtedness, make distributions in certain circumstances, sell material assets and carry on a business other than one related to the mining business. </w:t>
      </w:r>
    </w:p>
    <w:p>
      <w:pPr>
        <w:pStyle w:val="TextBody"/>
        <w:numPr>
          <w:ilvl w:val="0"/>
          <w:numId w:val="0"/>
        </w:numPr>
        <w:ind w:left="707" w:hanging="0"/>
        <w:rPr>
          <w:rFonts w:ascii="times" w:hAnsi="times"/>
          <w:sz w:val="14"/>
        </w:rPr>
      </w:pPr>
      <w:r>
        <w:rPr>
          <w:rFonts w:ascii="times" w:hAnsi="times"/>
          <w:sz w:val="14"/>
        </w:rPr>
        <w:t xml:space="preserve">The 2012 Notes and 2010 Notes contain covenants that restrict, among other things, the ability of the Company to amalgamate or otherwise transfer its assets, sell material assets, carry on a business other than one related to mining and the ability of the Guarantors to incur indebtedness. </w:t>
      </w:r>
    </w:p>
    <w:p>
      <w:pPr>
        <w:pStyle w:val="TextBody"/>
        <w:numPr>
          <w:ilvl w:val="0"/>
          <w:numId w:val="0"/>
        </w:numPr>
        <w:ind w:left="707" w:hanging="0"/>
        <w:rPr>
          <w:rFonts w:ascii="times" w:hAnsi="times"/>
          <w:sz w:val="14"/>
        </w:rPr>
      </w:pPr>
      <w:r>
        <w:rPr>
          <w:rFonts w:ascii="times" w:hAnsi="times"/>
          <w:sz w:val="14"/>
        </w:rPr>
        <w:t xml:space="preserve">The Credit Facility, 2012 Notes and 2010 Notes also require the Company to maintain a total net debt to EBITDA ratio below a specified maximum value as well as a minimum tangible net worth. </w:t>
      </w:r>
    </w:p>
    <w:p>
      <w:pPr>
        <w:pStyle w:val="TextBody"/>
        <w:numPr>
          <w:ilvl w:val="0"/>
          <w:numId w:val="0"/>
        </w:numPr>
        <w:ind w:left="707" w:hanging="0"/>
        <w:rPr>
          <w:rFonts w:ascii="times" w:hAnsi="times"/>
          <w:sz w:val="14"/>
        </w:rPr>
      </w:pPr>
      <w:r>
        <w:rPr>
          <w:rFonts w:ascii="times" w:hAnsi="times"/>
          <w:sz w:val="14"/>
        </w:rPr>
        <w:t xml:space="preserve">The Company was in compliance with all covenants contained within the Credit Facility, 2012 Notes and 2010 Notes as at June 30, 2013. </w:t>
      </w:r>
    </w:p>
    <w:p>
      <w:pPr>
        <w:pStyle w:val="TextBody"/>
        <w:numPr>
          <w:ilvl w:val="0"/>
          <w:numId w:val="0"/>
        </w:numPr>
        <w:ind w:left="707" w:hanging="0"/>
        <w:rPr>
          <w:rFonts w:ascii="times" w:hAnsi="times"/>
          <w:b/>
          <w:i/>
          <w:sz w:val="14"/>
        </w:rPr>
      </w:pPr>
      <w:r>
        <w:rPr>
          <w:rFonts w:ascii="times" w:hAnsi="times"/>
          <w:b/>
          <w:i/>
          <w:sz w:val="14"/>
        </w:rPr>
        <w:t xml:space="preserve">Interest on long-term debt </w:t>
      </w:r>
    </w:p>
    <w:p>
      <w:pPr>
        <w:pStyle w:val="TextBody"/>
        <w:numPr>
          <w:ilvl w:val="0"/>
          <w:numId w:val="0"/>
        </w:numPr>
        <w:ind w:left="707" w:hanging="0"/>
        <w:rPr>
          <w:rFonts w:ascii="times" w:hAnsi="times"/>
          <w:sz w:val="14"/>
        </w:rPr>
      </w:pPr>
      <w:r>
        <w:rPr>
          <w:rFonts w:ascii="times" w:hAnsi="times"/>
          <w:sz w:val="14"/>
        </w:rPr>
        <w:t xml:space="preserve">Total long-term debt interest costs incurred during the three and six months ended June 30, 2013 were $12.4 million (three months ended June 30, 2012  $10.9 million) and $24.7 million (six months ended June 30, 2012  $22.4 million), respectively. </w:t>
      </w:r>
    </w:p>
    <w:p>
      <w:pPr>
        <w:pStyle w:val="TextBody"/>
        <w:numPr>
          <w:ilvl w:val="0"/>
          <w:numId w:val="0"/>
        </w:numPr>
        <w:ind w:left="707" w:hanging="0"/>
        <w:rPr>
          <w:rFonts w:ascii="times" w:hAnsi="times"/>
          <w:sz w:val="14"/>
        </w:rPr>
      </w:pPr>
      <w:r>
        <w:rPr>
          <w:rFonts w:ascii="times" w:hAnsi="times"/>
          <w:sz w:val="14"/>
        </w:rPr>
        <w:t xml:space="preserve">Total interest costs capitalized to property, plant and mine development for the three and six months ended June 30, 2013 were $1.2 million (three months ended June 30, 2012  $0.3 million) and $2.3 million (six months ended June 30, 2012  $0.5 million), respectively. </w:t>
      </w:r>
    </w:p>
    <w:p>
      <w:pPr>
        <w:pStyle w:val="TextBody"/>
        <w:numPr>
          <w:ilvl w:val="0"/>
          <w:numId w:val="0"/>
        </w:numPr>
        <w:ind w:left="707" w:hanging="0"/>
        <w:rPr>
          <w:rFonts w:ascii="times" w:hAnsi="times"/>
          <w:sz w:val="14"/>
        </w:rPr>
      </w:pPr>
      <w:r>
        <w:rPr>
          <w:rFonts w:ascii="times" w:hAnsi="times"/>
          <w:sz w:val="14"/>
        </w:rPr>
        <w:t xml:space="preserve">During the three months ended June 30, 2013, cash interest paid on the Credit Facility was $0.2 million (three months ended June 30, 2012  $1.0 million), cash standby fees paid on the Credit Facility were $1.2 million (three months ended June 30, 2012  $1.0 million) and cash interest paid on the 2010 Notes and 2012 Notes was $19.8 million (three months ended June 30, 2012  $19.8 million). </w:t>
      </w:r>
    </w:p>
    <w:p>
      <w:pPr>
        <w:pStyle w:val="TextBody"/>
        <w:numPr>
          <w:ilvl w:val="0"/>
          <w:numId w:val="0"/>
        </w:numPr>
        <w:ind w:left="707" w:hanging="0"/>
        <w:rPr>
          <w:rFonts w:ascii="times" w:hAnsi="times"/>
          <w:sz w:val="14"/>
        </w:rPr>
      </w:pPr>
      <w:r>
        <w:rPr>
          <w:rFonts w:ascii="times" w:hAnsi="times"/>
          <w:sz w:val="14"/>
        </w:rPr>
        <w:t xml:space="preserve">During the six months ended June 30, 2013, cash interest paid on the Credit Facility was $0.2 million (six months ended June 30, 2012  $2.7 million), cash standby fees paid on the Credit Facility were $2.4 million (six months ended June 30, 2012  $2.0 million) and cash interest paid on the 2010 Notes and 2012 Notes was $24.7 million (six months ended June 30, 2012  $19.8 million). </w:t>
      </w:r>
    </w:p>
    <w:p>
      <w:pPr>
        <w:pStyle w:val="TextBody"/>
        <w:rPr>
          <w:rFonts w:ascii="times" w:hAnsi="times"/>
          <w:b/>
          <w:sz w:val="14"/>
        </w:rPr>
      </w:pPr>
      <w:r>
        <w:rPr>
          <w:rFonts w:ascii="times" w:hAnsi="times"/>
          <w:b/>
          <w:sz w:val="14"/>
        </w:rPr>
        <w:t xml:space="preserve">10.   FINANCIAL INSTRUMENTS </w:t>
      </w:r>
    </w:p>
    <w:p>
      <w:pPr>
        <w:pStyle w:val="TextBody"/>
        <w:numPr>
          <w:ilvl w:val="0"/>
          <w:numId w:val="0"/>
        </w:numPr>
        <w:ind w:left="707" w:hanging="0"/>
        <w:rPr>
          <w:rFonts w:ascii="times" w:hAnsi="times"/>
          <w:i/>
          <w:sz w:val="14"/>
        </w:rPr>
      </w:pPr>
      <w:r>
        <w:rPr>
          <w:rFonts w:ascii="times" w:hAnsi="times"/>
          <w:i/>
          <w:sz w:val="14"/>
        </w:rPr>
        <w:t xml:space="preserve">Currency Risk Management </w:t>
      </w:r>
    </w:p>
    <w:p>
      <w:pPr>
        <w:pStyle w:val="TextBody"/>
        <w:numPr>
          <w:ilvl w:val="0"/>
          <w:numId w:val="0"/>
        </w:numPr>
        <w:ind w:left="707" w:hanging="0"/>
        <w:rPr>
          <w:rFonts w:ascii="times" w:hAnsi="times"/>
          <w:sz w:val="14"/>
        </w:rPr>
      </w:pPr>
      <w:r>
        <w:rPr>
          <w:rFonts w:ascii="times" w:hAnsi="times"/>
          <w:sz w:val="14"/>
        </w:rPr>
        <w:t xml:space="preserve">The Company utilizes foreign exchange hedges to reduce the variability of the US dollar amount of expected future foreign currency expenditures arising from changes in currency exchange rates. Hedged items represent a portion of the Canadian dollar denominated cash outflows arising from Canadian dollar denominated expenditures. </w:t>
      </w:r>
    </w:p>
    <w:p>
      <w:pPr>
        <w:pStyle w:val="TextBody"/>
        <w:numPr>
          <w:ilvl w:val="0"/>
          <w:numId w:val="0"/>
        </w:numPr>
        <w:ind w:left="707" w:hanging="0"/>
        <w:rPr>
          <w:rFonts w:ascii="times" w:hAnsi="times"/>
        </w:rPr>
      </w:pPr>
      <w:r>
        <w:rPr>
          <w:rFonts w:ascii="times" w:hAnsi="times"/>
          <w:sz w:val="14"/>
        </w:rPr>
        <w:t>As at June 30, 2013, the Company had outstanding foreign exchange zero cost collars with a cash flow hedging relationship that did qualify for hedge accounting under ASC 815  </w:t>
      </w:r>
      <w:r>
        <w:rPr>
          <w:rFonts w:ascii="times" w:hAnsi="times"/>
          <w:i/>
          <w:sz w:val="14"/>
        </w:rPr>
        <w:t>Derivatives and Hedging</w:t>
      </w:r>
      <w:r>
        <w:rPr>
          <w:rFonts w:ascii="times" w:hAnsi="times"/>
          <w:sz w:val="14"/>
        </w:rPr>
        <w:t xml:space="preserve">. The purchase of US dollar put options was financed through selling US dollar call options at a higher level such that the net premium payable to the different counterparties by the Company was nil. At June 30, 2013, the zero cost collars hedged $120.0 million of 2013 expenditures and the Company recognized a mark-to-market loss of $1.8 million in accumulated other comprehensive loss ("AOCL"). </w:t>
      </w:r>
    </w:p>
    <w:p>
      <w:pPr>
        <w:pStyle w:val="TextBody"/>
        <w:numPr>
          <w:ilvl w:val="0"/>
          <w:numId w:val="0"/>
        </w:numPr>
        <w:ind w:left="707" w:hanging="0"/>
        <w:rPr>
          <w:rFonts w:ascii="times" w:hAnsi="times"/>
          <w:sz w:val="14"/>
        </w:rPr>
      </w:pPr>
      <w:r>
        <w:rPr>
          <w:rFonts w:ascii="times" w:hAnsi="times"/>
          <w:sz w:val="14"/>
        </w:rPr>
        <w:t xml:space="preserve">Amounts deferred in AOCL are reclassified to the production costs line item on the interim unaudited consolidated statements of income (loss), as applicable, when the derivative financial instrument has settled. Mark-to-market gains (losses) related to foreign exchange derivative financial instruments are based on broker-dealer quotations that utilize period end forward pricing of the currency hedged to calculate fair value. </w:t>
      </w:r>
    </w:p>
    <w:p>
      <w:pPr>
        <w:pStyle w:val="TextBody"/>
        <w:numPr>
          <w:ilvl w:val="0"/>
          <w:numId w:val="0"/>
        </w:numPr>
        <w:ind w:left="707" w:hanging="0"/>
        <w:rPr>
          <w:rFonts w:ascii="times" w:hAnsi="times"/>
          <w:sz w:val="14"/>
        </w:rPr>
      </w:pPr>
      <w:r>
        <w:rPr>
          <w:rFonts w:ascii="times" w:hAnsi="times"/>
          <w:sz w:val="14"/>
        </w:rPr>
        <w:t xml:space="preserve">The Company's other foreign currency derivative strategies in 2013 and 2012 consisted mainly of writing US dollar call options with short maturities to generate premiums that would, in essence, enhance the spot transaction rate received when exchanging US dollars for Canadian dollars. All of these derivative transactions expired prior to period end such that no derivatives were outstanding on June 30, 2013 or June 30, 2012. Call option premiums were recognized in the loss (gain) on derivative financial instruments line item of the interim unaudited consolidated statements of income (loss). </w:t>
      </w:r>
    </w:p>
    <w:p>
      <w:pPr>
        <w:pStyle w:val="TextBody"/>
        <w:numPr>
          <w:ilvl w:val="0"/>
          <w:numId w:val="0"/>
        </w:numPr>
        <w:ind w:left="707" w:hanging="0"/>
        <w:rPr>
          <w:rFonts w:ascii="times" w:hAnsi="times"/>
          <w:i/>
          <w:sz w:val="14"/>
        </w:rPr>
      </w:pPr>
      <w:r>
        <w:rPr>
          <w:rFonts w:ascii="times" w:hAnsi="times"/>
          <w:i/>
          <w:sz w:val="14"/>
        </w:rPr>
        <w:t xml:space="preserve">Commodity Price Risk Management </w:t>
      </w:r>
    </w:p>
    <w:p>
      <w:pPr>
        <w:pStyle w:val="TextBody"/>
        <w:numPr>
          <w:ilvl w:val="0"/>
          <w:numId w:val="0"/>
        </w:numPr>
        <w:ind w:left="707" w:hanging="0"/>
        <w:rPr>
          <w:rFonts w:ascii="times" w:hAnsi="times"/>
          <w:sz w:val="14"/>
        </w:rPr>
      </w:pPr>
      <w:r>
        <w:rPr>
          <w:rFonts w:ascii="times" w:hAnsi="times"/>
          <w:sz w:val="14"/>
        </w:rPr>
        <w:t xml:space="preserve">The Company uses intra-quarter zinc and copper derivative financial instruments associated with the timing of sales of the related products during 2013 and 2012 that were recognized in the loss (gain) on derivative financial instruments line item of the interim unaudited consolidated statements of income (loss). There were no zinc intra-quarter derivative financial instruments outstanding at June 30, 2013 or December 31, 2012 and there were no intra-quarter copper derivative financial instruments purchased or outstanding during the three and six months ended June 30, 2013. </w:t>
      </w:r>
    </w:p>
    <w:p>
      <w:pPr>
        <w:pStyle w:val="TextBody"/>
        <w:jc w:val="center"/>
        <w:rPr>
          <w:rFonts w:ascii="times" w:hAnsi="times"/>
          <w:sz w:val="20"/>
        </w:rPr>
      </w:pPr>
      <w:r>
        <w:rPr>
          <w:rFonts w:ascii="times" w:hAnsi="times"/>
          <w:sz w:val="20"/>
        </w:rPr>
        <w:t>30</w:t>
      </w:r>
    </w:p>
    <w:p>
      <w:pPr>
        <w:pStyle w:val="HorizontalLine"/>
        <w:pBdr>
          <w:bottom w:val="single" w:sz="20" w:space="0" w:color="808080"/>
        </w:pBdr>
        <w:rPr/>
      </w:pPr>
      <w:r>
        <w:rPr/>
      </w:r>
      <w:r>
        <w:br w:type="page"/>
      </w:r>
    </w:p>
    <w:p>
      <w:pPr>
        <w:pStyle w:val="TextBody"/>
        <w:jc w:val="center"/>
        <w:rPr>
          <w:rFonts w:ascii="times" w:hAnsi="times"/>
          <w:b/>
          <w:sz w:val="20"/>
        </w:rPr>
      </w:pPr>
      <w:bookmarkStart w:id="57" w:name="page_fi72201_1_31"/>
      <w:bookmarkEnd w:id="57"/>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10.   FINANCIAL INSTRUMENTS (Continued) </w:t>
      </w:r>
    </w:p>
    <w:p>
      <w:pPr>
        <w:pStyle w:val="TextBody"/>
        <w:numPr>
          <w:ilvl w:val="0"/>
          <w:numId w:val="0"/>
        </w:numPr>
        <w:ind w:left="707" w:hanging="0"/>
        <w:rPr>
          <w:rFonts w:ascii="times" w:hAnsi="times"/>
          <w:sz w:val="14"/>
        </w:rPr>
      </w:pPr>
      <w:r>
        <w:rPr>
          <w:rFonts w:ascii="times" w:hAnsi="times"/>
          <w:sz w:val="14"/>
        </w:rPr>
        <w:t xml:space="preserve">To mitigate the risks associated with fluctuating diesel fuel prices, the Company uses derivative financial instrument contracts to hedge the price on a portion of diesel fuel costs associated with the Meadowbank mine's diesel fuel exposure as it relates to operating costs. Financial contracts expiring in 2013 and totaling 0.5 million gallons of heating oil were entered into at an average price of $2.45 per gallon, which is approximately 3.0% of the Meadowbank mine's expected 2013 diesel fuel operating costs. The contracts expiring in 2013 did qualify for hedge accounting and the related market-to-market gain as at June 30, 2013 was recognized in AOCL. No heating oil financial contracts expired during the three or six months ended June 30, 2013. Amounts deferred in AOCL are reclassified to the production costs line item of the interim unaudited consolidated statements of income (loss), as applicable, when the derivative financial instrument has settled. Mark-to-market gains (losses) related to heating oil derivative financial instruments are based on broker-dealer quotations that utilize period end forward pricing to calculate fair value. </w:t>
      </w:r>
    </w:p>
    <w:p>
      <w:pPr>
        <w:pStyle w:val="TextBody"/>
        <w:numPr>
          <w:ilvl w:val="0"/>
          <w:numId w:val="0"/>
        </w:numPr>
        <w:ind w:left="707" w:hanging="0"/>
        <w:rPr>
          <w:rFonts w:ascii="times" w:hAnsi="times"/>
          <w:sz w:val="14"/>
        </w:rPr>
      </w:pPr>
      <w:r>
        <w:rPr>
          <w:rFonts w:ascii="times" w:hAnsi="times"/>
          <w:sz w:val="14"/>
        </w:rPr>
        <w:t xml:space="preserve">The fair value of the Company's derivative financial instruments are reported on the fair value of derivative financial instruments line item of the interim unaudited consolidated balance sheets. </w:t>
      </w:r>
    </w:p>
    <w:p>
      <w:pPr>
        <w:pStyle w:val="TextBody"/>
        <w:numPr>
          <w:ilvl w:val="0"/>
          <w:numId w:val="0"/>
        </w:numPr>
        <w:ind w:left="707" w:hanging="0"/>
        <w:rPr>
          <w:rFonts w:ascii="times" w:hAnsi="times"/>
          <w:sz w:val="14"/>
        </w:rPr>
      </w:pPr>
      <w:r>
        <w:rPr>
          <w:rFonts w:ascii="times" w:hAnsi="times"/>
          <w:sz w:val="14"/>
        </w:rPr>
        <w:t xml:space="preserve">The following table summarizes the changes in AOCL balances recorded in the interim unaudited consolidated financial statements pertaining to derivative financial instruments: </w:t>
      </w:r>
    </w:p>
    <w:tbl>
      <w:tblPr>
        <w:tblW w:w="5000" w:type="pct"/>
        <w:jc w:val="center"/>
        <w:tblInd w:w="0" w:type="dxa"/>
        <w:tblCellMar>
          <w:top w:w="0" w:type="dxa"/>
          <w:left w:w="0" w:type="dxa"/>
          <w:bottom w:w="0" w:type="dxa"/>
          <w:right w:w="0" w:type="dxa"/>
        </w:tblCellMar>
      </w:tblPr>
      <w:tblGrid>
        <w:gridCol w:w="279"/>
        <w:gridCol w:w="5916"/>
        <w:gridCol w:w="210"/>
        <w:gridCol w:w="110"/>
        <w:gridCol w:w="630"/>
        <w:gridCol w:w="210"/>
        <w:gridCol w:w="110"/>
        <w:gridCol w:w="630"/>
        <w:gridCol w:w="210"/>
        <w:gridCol w:w="110"/>
        <w:gridCol w:w="630"/>
        <w:gridCol w:w="210"/>
        <w:gridCol w:w="110"/>
        <w:gridCol w:w="630"/>
        <w:gridCol w:w="210"/>
      </w:tblGrid>
      <w:tr>
        <w:trPr/>
        <w:tc>
          <w:tcPr>
            <w:tcW w:w="279" w:type="dxa"/>
            <w:tcBorders/>
            <w:shd w:fill="auto" w:val="clear"/>
            <w:vAlign w:val="center"/>
          </w:tcPr>
          <w:p>
            <w:pPr>
              <w:pStyle w:val="TableContents"/>
              <w:spacing w:before="0" w:after="283"/>
              <w:rPr>
                <w:sz w:val="4"/>
                <w:szCs w:val="4"/>
              </w:rPr>
            </w:pPr>
            <w:r>
              <w:rPr>
                <w:sz w:val="4"/>
                <w:szCs w:val="4"/>
              </w:rPr>
            </w:r>
          </w:p>
        </w:tc>
        <w:tc>
          <w:tcPr>
            <w:tcW w:w="5916"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630"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630"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630"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630"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r>
      <w:tr>
        <w:trPr/>
        <w:tc>
          <w:tcPr>
            <w:tcW w:w="279" w:type="dxa"/>
            <w:tcBorders/>
            <w:shd w:fill="auto" w:val="clear"/>
            <w:vAlign w:val="bottom"/>
          </w:tcPr>
          <w:p>
            <w:pPr>
              <w:pStyle w:val="TableHeading"/>
              <w:suppressLineNumbers/>
              <w:spacing w:before="0" w:after="283"/>
              <w:jc w:val="center"/>
              <w:rPr/>
            </w:pPr>
            <w:r>
              <w:rPr/>
              <w:t> </w:t>
            </w:r>
          </w:p>
        </w:tc>
        <w:tc>
          <w:tcPr>
            <w:tcW w:w="5916" w:type="dxa"/>
            <w:tcBorders/>
            <w:shd w:fill="auto" w:val="clear"/>
            <w:vAlign w:val="bottom"/>
          </w:tcPr>
          <w:p>
            <w:pPr>
              <w:pStyle w:val="TableHeading"/>
              <w:spacing w:before="0" w:after="283"/>
              <w:jc w:val="left"/>
              <w:rPr/>
            </w:pPr>
            <w:r>
              <w:rPr/>
              <w:t> </w:t>
            </w:r>
          </w:p>
        </w:tc>
        <w:tc>
          <w:tcPr>
            <w:tcW w:w="210" w:type="dxa"/>
            <w:tcBorders/>
            <w:shd w:fill="auto" w:val="clear"/>
            <w:vAlign w:val="bottom"/>
          </w:tcPr>
          <w:p>
            <w:pPr>
              <w:pStyle w:val="TableHeading"/>
              <w:suppressLineNumbers/>
              <w:spacing w:before="0" w:after="283"/>
              <w:jc w:val="center"/>
              <w:rPr/>
            </w:pPr>
            <w:r>
              <w:rPr/>
              <w:t> </w:t>
            </w:r>
          </w:p>
        </w:tc>
        <w:tc>
          <w:tcPr>
            <w:tcW w:w="169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w:t>
            </w:r>
          </w:p>
        </w:tc>
        <w:tc>
          <w:tcPr>
            <w:tcW w:w="210" w:type="dxa"/>
            <w:tcBorders/>
            <w:shd w:fill="auto" w:val="clear"/>
            <w:vAlign w:val="bottom"/>
          </w:tcPr>
          <w:p>
            <w:pPr>
              <w:pStyle w:val="TableHeading"/>
              <w:suppressLineNumbers/>
              <w:spacing w:before="0" w:after="283"/>
              <w:jc w:val="center"/>
              <w:rPr/>
            </w:pPr>
            <w:r>
              <w:rPr/>
              <w:t> </w:t>
            </w:r>
          </w:p>
        </w:tc>
        <w:tc>
          <w:tcPr>
            <w:tcW w:w="169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210" w:type="dxa"/>
            <w:tcBorders/>
            <w:shd w:fill="auto" w:val="clear"/>
            <w:vAlign w:val="bottom"/>
          </w:tcPr>
          <w:p>
            <w:pPr>
              <w:pStyle w:val="TableHeading"/>
              <w:suppressLineNumbers/>
              <w:spacing w:before="0" w:after="283"/>
              <w:jc w:val="center"/>
              <w:rPr/>
            </w:pPr>
            <w:r>
              <w:rPr/>
              <w:t> </w:t>
            </w:r>
          </w:p>
        </w:tc>
      </w:tr>
      <w:tr>
        <w:trPr/>
        <w:tc>
          <w:tcPr>
            <w:tcW w:w="279" w:type="dxa"/>
            <w:tcBorders/>
            <w:shd w:fill="auto" w:val="clear"/>
            <w:vAlign w:val="bottom"/>
          </w:tcPr>
          <w:p>
            <w:pPr>
              <w:pStyle w:val="TableHeading"/>
              <w:suppressLineNumbers/>
              <w:spacing w:before="0" w:after="283"/>
              <w:jc w:val="center"/>
              <w:rPr/>
            </w:pPr>
            <w:r>
              <w:rPr/>
              <w:t> </w:t>
            </w:r>
          </w:p>
        </w:tc>
        <w:tc>
          <w:tcPr>
            <w:tcW w:w="5916" w:type="dxa"/>
            <w:tcBorders/>
            <w:shd w:fill="auto" w:val="clear"/>
            <w:vAlign w:val="bottom"/>
          </w:tcPr>
          <w:p>
            <w:pPr>
              <w:pStyle w:val="TableHeading"/>
              <w:spacing w:before="0" w:after="283"/>
              <w:jc w:val="left"/>
              <w:rPr/>
            </w:pPr>
            <w:r>
              <w:rPr/>
              <w:t> </w:t>
            </w:r>
          </w:p>
        </w:tc>
        <w:tc>
          <w:tcPr>
            <w:tcW w:w="210" w:type="dxa"/>
            <w:tcBorders/>
            <w:shd w:fill="auto" w:val="clear"/>
            <w:vAlign w:val="bottom"/>
          </w:tcPr>
          <w:p>
            <w:pPr>
              <w:pStyle w:val="TableHeading"/>
              <w:suppressLineNumbers/>
              <w:spacing w:before="0" w:after="283"/>
              <w:jc w:val="center"/>
              <w:rPr/>
            </w:pPr>
            <w:r>
              <w:rPr/>
              <w:t> </w:t>
            </w:r>
          </w:p>
        </w:tc>
        <w:tc>
          <w:tcPr>
            <w:tcW w:w="7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10" w:type="dxa"/>
            <w:tcBorders/>
            <w:shd w:fill="auto" w:val="clear"/>
            <w:vAlign w:val="bottom"/>
          </w:tcPr>
          <w:p>
            <w:pPr>
              <w:pStyle w:val="TableHeading"/>
              <w:suppressLineNumbers/>
              <w:spacing w:before="0" w:after="283"/>
              <w:jc w:val="center"/>
              <w:rPr/>
            </w:pPr>
            <w:r>
              <w:rPr/>
              <w:t> </w:t>
            </w:r>
          </w:p>
        </w:tc>
        <w:tc>
          <w:tcPr>
            <w:tcW w:w="7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10" w:type="dxa"/>
            <w:tcBorders/>
            <w:shd w:fill="auto" w:val="clear"/>
            <w:vAlign w:val="bottom"/>
          </w:tcPr>
          <w:p>
            <w:pPr>
              <w:pStyle w:val="TableHeading"/>
              <w:suppressLineNumbers/>
              <w:spacing w:before="0" w:after="283"/>
              <w:jc w:val="center"/>
              <w:rPr/>
            </w:pPr>
            <w:r>
              <w:rPr/>
              <w:t> </w:t>
            </w:r>
          </w:p>
        </w:tc>
        <w:tc>
          <w:tcPr>
            <w:tcW w:w="7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10" w:type="dxa"/>
            <w:tcBorders/>
            <w:shd w:fill="auto" w:val="clear"/>
            <w:vAlign w:val="bottom"/>
          </w:tcPr>
          <w:p>
            <w:pPr>
              <w:pStyle w:val="TableHeading"/>
              <w:suppressLineNumbers/>
              <w:spacing w:before="0" w:after="283"/>
              <w:jc w:val="center"/>
              <w:rPr/>
            </w:pPr>
            <w:r>
              <w:rPr/>
              <w:t> </w:t>
            </w:r>
          </w:p>
        </w:tc>
        <w:tc>
          <w:tcPr>
            <w:tcW w:w="7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10" w:type="dxa"/>
            <w:tcBorders/>
            <w:shd w:fill="auto" w:val="clear"/>
            <w:vAlign w:val="bottom"/>
          </w:tcPr>
          <w:p>
            <w:pPr>
              <w:pStyle w:val="TableHeading"/>
              <w:suppressLineNumbers/>
              <w:spacing w:before="0" w:after="283"/>
              <w:jc w:val="center"/>
              <w:rPr/>
            </w:pPr>
            <w:r>
              <w:rPr/>
              <w:t> </w:t>
            </w:r>
          </w:p>
        </w:tc>
      </w:tr>
      <w:tr>
        <w:trPr/>
        <w:tc>
          <w:tcPr>
            <w:tcW w:w="279" w:type="dxa"/>
            <w:tcBorders/>
            <w:shd w:fill="CCEEFF" w:val="clear"/>
            <w:vAlign w:val="bottom"/>
          </w:tcPr>
          <w:p>
            <w:pPr>
              <w:pStyle w:val="TableContents"/>
              <w:spacing w:before="0" w:after="283"/>
              <w:rPr/>
            </w:pPr>
            <w:r>
              <w:rPr/>
              <w:t> </w:t>
            </w:r>
          </w:p>
        </w:tc>
        <w:tc>
          <w:tcPr>
            <w:tcW w:w="591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income, beginning of period</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(169</w:t>
            </w:r>
          </w:p>
        </w:tc>
        <w:tc>
          <w:tcPr>
            <w:tcW w:w="21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2,360</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(260</w:t>
            </w:r>
          </w:p>
        </w:tc>
        <w:tc>
          <w:tcPr>
            <w:tcW w:w="21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(4,404</w:t>
            </w:r>
          </w:p>
        </w:tc>
        <w:tc>
          <w:tcPr>
            <w:tcW w:w="210"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79" w:type="dxa"/>
            <w:tcBorders/>
            <w:shd w:fill="FFFFFF" w:val="clear"/>
            <w:vAlign w:val="bottom"/>
          </w:tcPr>
          <w:p>
            <w:pPr>
              <w:pStyle w:val="TableContents"/>
              <w:spacing w:before="0" w:after="283"/>
              <w:rPr/>
            </w:pPr>
            <w:r>
              <w:rPr/>
              <w:t> </w:t>
            </w:r>
          </w:p>
        </w:tc>
        <w:tc>
          <w:tcPr>
            <w:tcW w:w="591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(loss) income  foreign exchange derivative financial instruments</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(1,846</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(5,192</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(1,765</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2,082</w:t>
            </w:r>
          </w:p>
        </w:tc>
        <w:tc>
          <w:tcPr>
            <w:tcW w:w="210" w:type="dxa"/>
            <w:tcBorders/>
            <w:shd w:fill="FFFFFF" w:val="clear"/>
            <w:vAlign w:val="bottom"/>
          </w:tcPr>
          <w:p>
            <w:pPr>
              <w:pStyle w:val="TableContents"/>
              <w:spacing w:before="0" w:after="283"/>
              <w:rPr/>
            </w:pPr>
            <w:r>
              <w:rPr/>
              <w:t> </w:t>
            </w:r>
          </w:p>
        </w:tc>
      </w:tr>
      <w:tr>
        <w:trPr/>
        <w:tc>
          <w:tcPr>
            <w:tcW w:w="279" w:type="dxa"/>
            <w:tcBorders/>
            <w:shd w:fill="CCEEFF" w:val="clear"/>
            <w:vAlign w:val="bottom"/>
          </w:tcPr>
          <w:p>
            <w:pPr>
              <w:pStyle w:val="TableContents"/>
              <w:spacing w:before="0" w:after="283"/>
              <w:rPr/>
            </w:pPr>
            <w:r>
              <w:rPr/>
              <w:t> </w:t>
            </w:r>
          </w:p>
        </w:tc>
        <w:tc>
          <w:tcPr>
            <w:tcW w:w="591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Other comprehensive (loss) income  heating oil derivative financial instruments</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(86</w:t>
            </w:r>
          </w:p>
        </w:tc>
        <w:tc>
          <w:tcPr>
            <w:tcW w:w="21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46</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(86</w:t>
            </w:r>
          </w:p>
        </w:tc>
        <w:tc>
          <w:tcPr>
            <w:tcW w:w="210"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46</w:t>
            </w:r>
          </w:p>
        </w:tc>
        <w:tc>
          <w:tcPr>
            <w:tcW w:w="210" w:type="dxa"/>
            <w:tcBorders/>
            <w:shd w:fill="CCEEFF" w:val="clear"/>
            <w:vAlign w:val="bottom"/>
          </w:tcPr>
          <w:p>
            <w:pPr>
              <w:pStyle w:val="TableContents"/>
              <w:spacing w:before="0" w:after="283"/>
              <w:rPr/>
            </w:pPr>
            <w:r>
              <w:rPr/>
              <w:t> </w:t>
            </w:r>
          </w:p>
        </w:tc>
      </w:tr>
      <w:tr>
        <w:trPr/>
        <w:tc>
          <w:tcPr>
            <w:tcW w:w="279" w:type="dxa"/>
            <w:tcBorders/>
            <w:shd w:fill="FFFFFF" w:val="clear"/>
            <w:vAlign w:val="bottom"/>
          </w:tcPr>
          <w:p>
            <w:pPr>
              <w:pStyle w:val="TableContents"/>
              <w:spacing w:before="0" w:after="283"/>
              <w:rPr/>
            </w:pPr>
            <w:r>
              <w:rPr/>
              <w:t> </w:t>
            </w:r>
          </w:p>
        </w:tc>
        <w:tc>
          <w:tcPr>
            <w:tcW w:w="591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loss  other derivative financial instruments</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(394</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rPr/>
            </w:pPr>
            <w:r>
              <w:rPr/>
              <w:t> </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(394</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79" w:type="dxa"/>
            <w:tcBorders/>
            <w:shd w:fill="CCEEFF" w:val="clear"/>
            <w:vAlign w:val="bottom"/>
          </w:tcPr>
          <w:p>
            <w:pPr>
              <w:pStyle w:val="TableContents"/>
              <w:spacing w:before="0" w:after="283"/>
              <w:rPr/>
            </w:pPr>
            <w:r>
              <w:rPr/>
              <w:t> </w:t>
            </w:r>
          </w:p>
        </w:tc>
        <w:tc>
          <w:tcPr>
            <w:tcW w:w="591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Reclassification to the interim unaudited consolidated statements of income (loss)</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10</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527</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20</w:t>
            </w:r>
          </w:p>
        </w:tc>
        <w:tc>
          <w:tcPr>
            <w:tcW w:w="21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30" w:type="dxa"/>
            <w:tcBorders/>
            <w:shd w:fill="CCEEFF" w:val="clear"/>
            <w:vAlign w:val="bottom"/>
          </w:tcPr>
          <w:p>
            <w:pPr>
              <w:pStyle w:val="TableContents"/>
              <w:spacing w:before="0" w:after="283"/>
              <w:jc w:val="right"/>
              <w:rPr>
                <w:rFonts w:ascii="times" w:hAnsi="times"/>
                <w:sz w:val="14"/>
              </w:rPr>
            </w:pPr>
            <w:r>
              <w:rPr>
                <w:rFonts w:ascii="times" w:hAnsi="times"/>
                <w:sz w:val="14"/>
              </w:rPr>
              <w:t>17</w:t>
            </w:r>
          </w:p>
        </w:tc>
        <w:tc>
          <w:tcPr>
            <w:tcW w:w="210" w:type="dxa"/>
            <w:tcBorders/>
            <w:shd w:fill="CCEEFF" w:val="clear"/>
            <w:vAlign w:val="bottom"/>
          </w:tcPr>
          <w:p>
            <w:pPr>
              <w:pStyle w:val="TableContents"/>
              <w:spacing w:before="0" w:after="283"/>
              <w:rPr/>
            </w:pPr>
            <w:r>
              <w:rPr/>
              <w:t> </w:t>
            </w:r>
          </w:p>
        </w:tc>
      </w:tr>
      <w:tr>
        <w:trPr/>
        <w:tc>
          <w:tcPr>
            <w:tcW w:w="279" w:type="dxa"/>
            <w:tcBorders/>
            <w:shd w:fill="auto" w:val="clear"/>
          </w:tcPr>
          <w:p>
            <w:pPr>
              <w:pStyle w:val="TableContents"/>
              <w:spacing w:before="0" w:after="283"/>
              <w:rPr/>
            </w:pPr>
            <w:r>
              <w:rPr/>
              <w:t> </w:t>
            </w:r>
          </w:p>
        </w:tc>
        <w:tc>
          <w:tcPr>
            <w:tcW w:w="591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r>
      <w:tr>
        <w:trPr/>
        <w:tc>
          <w:tcPr>
            <w:tcW w:w="279" w:type="dxa"/>
            <w:tcBorders/>
            <w:shd w:fill="FFFFFF" w:val="clear"/>
            <w:vAlign w:val="bottom"/>
          </w:tcPr>
          <w:p>
            <w:pPr>
              <w:pStyle w:val="TableContents"/>
              <w:spacing w:before="0" w:after="283"/>
              <w:rPr/>
            </w:pPr>
            <w:r>
              <w:rPr/>
              <w:t> </w:t>
            </w:r>
          </w:p>
        </w:tc>
        <w:tc>
          <w:tcPr>
            <w:tcW w:w="591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end of period</w:t>
            </w:r>
          </w:p>
        </w:tc>
        <w:tc>
          <w:tcPr>
            <w:tcW w:w="210" w:type="dxa"/>
            <w:tcBorders/>
            <w:shd w:fill="FFFFFF" w:val="clear"/>
            <w:vAlign w:val="bottom"/>
          </w:tcPr>
          <w:p>
            <w:pPr>
              <w:pStyle w:val="TableContents"/>
              <w:spacing w:before="0" w:after="283"/>
              <w:rPr/>
            </w:pPr>
            <w:r>
              <w:rPr/>
              <w:t> </w:t>
            </w:r>
          </w:p>
        </w:tc>
        <w:tc>
          <w:tcPr>
            <w:tcW w:w="1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(2,091</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(2,653</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(2,091</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0" w:type="dxa"/>
            <w:tcBorders/>
            <w:shd w:fill="FFFFFF" w:val="clear"/>
            <w:vAlign w:val="bottom"/>
          </w:tcPr>
          <w:p>
            <w:pPr>
              <w:pStyle w:val="TableContents"/>
              <w:spacing w:before="0" w:after="283"/>
              <w:jc w:val="right"/>
              <w:rPr>
                <w:rFonts w:ascii="times" w:hAnsi="times"/>
                <w:sz w:val="14"/>
              </w:rPr>
            </w:pPr>
            <w:r>
              <w:rPr>
                <w:rFonts w:ascii="times" w:hAnsi="times"/>
                <w:sz w:val="14"/>
              </w:rPr>
              <w:t>(2,653</w:t>
            </w:r>
          </w:p>
        </w:tc>
        <w:tc>
          <w:tcPr>
            <w:tcW w:w="210"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79" w:type="dxa"/>
            <w:tcBorders/>
            <w:shd w:fill="auto" w:val="clear"/>
          </w:tcPr>
          <w:p>
            <w:pPr>
              <w:pStyle w:val="TableContents"/>
              <w:spacing w:before="0" w:after="283"/>
              <w:rPr/>
            </w:pPr>
            <w:r>
              <w:rPr/>
              <w:t> </w:t>
            </w:r>
          </w:p>
        </w:tc>
        <w:tc>
          <w:tcPr>
            <w:tcW w:w="5916"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c>
          <w:tcPr>
            <w:tcW w:w="7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0"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following table summarizes the amounts recognized in the loss (gain) on derivative financial instruments line item of the interim unaudited consolidated statements of income (loss): </w:t>
      </w:r>
    </w:p>
    <w:tbl>
      <w:tblPr>
        <w:tblW w:w="5000" w:type="pct"/>
        <w:jc w:val="center"/>
        <w:tblInd w:w="0" w:type="dxa"/>
        <w:tblCellMar>
          <w:top w:w="0" w:type="dxa"/>
          <w:left w:w="0" w:type="dxa"/>
          <w:bottom w:w="0" w:type="dxa"/>
          <w:right w:w="0" w:type="dxa"/>
        </w:tblCellMar>
      </w:tblPr>
      <w:tblGrid>
        <w:gridCol w:w="340"/>
        <w:gridCol w:w="5071"/>
        <w:gridCol w:w="255"/>
        <w:gridCol w:w="135"/>
        <w:gridCol w:w="766"/>
        <w:gridCol w:w="255"/>
        <w:gridCol w:w="135"/>
        <w:gridCol w:w="766"/>
        <w:gridCol w:w="255"/>
        <w:gridCol w:w="135"/>
        <w:gridCol w:w="680"/>
        <w:gridCol w:w="256"/>
        <w:gridCol w:w="134"/>
        <w:gridCol w:w="766"/>
        <w:gridCol w:w="256"/>
      </w:tblGrid>
      <w:tr>
        <w:trPr/>
        <w:tc>
          <w:tcPr>
            <w:tcW w:w="340" w:type="dxa"/>
            <w:tcBorders/>
            <w:shd w:fill="auto" w:val="clear"/>
            <w:vAlign w:val="center"/>
          </w:tcPr>
          <w:p>
            <w:pPr>
              <w:pStyle w:val="TableContents"/>
              <w:spacing w:before="0" w:after="283"/>
              <w:rPr>
                <w:sz w:val="4"/>
                <w:szCs w:val="4"/>
              </w:rPr>
            </w:pPr>
            <w:r>
              <w:rPr>
                <w:sz w:val="4"/>
                <w:szCs w:val="4"/>
              </w:rPr>
            </w:r>
          </w:p>
        </w:tc>
        <w:tc>
          <w:tcPr>
            <w:tcW w:w="5071"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766"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766"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766"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r>
      <w:tr>
        <w:trPr/>
        <w:tc>
          <w:tcPr>
            <w:tcW w:w="340" w:type="dxa"/>
            <w:tcBorders/>
            <w:shd w:fill="auto" w:val="clear"/>
            <w:vAlign w:val="bottom"/>
          </w:tcPr>
          <w:p>
            <w:pPr>
              <w:pStyle w:val="TableHeading"/>
              <w:suppressLineNumbers/>
              <w:spacing w:before="0" w:after="283"/>
              <w:jc w:val="center"/>
              <w:rPr/>
            </w:pPr>
            <w:r>
              <w:rPr/>
              <w:t> </w:t>
            </w:r>
          </w:p>
        </w:tc>
        <w:tc>
          <w:tcPr>
            <w:tcW w:w="5071" w:type="dxa"/>
            <w:tcBorders/>
            <w:shd w:fill="auto" w:val="clear"/>
            <w:vAlign w:val="bottom"/>
          </w:tcPr>
          <w:p>
            <w:pPr>
              <w:pStyle w:val="TableHeading"/>
              <w:spacing w:before="0" w:after="283"/>
              <w:jc w:val="left"/>
              <w:rPr/>
            </w:pPr>
            <w:r>
              <w:rPr/>
              <w:t> </w:t>
            </w:r>
          </w:p>
        </w:tc>
        <w:tc>
          <w:tcPr>
            <w:tcW w:w="255" w:type="dxa"/>
            <w:tcBorders/>
            <w:shd w:fill="auto" w:val="clear"/>
            <w:vAlign w:val="bottom"/>
          </w:tcPr>
          <w:p>
            <w:pPr>
              <w:pStyle w:val="TableHeading"/>
              <w:suppressLineNumbers/>
              <w:spacing w:before="0" w:after="283"/>
              <w:jc w:val="center"/>
              <w:rPr/>
            </w:pPr>
            <w:r>
              <w:rPr/>
              <w:t> </w:t>
            </w:r>
          </w:p>
        </w:tc>
        <w:tc>
          <w:tcPr>
            <w:tcW w:w="2057"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June 30, </w:t>
            </w:r>
          </w:p>
        </w:tc>
        <w:tc>
          <w:tcPr>
            <w:tcW w:w="255" w:type="dxa"/>
            <w:tcBorders/>
            <w:shd w:fill="auto" w:val="clear"/>
            <w:vAlign w:val="bottom"/>
          </w:tcPr>
          <w:p>
            <w:pPr>
              <w:pStyle w:val="TableHeading"/>
              <w:suppressLineNumbers/>
              <w:spacing w:before="0" w:after="283"/>
              <w:jc w:val="center"/>
              <w:rPr/>
            </w:pPr>
            <w:r>
              <w:rPr/>
              <w:t> </w:t>
            </w:r>
          </w:p>
        </w:tc>
        <w:tc>
          <w:tcPr>
            <w:tcW w:w="1971"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w:t>
            </w:r>
          </w:p>
        </w:tc>
        <w:tc>
          <w:tcPr>
            <w:tcW w:w="256" w:type="dxa"/>
            <w:tcBorders/>
            <w:shd w:fill="auto" w:val="clear"/>
            <w:vAlign w:val="bottom"/>
          </w:tcPr>
          <w:p>
            <w:pPr>
              <w:pStyle w:val="TableHeading"/>
              <w:suppressLineNumbers/>
              <w:spacing w:before="0" w:after="283"/>
              <w:jc w:val="center"/>
              <w:rPr/>
            </w:pPr>
            <w:r>
              <w:rPr/>
              <w:t> </w:t>
            </w:r>
          </w:p>
        </w:tc>
      </w:tr>
      <w:tr>
        <w:trPr/>
        <w:tc>
          <w:tcPr>
            <w:tcW w:w="340" w:type="dxa"/>
            <w:tcBorders/>
            <w:shd w:fill="auto" w:val="clear"/>
            <w:vAlign w:val="bottom"/>
          </w:tcPr>
          <w:p>
            <w:pPr>
              <w:pStyle w:val="TableHeading"/>
              <w:suppressLineNumbers/>
              <w:spacing w:before="0" w:after="283"/>
              <w:jc w:val="center"/>
              <w:rPr/>
            </w:pPr>
            <w:r>
              <w:rPr/>
              <w:t> </w:t>
            </w:r>
          </w:p>
        </w:tc>
        <w:tc>
          <w:tcPr>
            <w:tcW w:w="5071" w:type="dxa"/>
            <w:tcBorders/>
            <w:shd w:fill="auto" w:val="clear"/>
            <w:vAlign w:val="bottom"/>
          </w:tcPr>
          <w:p>
            <w:pPr>
              <w:pStyle w:val="TableHeading"/>
              <w:spacing w:before="0" w:after="283"/>
              <w:jc w:val="left"/>
              <w:rPr/>
            </w:pPr>
            <w:r>
              <w:rPr/>
              <w:t> </w:t>
            </w:r>
          </w:p>
        </w:tc>
        <w:tc>
          <w:tcPr>
            <w:tcW w:w="255" w:type="dxa"/>
            <w:tcBorders/>
            <w:shd w:fill="auto" w:val="clear"/>
            <w:vAlign w:val="bottom"/>
          </w:tcPr>
          <w:p>
            <w:pPr>
              <w:pStyle w:val="TableHeading"/>
              <w:suppressLineNumbers/>
              <w:spacing w:before="0" w:after="283"/>
              <w:jc w:val="center"/>
              <w:rPr/>
            </w:pPr>
            <w:r>
              <w:rPr/>
              <w:t> </w:t>
            </w:r>
          </w:p>
        </w:tc>
        <w:tc>
          <w:tcPr>
            <w:tcW w:w="90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55" w:type="dxa"/>
            <w:tcBorders/>
            <w:shd w:fill="auto" w:val="clear"/>
            <w:vAlign w:val="bottom"/>
          </w:tcPr>
          <w:p>
            <w:pPr>
              <w:pStyle w:val="TableHeading"/>
              <w:suppressLineNumbers/>
              <w:spacing w:before="0" w:after="283"/>
              <w:jc w:val="center"/>
              <w:rPr/>
            </w:pPr>
            <w:r>
              <w:rPr/>
              <w:t> </w:t>
            </w:r>
          </w:p>
        </w:tc>
        <w:tc>
          <w:tcPr>
            <w:tcW w:w="90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55" w:type="dxa"/>
            <w:tcBorders/>
            <w:shd w:fill="auto" w:val="clear"/>
            <w:vAlign w:val="bottom"/>
          </w:tcPr>
          <w:p>
            <w:pPr>
              <w:pStyle w:val="TableHeading"/>
              <w:suppressLineNumbers/>
              <w:spacing w:before="0" w:after="283"/>
              <w:jc w:val="center"/>
              <w:rPr/>
            </w:pPr>
            <w:r>
              <w:rPr/>
              <w:t> </w:t>
            </w:r>
          </w:p>
        </w:tc>
        <w:tc>
          <w:tcPr>
            <w:tcW w:w="8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56" w:type="dxa"/>
            <w:tcBorders/>
            <w:shd w:fill="auto" w:val="clear"/>
            <w:vAlign w:val="bottom"/>
          </w:tcPr>
          <w:p>
            <w:pPr>
              <w:pStyle w:val="TableHeading"/>
              <w:suppressLineNumbers/>
              <w:spacing w:before="0" w:after="283"/>
              <w:jc w:val="center"/>
              <w:rPr/>
            </w:pPr>
            <w:r>
              <w:rPr/>
              <w:t> </w:t>
            </w:r>
          </w:p>
        </w:tc>
        <w:tc>
          <w:tcPr>
            <w:tcW w:w="90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56" w:type="dxa"/>
            <w:tcBorders/>
            <w:shd w:fill="auto" w:val="clear"/>
            <w:vAlign w:val="bottom"/>
          </w:tcPr>
          <w:p>
            <w:pPr>
              <w:pStyle w:val="TableHeading"/>
              <w:suppressLineNumbers/>
              <w:spacing w:before="0" w:after="283"/>
              <w:jc w:val="center"/>
              <w:rPr/>
            </w:pPr>
            <w:r>
              <w:rPr/>
              <w:t> </w:t>
            </w:r>
          </w:p>
        </w:tc>
      </w:tr>
      <w:tr>
        <w:trPr/>
        <w:tc>
          <w:tcPr>
            <w:tcW w:w="340" w:type="dxa"/>
            <w:tcBorders/>
            <w:shd w:fill="CCEEFF" w:val="clear"/>
          </w:tcPr>
          <w:p>
            <w:pPr>
              <w:pStyle w:val="TableContents"/>
              <w:spacing w:before="0" w:after="283"/>
              <w:rPr/>
            </w:pPr>
            <w:r>
              <w:rPr/>
              <w:t> </w:t>
            </w:r>
          </w:p>
        </w:tc>
        <w:tc>
          <w:tcPr>
            <w:tcW w:w="507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Premiums realized on written foreign exchange call options</w:t>
            </w:r>
          </w:p>
        </w:tc>
        <w:tc>
          <w:tcPr>
            <w:tcW w:w="25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789</w:t>
            </w:r>
          </w:p>
        </w:tc>
        <w:tc>
          <w:tcPr>
            <w:tcW w:w="25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608</w:t>
            </w:r>
          </w:p>
        </w:tc>
        <w:tc>
          <w:tcPr>
            <w:tcW w:w="25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1,473</w:t>
            </w:r>
          </w:p>
        </w:tc>
        <w:tc>
          <w:tcPr>
            <w:tcW w:w="25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1,027</w:t>
            </w:r>
          </w:p>
        </w:tc>
        <w:tc>
          <w:tcPr>
            <w:tcW w:w="256" w:type="dxa"/>
            <w:tcBorders/>
            <w:shd w:fill="CCEEFF" w:val="clear"/>
            <w:vAlign w:val="bottom"/>
          </w:tcPr>
          <w:p>
            <w:pPr>
              <w:pStyle w:val="TableContents"/>
              <w:spacing w:before="0" w:after="283"/>
              <w:rPr/>
            </w:pPr>
            <w:r>
              <w:rPr/>
              <w:t> </w:t>
            </w:r>
          </w:p>
        </w:tc>
      </w:tr>
      <w:tr>
        <w:trPr/>
        <w:tc>
          <w:tcPr>
            <w:tcW w:w="340" w:type="dxa"/>
            <w:tcBorders/>
            <w:shd w:fill="FFFFFF" w:val="clear"/>
          </w:tcPr>
          <w:p>
            <w:pPr>
              <w:pStyle w:val="TableContents"/>
              <w:spacing w:before="0" w:after="283"/>
              <w:rPr/>
            </w:pPr>
            <w:r>
              <w:rPr/>
              <w:t> </w:t>
            </w:r>
          </w:p>
        </w:tc>
        <w:tc>
          <w:tcPr>
            <w:tcW w:w="507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Mark-to-market loss on derivative equity contracts</w:t>
            </w:r>
          </w:p>
        </w:tc>
        <w:tc>
          <w:tcPr>
            <w:tcW w:w="25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766" w:type="dxa"/>
            <w:tcBorders/>
            <w:shd w:fill="FFFFFF" w:val="clear"/>
            <w:vAlign w:val="bottom"/>
          </w:tcPr>
          <w:p>
            <w:pPr>
              <w:pStyle w:val="TableContents"/>
              <w:spacing w:before="0" w:after="283"/>
              <w:jc w:val="right"/>
              <w:rPr>
                <w:rFonts w:ascii="times" w:hAnsi="times"/>
                <w:sz w:val="14"/>
              </w:rPr>
            </w:pPr>
            <w:r>
              <w:rPr>
                <w:rFonts w:ascii="times" w:hAnsi="times"/>
                <w:sz w:val="14"/>
              </w:rPr>
              <w:t>(2,725</w:t>
            </w:r>
          </w:p>
        </w:tc>
        <w:tc>
          <w:tcPr>
            <w:tcW w:w="25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35" w:type="dxa"/>
            <w:tcBorders/>
            <w:shd w:fill="FFFFFF" w:val="clear"/>
            <w:vAlign w:val="bottom"/>
          </w:tcPr>
          <w:p>
            <w:pPr>
              <w:pStyle w:val="TableContents"/>
              <w:spacing w:before="0" w:after="283"/>
              <w:rPr/>
            </w:pPr>
            <w:r>
              <w:rPr/>
              <w:t> </w:t>
            </w:r>
          </w:p>
        </w:tc>
        <w:tc>
          <w:tcPr>
            <w:tcW w:w="7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5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(427</w:t>
            </w:r>
          </w:p>
        </w:tc>
        <w:tc>
          <w:tcPr>
            <w:tcW w:w="25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34" w:type="dxa"/>
            <w:tcBorders/>
            <w:shd w:fill="FFFFFF" w:val="clear"/>
            <w:vAlign w:val="bottom"/>
          </w:tcPr>
          <w:p>
            <w:pPr>
              <w:pStyle w:val="TableContents"/>
              <w:spacing w:before="0" w:after="283"/>
              <w:rPr/>
            </w:pPr>
            <w:r>
              <w:rPr/>
              <w:t> </w:t>
            </w:r>
          </w:p>
        </w:tc>
        <w:tc>
          <w:tcPr>
            <w:tcW w:w="7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56" w:type="dxa"/>
            <w:tcBorders/>
            <w:shd w:fill="FFFFFF" w:val="clear"/>
            <w:vAlign w:val="bottom"/>
          </w:tcPr>
          <w:p>
            <w:pPr>
              <w:pStyle w:val="TableContents"/>
              <w:spacing w:before="0" w:after="283"/>
              <w:rPr/>
            </w:pPr>
            <w:r>
              <w:rPr/>
              <w:t> </w:t>
            </w:r>
          </w:p>
        </w:tc>
      </w:tr>
      <w:tr>
        <w:trPr/>
        <w:tc>
          <w:tcPr>
            <w:tcW w:w="340" w:type="dxa"/>
            <w:tcBorders/>
            <w:shd w:fill="CCEEFF" w:val="clear"/>
          </w:tcPr>
          <w:p>
            <w:pPr>
              <w:pStyle w:val="TableContents"/>
              <w:spacing w:before="0" w:after="283"/>
              <w:rPr/>
            </w:pPr>
            <w:r>
              <w:rPr/>
              <w:t> </w:t>
            </w:r>
          </w:p>
        </w:tc>
        <w:tc>
          <w:tcPr>
            <w:tcW w:w="507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Realized gain on zinc derivative financial instruments</w:t>
            </w:r>
          </w:p>
        </w:tc>
        <w:tc>
          <w:tcPr>
            <w:tcW w:w="25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5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5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5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476</w:t>
            </w:r>
          </w:p>
        </w:tc>
        <w:tc>
          <w:tcPr>
            <w:tcW w:w="256" w:type="dxa"/>
            <w:tcBorders/>
            <w:shd w:fill="CCEEFF" w:val="clear"/>
            <w:vAlign w:val="bottom"/>
          </w:tcPr>
          <w:p>
            <w:pPr>
              <w:pStyle w:val="TableContents"/>
              <w:spacing w:before="0" w:after="283"/>
              <w:rPr/>
            </w:pPr>
            <w:r>
              <w:rPr/>
              <w:t> </w:t>
            </w:r>
          </w:p>
        </w:tc>
      </w:tr>
      <w:tr>
        <w:trPr/>
        <w:tc>
          <w:tcPr>
            <w:tcW w:w="340" w:type="dxa"/>
            <w:tcBorders/>
            <w:shd w:fill="FFFFFF" w:val="clear"/>
          </w:tcPr>
          <w:p>
            <w:pPr>
              <w:pStyle w:val="TableContents"/>
              <w:spacing w:before="0" w:after="283"/>
              <w:rPr/>
            </w:pPr>
            <w:r>
              <w:rPr/>
              <w:t> </w:t>
            </w:r>
          </w:p>
        </w:tc>
        <w:tc>
          <w:tcPr>
            <w:tcW w:w="507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Loss on heating oil derivative financial instruments and other</w:t>
            </w:r>
          </w:p>
        </w:tc>
        <w:tc>
          <w:tcPr>
            <w:tcW w:w="25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7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5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766" w:type="dxa"/>
            <w:tcBorders/>
            <w:shd w:fill="FFFFFF" w:val="clear"/>
            <w:vAlign w:val="bottom"/>
          </w:tcPr>
          <w:p>
            <w:pPr>
              <w:pStyle w:val="TableContents"/>
              <w:spacing w:before="0" w:after="283"/>
              <w:jc w:val="right"/>
              <w:rPr>
                <w:rFonts w:ascii="times" w:hAnsi="times"/>
                <w:sz w:val="14"/>
              </w:rPr>
            </w:pPr>
            <w:r>
              <w:rPr>
                <w:rFonts w:ascii="times" w:hAnsi="times"/>
                <w:sz w:val="14"/>
              </w:rPr>
              <w:t>(4,929</w:t>
            </w:r>
          </w:p>
        </w:tc>
        <w:tc>
          <w:tcPr>
            <w:tcW w:w="25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3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56" w:type="dxa"/>
            <w:tcBorders/>
            <w:shd w:fill="FFFFFF" w:val="clear"/>
            <w:vAlign w:val="bottom"/>
          </w:tcPr>
          <w:p>
            <w:pPr>
              <w:pStyle w:val="TableContents"/>
              <w:spacing w:before="0" w:after="283"/>
              <w:rPr/>
            </w:pPr>
            <w:r>
              <w:rPr/>
              <w:t> </w:t>
            </w:r>
          </w:p>
        </w:tc>
        <w:tc>
          <w:tcPr>
            <w:tcW w:w="134" w:type="dxa"/>
            <w:tcBorders/>
            <w:shd w:fill="FFFFFF" w:val="clear"/>
            <w:vAlign w:val="bottom"/>
          </w:tcPr>
          <w:p>
            <w:pPr>
              <w:pStyle w:val="TableContents"/>
              <w:spacing w:before="0" w:after="283"/>
              <w:rPr/>
            </w:pPr>
            <w:r>
              <w:rPr/>
              <w:t> </w:t>
            </w:r>
          </w:p>
        </w:tc>
        <w:tc>
          <w:tcPr>
            <w:tcW w:w="766" w:type="dxa"/>
            <w:tcBorders/>
            <w:shd w:fill="FFFFFF" w:val="clear"/>
            <w:vAlign w:val="bottom"/>
          </w:tcPr>
          <w:p>
            <w:pPr>
              <w:pStyle w:val="TableContents"/>
              <w:spacing w:before="0" w:after="283"/>
              <w:jc w:val="right"/>
              <w:rPr>
                <w:rFonts w:ascii="times" w:hAnsi="times"/>
                <w:sz w:val="14"/>
              </w:rPr>
            </w:pPr>
            <w:r>
              <w:rPr>
                <w:rFonts w:ascii="times" w:hAnsi="times"/>
                <w:sz w:val="14"/>
              </w:rPr>
              <w:t>(4,929</w:t>
            </w:r>
          </w:p>
        </w:tc>
        <w:tc>
          <w:tcPr>
            <w:tcW w:w="256"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340" w:type="dxa"/>
            <w:tcBorders/>
            <w:shd w:fill="auto" w:val="clear"/>
          </w:tcPr>
          <w:p>
            <w:pPr>
              <w:pStyle w:val="TableContents"/>
              <w:spacing w:before="0" w:after="283"/>
              <w:rPr/>
            </w:pPr>
            <w:r>
              <w:rPr/>
              <w:t> </w:t>
            </w:r>
          </w:p>
        </w:tc>
        <w:tc>
          <w:tcPr>
            <w:tcW w:w="507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90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5" w:type="dxa"/>
            <w:tcBorders/>
            <w:shd w:fill="auto" w:val="clear"/>
            <w:vAlign w:val="bottom"/>
          </w:tcPr>
          <w:p>
            <w:pPr>
              <w:pStyle w:val="TableContents"/>
              <w:spacing w:before="0" w:after="283"/>
              <w:rPr/>
            </w:pPr>
            <w:r>
              <w:rPr/>
              <w:t> </w:t>
            </w:r>
          </w:p>
        </w:tc>
        <w:tc>
          <w:tcPr>
            <w:tcW w:w="90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5" w:type="dxa"/>
            <w:tcBorders/>
            <w:shd w:fill="auto" w:val="clear"/>
            <w:vAlign w:val="bottom"/>
          </w:tcPr>
          <w:p>
            <w:pPr>
              <w:pStyle w:val="TableContents"/>
              <w:spacing w:before="0" w:after="283"/>
              <w:rPr/>
            </w:pPr>
            <w:r>
              <w:rPr/>
              <w:t> </w:t>
            </w:r>
          </w:p>
        </w:tc>
        <w:tc>
          <w:tcPr>
            <w:tcW w:w="8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c>
          <w:tcPr>
            <w:tcW w:w="90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r>
      <w:tr>
        <w:trPr/>
        <w:tc>
          <w:tcPr>
            <w:tcW w:w="340" w:type="dxa"/>
            <w:tcBorders/>
            <w:shd w:fill="CCEEFF" w:val="clear"/>
          </w:tcPr>
          <w:p>
            <w:pPr>
              <w:pStyle w:val="TableContents"/>
              <w:spacing w:before="0" w:after="283"/>
              <w:rPr/>
            </w:pPr>
            <w:r>
              <w:rPr/>
              <w:t> </w:t>
            </w:r>
          </w:p>
        </w:tc>
        <w:tc>
          <w:tcPr>
            <w:tcW w:w="507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(Loss) gain on derivative financial instruments</w:t>
            </w:r>
          </w:p>
        </w:tc>
        <w:tc>
          <w:tcPr>
            <w:tcW w:w="25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(1,936</w:t>
            </w:r>
          </w:p>
        </w:tc>
        <w:tc>
          <w:tcPr>
            <w:tcW w:w="25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(4,321</w:t>
            </w:r>
          </w:p>
        </w:tc>
        <w:tc>
          <w:tcPr>
            <w:tcW w:w="25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1,046</w:t>
            </w:r>
          </w:p>
        </w:tc>
        <w:tc>
          <w:tcPr>
            <w:tcW w:w="25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6" w:type="dxa"/>
            <w:tcBorders/>
            <w:shd w:fill="CCEEFF" w:val="clear"/>
            <w:vAlign w:val="bottom"/>
          </w:tcPr>
          <w:p>
            <w:pPr>
              <w:pStyle w:val="TableContents"/>
              <w:spacing w:before="0" w:after="283"/>
              <w:jc w:val="right"/>
              <w:rPr>
                <w:rFonts w:ascii="times" w:hAnsi="times"/>
                <w:sz w:val="14"/>
              </w:rPr>
            </w:pPr>
            <w:r>
              <w:rPr>
                <w:rFonts w:ascii="times" w:hAnsi="times"/>
                <w:sz w:val="14"/>
              </w:rPr>
              <w:t>(3,426</w:t>
            </w:r>
          </w:p>
        </w:tc>
        <w:tc>
          <w:tcPr>
            <w:tcW w:w="256"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340" w:type="dxa"/>
            <w:tcBorders/>
            <w:shd w:fill="auto" w:val="clear"/>
          </w:tcPr>
          <w:p>
            <w:pPr>
              <w:pStyle w:val="TableContents"/>
              <w:spacing w:before="0" w:after="283"/>
              <w:rPr/>
            </w:pPr>
            <w:r>
              <w:rPr/>
              <w:t> </w:t>
            </w:r>
          </w:p>
        </w:tc>
        <w:tc>
          <w:tcPr>
            <w:tcW w:w="5071"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90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5" w:type="dxa"/>
            <w:tcBorders/>
            <w:shd w:fill="auto" w:val="clear"/>
            <w:vAlign w:val="bottom"/>
          </w:tcPr>
          <w:p>
            <w:pPr>
              <w:pStyle w:val="TableContents"/>
              <w:spacing w:before="0" w:after="283"/>
              <w:rPr/>
            </w:pPr>
            <w:r>
              <w:rPr/>
              <w:t> </w:t>
            </w:r>
          </w:p>
        </w:tc>
        <w:tc>
          <w:tcPr>
            <w:tcW w:w="90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5" w:type="dxa"/>
            <w:tcBorders/>
            <w:shd w:fill="auto" w:val="clear"/>
            <w:vAlign w:val="bottom"/>
          </w:tcPr>
          <w:p>
            <w:pPr>
              <w:pStyle w:val="TableContents"/>
              <w:spacing w:before="0" w:after="283"/>
              <w:rPr/>
            </w:pPr>
            <w:r>
              <w:rPr/>
              <w:t> </w:t>
            </w:r>
          </w:p>
        </w:tc>
        <w:tc>
          <w:tcPr>
            <w:tcW w:w="8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c>
          <w:tcPr>
            <w:tcW w:w="90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11.   COMMITMENTS AND CONTINGENCIES </w:t>
      </w:r>
    </w:p>
    <w:p>
      <w:pPr>
        <w:pStyle w:val="TextBody"/>
        <w:numPr>
          <w:ilvl w:val="0"/>
          <w:numId w:val="0"/>
        </w:numPr>
        <w:ind w:left="707" w:hanging="0"/>
        <w:rPr>
          <w:rFonts w:ascii="times" w:hAnsi="times"/>
          <w:sz w:val="14"/>
        </w:rPr>
      </w:pPr>
      <w:r>
        <w:rPr>
          <w:rFonts w:ascii="times" w:hAnsi="times"/>
          <w:sz w:val="14"/>
        </w:rPr>
        <w:t xml:space="preserve">As part of its ongoing business and operations, the Company has been required to provide assurance in the form of letters of credit for environmental and site restoration costs, custom credits, government grants and other general corporate purposes. As at June 30, 2013, the total amount of these guarantees was $151.5 million. </w:t>
      </w:r>
    </w:p>
    <w:p>
      <w:pPr>
        <w:pStyle w:val="TextBody"/>
        <w:rPr>
          <w:rFonts w:ascii="times" w:hAnsi="times"/>
          <w:b/>
          <w:sz w:val="14"/>
        </w:rPr>
      </w:pPr>
      <w:r>
        <w:rPr>
          <w:rFonts w:ascii="times" w:hAnsi="times"/>
          <w:b/>
          <w:sz w:val="14"/>
        </w:rPr>
        <w:t xml:space="preserve">12.   SEGMENTED INFORMATION </w:t>
      </w:r>
    </w:p>
    <w:p>
      <w:pPr>
        <w:pStyle w:val="TextBody"/>
        <w:numPr>
          <w:ilvl w:val="0"/>
          <w:numId w:val="0"/>
        </w:numPr>
        <w:ind w:left="707" w:hanging="0"/>
        <w:rPr>
          <w:rFonts w:ascii="times" w:hAnsi="times"/>
          <w:sz w:val="14"/>
        </w:rPr>
      </w:pPr>
      <w:r>
        <w:rPr>
          <w:rFonts w:ascii="times" w:hAnsi="times"/>
          <w:sz w:val="14"/>
        </w:rPr>
        <w:t xml:space="preserve">Agnico Eagle operates in a single industry, the exploration for and production of gold. The Company's primary operations are in Canada, Mexico and Finland. The Company identifies its reportable segments as those operations whose operating results are reviewed by the Chief Executive Officer and that represent more than 10% of the combined revenue, profit or loss or total assets of all operating </w:t>
      </w:r>
    </w:p>
    <w:p>
      <w:pPr>
        <w:pStyle w:val="TextBody"/>
        <w:jc w:val="center"/>
        <w:rPr>
          <w:rFonts w:ascii="times" w:hAnsi="times"/>
          <w:sz w:val="20"/>
        </w:rPr>
      </w:pPr>
      <w:r>
        <w:rPr>
          <w:rFonts w:ascii="times" w:hAnsi="times"/>
          <w:sz w:val="20"/>
        </w:rPr>
        <w:t>31</w:t>
      </w:r>
    </w:p>
    <w:p>
      <w:pPr>
        <w:pStyle w:val="HorizontalLine"/>
        <w:pBdr>
          <w:bottom w:val="single" w:sz="20" w:space="0" w:color="808080"/>
        </w:pBdr>
        <w:rPr/>
      </w:pPr>
      <w:r>
        <w:rPr/>
      </w:r>
      <w:r>
        <w:br w:type="page"/>
      </w:r>
    </w:p>
    <w:p>
      <w:pPr>
        <w:pStyle w:val="TextBody"/>
        <w:jc w:val="center"/>
        <w:rPr>
          <w:rFonts w:ascii="times" w:hAnsi="times"/>
          <w:b/>
          <w:sz w:val="20"/>
        </w:rPr>
      </w:pPr>
      <w:bookmarkStart w:id="58" w:name="page_fi72201_1_32"/>
      <w:bookmarkEnd w:id="58"/>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12.   SEGMENTED INFORMATION (Continued) </w:t>
      </w:r>
    </w:p>
    <w:p>
      <w:pPr>
        <w:pStyle w:val="TextBody"/>
        <w:numPr>
          <w:ilvl w:val="0"/>
          <w:numId w:val="0"/>
        </w:numPr>
        <w:ind w:left="707" w:hanging="0"/>
        <w:rPr>
          <w:rFonts w:ascii="times" w:hAnsi="times"/>
          <w:sz w:val="14"/>
        </w:rPr>
      </w:pPr>
      <w:r>
        <w:rPr>
          <w:rFonts w:ascii="times" w:hAnsi="times"/>
          <w:sz w:val="14"/>
        </w:rPr>
        <w:t xml:space="preserve">segments. The following are the reportable segments of the Company and reflect how the Company manages its business and how it classifies its operations for planning and measuring performance: </w:t>
      </w:r>
    </w:p>
    <w:tbl>
      <w:tblPr>
        <w:tblW w:w="5000" w:type="pct"/>
        <w:jc w:val="center"/>
        <w:tblInd w:w="0" w:type="dxa"/>
        <w:tblCellMar>
          <w:top w:w="0" w:type="dxa"/>
          <w:left w:w="0" w:type="dxa"/>
          <w:bottom w:w="0" w:type="dxa"/>
          <w:right w:w="0" w:type="dxa"/>
        </w:tblCellMar>
      </w:tblPr>
      <w:tblGrid>
        <w:gridCol w:w="271"/>
        <w:gridCol w:w="1375"/>
        <w:gridCol w:w="203"/>
        <w:gridCol w:w="8356"/>
      </w:tblGrid>
      <w:tr>
        <w:trPr/>
        <w:tc>
          <w:tcPr>
            <w:tcW w:w="271" w:type="dxa"/>
            <w:tcBorders/>
            <w:shd w:fill="auto" w:val="clear"/>
            <w:vAlign w:val="center"/>
          </w:tcPr>
          <w:p>
            <w:pPr>
              <w:pStyle w:val="TableContents"/>
              <w:spacing w:before="0" w:after="283"/>
              <w:rPr>
                <w:sz w:val="4"/>
                <w:szCs w:val="4"/>
              </w:rPr>
            </w:pPr>
            <w:r>
              <w:rPr>
                <w:sz w:val="4"/>
                <w:szCs w:val="4"/>
              </w:rPr>
            </w:r>
          </w:p>
        </w:tc>
        <w:tc>
          <w:tcPr>
            <w:tcW w:w="137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8356" w:type="dxa"/>
            <w:tcBorders/>
            <w:shd w:fill="auto" w:val="clear"/>
            <w:vAlign w:val="center"/>
          </w:tcPr>
          <w:p>
            <w:pPr>
              <w:pStyle w:val="TableContents"/>
              <w:spacing w:before="0" w:after="283"/>
              <w:rPr>
                <w:sz w:val="4"/>
                <w:szCs w:val="4"/>
              </w:rPr>
            </w:pPr>
            <w:r>
              <w:rPr>
                <w:sz w:val="4"/>
                <w:szCs w:val="4"/>
              </w:rPr>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Canada:</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LaRonde mine, Lapa mine, Goldex mine, Meadowbank mine, Meliadine project and the Regional office</w:t>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Latin America:</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Pinos Altos mine, Creston Mascota deposit at Pinos Altos, the La India project and the Urastar properties</w:t>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Europe:</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Kittila mine</w:t>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Exploration:</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United States Exploration office, Europe Exploration office, Canada Exploration offices and the Latin America Exploration office</w:t>
            </w:r>
          </w:p>
        </w:tc>
      </w:tr>
    </w:tbl>
    <w:p>
      <w:pPr>
        <w:pStyle w:val="TextBody"/>
        <w:numPr>
          <w:ilvl w:val="0"/>
          <w:numId w:val="0"/>
        </w:numPr>
        <w:ind w:left="707" w:hanging="0"/>
        <w:rPr>
          <w:rFonts w:ascii="times" w:hAnsi="times"/>
          <w:sz w:val="14"/>
        </w:rPr>
      </w:pPr>
      <w:r>
        <w:rPr>
          <w:rFonts w:ascii="times" w:hAnsi="times"/>
          <w:sz w:val="14"/>
        </w:rPr>
        <w:t xml:space="preserve">The accounting policies of the reportable segments are the same as those described in the accounting policies note. There are no transactions between the reportable segments affecting revenue. Production costs for the reportable segments are net of intercompany transactions. Of the $235.4 million of goodwill reflected on the interim unaudited consolidated balance sheets at June 30, 2013, $200.1 million relates to the Meliadine project which is a component of the Canada segment, $29.2 million relates to the La India project which is a component of the Latin America segment and $6.1 million relates to the May 16, 2013 acquisition of Urastar Gold Corporation which is a component of the Latin America segment. </w:t>
      </w:r>
    </w:p>
    <w:p>
      <w:pPr>
        <w:pStyle w:val="TextBody"/>
        <w:numPr>
          <w:ilvl w:val="0"/>
          <w:numId w:val="0"/>
        </w:numPr>
        <w:ind w:left="707" w:hanging="0"/>
        <w:rPr>
          <w:rFonts w:ascii="times" w:hAnsi="times"/>
          <w:sz w:val="14"/>
        </w:rPr>
      </w:pPr>
      <w:r>
        <w:rPr>
          <w:rFonts w:ascii="times" w:hAnsi="times"/>
          <w:sz w:val="14"/>
        </w:rPr>
        <w:t xml:space="preserve">Corporate head office assets are included in the Canada segment and specific corporate income and expense items are noted separately below. </w:t>
      </w:r>
    </w:p>
    <w:tbl>
      <w:tblPr>
        <w:tblW w:w="5000" w:type="pct"/>
        <w:jc w:val="center"/>
        <w:tblInd w:w="0" w:type="dxa"/>
        <w:tblCellMar>
          <w:top w:w="0" w:type="dxa"/>
          <w:left w:w="0" w:type="dxa"/>
          <w:bottom w:w="0" w:type="dxa"/>
          <w:right w:w="0" w:type="dxa"/>
        </w:tblCellMar>
      </w:tblPr>
      <w:tblGrid>
        <w:gridCol w:w="258"/>
        <w:gridCol w:w="2301"/>
        <w:gridCol w:w="194"/>
        <w:gridCol w:w="102"/>
        <w:gridCol w:w="857"/>
        <w:gridCol w:w="194"/>
        <w:gridCol w:w="102"/>
        <w:gridCol w:w="857"/>
        <w:gridCol w:w="194"/>
        <w:gridCol w:w="102"/>
        <w:gridCol w:w="1213"/>
        <w:gridCol w:w="194"/>
        <w:gridCol w:w="102"/>
        <w:gridCol w:w="1180"/>
        <w:gridCol w:w="194"/>
        <w:gridCol w:w="102"/>
        <w:gridCol w:w="906"/>
        <w:gridCol w:w="194"/>
        <w:gridCol w:w="102"/>
        <w:gridCol w:w="663"/>
        <w:gridCol w:w="194"/>
      </w:tblGrid>
      <w:tr>
        <w:trPr/>
        <w:tc>
          <w:tcPr>
            <w:tcW w:w="258" w:type="dxa"/>
            <w:tcBorders/>
            <w:shd w:fill="auto" w:val="clear"/>
            <w:vAlign w:val="center"/>
          </w:tcPr>
          <w:p>
            <w:pPr>
              <w:pStyle w:val="TableContents"/>
              <w:spacing w:before="0" w:after="283"/>
              <w:rPr>
                <w:sz w:val="4"/>
                <w:szCs w:val="4"/>
              </w:rPr>
            </w:pPr>
            <w:r>
              <w:rPr>
                <w:sz w:val="4"/>
                <w:szCs w:val="4"/>
              </w:rPr>
            </w:r>
          </w:p>
        </w:tc>
        <w:tc>
          <w:tcPr>
            <w:tcW w:w="2301"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857"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857"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213"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180"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663"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r>
      <w:tr>
        <w:trPr/>
        <w:tc>
          <w:tcPr>
            <w:tcW w:w="258" w:type="dxa"/>
            <w:tcBorders/>
            <w:shd w:fill="auto" w:val="clear"/>
            <w:vAlign w:val="bottom"/>
          </w:tcPr>
          <w:p>
            <w:pPr>
              <w:pStyle w:val="TableHeading"/>
              <w:suppressLineNumbers/>
              <w:spacing w:before="0" w:after="283"/>
              <w:jc w:val="center"/>
              <w:rPr/>
            </w:pPr>
            <w:r>
              <w:rPr/>
              <w:t> </w:t>
            </w:r>
          </w:p>
        </w:tc>
        <w:tc>
          <w:tcPr>
            <w:tcW w:w="2301"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Three Months Ended June 30, 2013 </w:t>
            </w:r>
          </w:p>
        </w:tc>
        <w:tc>
          <w:tcPr>
            <w:tcW w:w="194" w:type="dxa"/>
            <w:tcBorders/>
            <w:shd w:fill="auto" w:val="clear"/>
            <w:vAlign w:val="bottom"/>
          </w:tcPr>
          <w:p>
            <w:pPr>
              <w:pStyle w:val="TableHeading"/>
              <w:suppressLineNumbers/>
              <w:spacing w:before="0" w:after="283"/>
              <w:jc w:val="center"/>
              <w:rPr/>
            </w:pPr>
            <w:r>
              <w:rPr/>
              <w:t> </w:t>
            </w:r>
          </w:p>
        </w:tc>
        <w:tc>
          <w:tcPr>
            <w:tcW w:w="95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94" w:type="dxa"/>
            <w:tcBorders/>
            <w:shd w:fill="auto" w:val="clear"/>
            <w:vAlign w:val="bottom"/>
          </w:tcPr>
          <w:p>
            <w:pPr>
              <w:pStyle w:val="TableHeading"/>
              <w:suppressLineNumbers/>
              <w:spacing w:before="0" w:after="283"/>
              <w:jc w:val="center"/>
              <w:rPr/>
            </w:pPr>
            <w:r>
              <w:rPr/>
              <w:t> </w:t>
            </w:r>
          </w:p>
        </w:tc>
        <w:tc>
          <w:tcPr>
            <w:tcW w:w="95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94" w:type="dxa"/>
            <w:tcBorders/>
            <w:shd w:fill="auto" w:val="clear"/>
            <w:vAlign w:val="bottom"/>
          </w:tcPr>
          <w:p>
            <w:pPr>
              <w:pStyle w:val="TableHeading"/>
              <w:suppressLineNumbers/>
              <w:spacing w:before="0" w:after="283"/>
              <w:jc w:val="center"/>
              <w:rPr/>
            </w:pPr>
            <w:r>
              <w:rPr/>
              <w:t> </w:t>
            </w:r>
          </w:p>
        </w:tc>
        <w:tc>
          <w:tcPr>
            <w:tcW w:w="13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194" w:type="dxa"/>
            <w:tcBorders/>
            <w:shd w:fill="auto" w:val="clear"/>
            <w:vAlign w:val="bottom"/>
          </w:tcPr>
          <w:p>
            <w:pPr>
              <w:pStyle w:val="TableHeading"/>
              <w:suppressLineNumbers/>
              <w:spacing w:before="0" w:after="283"/>
              <w:jc w:val="center"/>
              <w:rPr/>
            </w:pPr>
            <w:r>
              <w:rPr/>
              <w:t> </w:t>
            </w:r>
          </w:p>
        </w:tc>
        <w:tc>
          <w:tcPr>
            <w:tcW w:w="128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194" w:type="dxa"/>
            <w:tcBorders/>
            <w:shd w:fill="auto" w:val="clear"/>
            <w:vAlign w:val="bottom"/>
          </w:tcPr>
          <w:p>
            <w:pPr>
              <w:pStyle w:val="TableHeading"/>
              <w:suppressLineNumbers/>
              <w:spacing w:before="0" w:after="283"/>
              <w:jc w:val="center"/>
              <w:rPr/>
            </w:pPr>
            <w:r>
              <w:rPr/>
              <w:t> </w:t>
            </w:r>
          </w:p>
        </w:tc>
        <w:tc>
          <w:tcPr>
            <w:tcW w:w="100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Gain (Loss) </w:t>
            </w:r>
          </w:p>
        </w:tc>
        <w:tc>
          <w:tcPr>
            <w:tcW w:w="194" w:type="dxa"/>
            <w:tcBorders/>
            <w:shd w:fill="auto" w:val="clear"/>
            <w:vAlign w:val="bottom"/>
          </w:tcPr>
          <w:p>
            <w:pPr>
              <w:pStyle w:val="TableHeading"/>
              <w:suppressLineNumbers/>
              <w:spacing w:before="0" w:after="283"/>
              <w:jc w:val="center"/>
              <w:rPr/>
            </w:pPr>
            <w:r>
              <w:rPr/>
              <w:t> </w:t>
            </w:r>
          </w:p>
        </w:tc>
        <w:tc>
          <w:tcPr>
            <w:tcW w:w="7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194" w:type="dxa"/>
            <w:tcBorders/>
            <w:shd w:fill="auto" w:val="clear"/>
            <w:vAlign w:val="bottom"/>
          </w:tcPr>
          <w:p>
            <w:pPr>
              <w:pStyle w:val="TableHeading"/>
              <w:suppressLineNumbers/>
              <w:spacing w:before="0" w:after="283"/>
              <w:jc w:val="center"/>
              <w:rPr/>
            </w:pPr>
            <w:r>
              <w:rPr/>
              <w:t> </w:t>
            </w:r>
          </w:p>
        </w:tc>
      </w:tr>
      <w:tr>
        <w:trPr/>
        <w:tc>
          <w:tcPr>
            <w:tcW w:w="258" w:type="dxa"/>
            <w:tcBorders/>
            <w:shd w:fill="CCEEFF" w:val="clear"/>
          </w:tcPr>
          <w:p>
            <w:pPr>
              <w:pStyle w:val="TableContents"/>
              <w:spacing w:before="0" w:after="283"/>
              <w:rPr/>
            </w:pPr>
            <w:r>
              <w:rPr/>
              <w:t> </w:t>
            </w:r>
          </w:p>
        </w:tc>
        <w:tc>
          <w:tcPr>
            <w:tcW w:w="230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232,251</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(168,854</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80" w:type="dxa"/>
            <w:tcBorders/>
            <w:shd w:fill="CCEEFF" w:val="clear"/>
            <w:vAlign w:val="bottom"/>
          </w:tcPr>
          <w:p>
            <w:pPr>
              <w:pStyle w:val="TableContents"/>
              <w:spacing w:before="0" w:after="283"/>
              <w:jc w:val="right"/>
              <w:rPr>
                <w:rFonts w:ascii="times" w:hAnsi="times"/>
                <w:sz w:val="14"/>
              </w:rPr>
            </w:pPr>
            <w:r>
              <w:rPr>
                <w:rFonts w:ascii="times" w:hAnsi="times"/>
                <w:sz w:val="14"/>
              </w:rPr>
              <w:t>(55,676</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6" w:type="dxa"/>
            <w:tcBorders/>
            <w:shd w:fill="CCEEFF" w:val="clear"/>
            <w:vAlign w:val="bottom"/>
          </w:tcPr>
          <w:p>
            <w:pPr>
              <w:pStyle w:val="TableContents"/>
              <w:spacing w:before="0" w:after="283"/>
              <w:jc w:val="right"/>
              <w:rPr>
                <w:rFonts w:ascii="times" w:hAnsi="times"/>
                <w:sz w:val="14"/>
              </w:rPr>
            </w:pPr>
            <w:r>
              <w:rPr>
                <w:rFonts w:ascii="times" w:hAnsi="times"/>
                <w:sz w:val="14"/>
              </w:rPr>
              <w:t>6,670</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63" w:type="dxa"/>
            <w:tcBorders/>
            <w:shd w:fill="CCEEFF" w:val="clear"/>
            <w:vAlign w:val="bottom"/>
          </w:tcPr>
          <w:p>
            <w:pPr>
              <w:pStyle w:val="TableContents"/>
              <w:spacing w:before="0" w:after="283"/>
              <w:jc w:val="right"/>
              <w:rPr>
                <w:rFonts w:ascii="times" w:hAnsi="times"/>
                <w:sz w:val="14"/>
              </w:rPr>
            </w:pPr>
            <w:r>
              <w:rPr>
                <w:rFonts w:ascii="times" w:hAnsi="times"/>
                <w:sz w:val="14"/>
              </w:rPr>
              <w:t>14,391</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230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86,126</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(38,938</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FFFFFF" w:val="clear"/>
            <w:vAlign w:val="bottom"/>
          </w:tcPr>
          <w:p>
            <w:pPr>
              <w:pStyle w:val="TableContents"/>
              <w:spacing w:before="0" w:after="283"/>
              <w:rPr/>
            </w:pPr>
            <w:r>
              <w:rPr/>
              <w:t> </w:t>
            </w:r>
          </w:p>
        </w:tc>
        <w:tc>
          <w:tcPr>
            <w:tcW w:w="121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1180" w:type="dxa"/>
            <w:tcBorders/>
            <w:shd w:fill="FFFFFF" w:val="clear"/>
            <w:vAlign w:val="bottom"/>
          </w:tcPr>
          <w:p>
            <w:pPr>
              <w:pStyle w:val="TableContents"/>
              <w:spacing w:before="0" w:after="283"/>
              <w:jc w:val="right"/>
              <w:rPr>
                <w:rFonts w:ascii="times" w:hAnsi="times"/>
                <w:sz w:val="14"/>
              </w:rPr>
            </w:pPr>
            <w:r>
              <w:rPr>
                <w:rFonts w:ascii="times" w:hAnsi="times"/>
                <w:sz w:val="14"/>
              </w:rPr>
              <w:t>(10,863</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FFFFFF" w:val="clear"/>
            <w:vAlign w:val="bottom"/>
          </w:tcPr>
          <w:p>
            <w:pPr>
              <w:pStyle w:val="TableContents"/>
              <w:spacing w:before="0" w:after="283"/>
              <w:rPr/>
            </w:pPr>
            <w:r>
              <w:rPr/>
              <w:t> </w:t>
            </w:r>
          </w:p>
        </w:tc>
        <w:tc>
          <w:tcPr>
            <w:tcW w:w="906" w:type="dxa"/>
            <w:tcBorders/>
            <w:shd w:fill="FFFFFF" w:val="clear"/>
            <w:vAlign w:val="bottom"/>
          </w:tcPr>
          <w:p>
            <w:pPr>
              <w:pStyle w:val="TableContents"/>
              <w:spacing w:before="0" w:after="283"/>
              <w:jc w:val="right"/>
              <w:rPr>
                <w:rFonts w:ascii="times" w:hAnsi="times"/>
                <w:sz w:val="14"/>
              </w:rPr>
            </w:pPr>
            <w:r>
              <w:rPr>
                <w:rFonts w:ascii="times" w:hAnsi="times"/>
                <w:sz w:val="14"/>
              </w:rPr>
              <w:t>16,617</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63" w:type="dxa"/>
            <w:tcBorders/>
            <w:shd w:fill="FFFFFF" w:val="clear"/>
            <w:vAlign w:val="bottom"/>
          </w:tcPr>
          <w:p>
            <w:pPr>
              <w:pStyle w:val="TableContents"/>
              <w:spacing w:before="0" w:after="283"/>
              <w:jc w:val="right"/>
              <w:rPr>
                <w:rFonts w:ascii="times" w:hAnsi="times"/>
                <w:sz w:val="14"/>
              </w:rPr>
            </w:pPr>
            <w:r>
              <w:rPr>
                <w:rFonts w:ascii="times" w:hAnsi="times"/>
                <w:sz w:val="14"/>
              </w:rPr>
              <w:t>52,942</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230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18,047</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(18,159</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80" w:type="dxa"/>
            <w:tcBorders/>
            <w:shd w:fill="CCEEFF" w:val="clear"/>
            <w:vAlign w:val="bottom"/>
          </w:tcPr>
          <w:p>
            <w:pPr>
              <w:pStyle w:val="TableContents"/>
              <w:spacing w:before="0" w:after="283"/>
              <w:jc w:val="right"/>
              <w:rPr>
                <w:rFonts w:ascii="times" w:hAnsi="times"/>
                <w:sz w:val="14"/>
              </w:rPr>
            </w:pPr>
            <w:r>
              <w:rPr>
                <w:rFonts w:ascii="times" w:hAnsi="times"/>
                <w:sz w:val="14"/>
              </w:rPr>
              <w:t>(3,589</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rPr/>
            </w:pPr>
            <w:r>
              <w:rPr/>
              <w:t> </w:t>
            </w:r>
          </w:p>
        </w:tc>
        <w:tc>
          <w:tcPr>
            <w:tcW w:w="906" w:type="dxa"/>
            <w:tcBorders/>
            <w:shd w:fill="CCEEFF" w:val="clear"/>
            <w:vAlign w:val="bottom"/>
          </w:tcPr>
          <w:p>
            <w:pPr>
              <w:pStyle w:val="TableContents"/>
              <w:spacing w:before="0" w:after="283"/>
              <w:jc w:val="right"/>
              <w:rPr>
                <w:rFonts w:ascii="times" w:hAnsi="times"/>
                <w:sz w:val="14"/>
              </w:rPr>
            </w:pPr>
            <w:r>
              <w:rPr>
                <w:rFonts w:ascii="times" w:hAnsi="times"/>
                <w:sz w:val="14"/>
              </w:rPr>
              <w:t>(7,697</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jc w:val="right"/>
              <w:rPr>
                <w:rFonts w:ascii="times" w:hAnsi="times"/>
                <w:sz w:val="14"/>
              </w:rPr>
            </w:pPr>
            <w:r>
              <w:rPr>
                <w:rFonts w:ascii="times" w:hAnsi="times"/>
                <w:sz w:val="14"/>
              </w:rPr>
              <w:t>(11,398</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FFFFFF" w:val="clear"/>
          </w:tcPr>
          <w:p>
            <w:pPr>
              <w:pStyle w:val="TableContents"/>
              <w:spacing w:before="0" w:after="283"/>
              <w:rPr/>
            </w:pPr>
            <w:r>
              <w:rPr/>
              <w:t> </w:t>
            </w:r>
          </w:p>
        </w:tc>
        <w:tc>
          <w:tcPr>
            <w:tcW w:w="230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1213" w:type="dxa"/>
            <w:tcBorders/>
            <w:shd w:fill="FFFFFF" w:val="clear"/>
            <w:vAlign w:val="bottom"/>
          </w:tcPr>
          <w:p>
            <w:pPr>
              <w:pStyle w:val="TableContents"/>
              <w:spacing w:before="0" w:after="283"/>
              <w:jc w:val="right"/>
              <w:rPr>
                <w:rFonts w:ascii="times" w:hAnsi="times"/>
                <w:sz w:val="14"/>
              </w:rPr>
            </w:pPr>
            <w:r>
              <w:rPr>
                <w:rFonts w:ascii="times" w:hAnsi="times"/>
                <w:sz w:val="14"/>
              </w:rPr>
              <w:t>(11,326</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FFFFFF" w:val="clear"/>
            <w:vAlign w:val="bottom"/>
          </w:tcPr>
          <w:p>
            <w:pPr>
              <w:pStyle w:val="TableContents"/>
              <w:spacing w:before="0" w:after="283"/>
              <w:rPr/>
            </w:pPr>
            <w:r>
              <w:rPr/>
              <w:t> </w:t>
            </w:r>
          </w:p>
        </w:tc>
        <w:tc>
          <w:tcPr>
            <w:tcW w:w="11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906" w:type="dxa"/>
            <w:tcBorders/>
            <w:shd w:fill="FFFFFF" w:val="clear"/>
            <w:vAlign w:val="bottom"/>
          </w:tcPr>
          <w:p>
            <w:pPr>
              <w:pStyle w:val="TableContents"/>
              <w:spacing w:before="0" w:after="283"/>
              <w:jc w:val="right"/>
              <w:rPr>
                <w:rFonts w:ascii="times" w:hAnsi="times"/>
                <w:sz w:val="14"/>
              </w:rPr>
            </w:pPr>
            <w:r>
              <w:rPr>
                <w:rFonts w:ascii="times" w:hAnsi="times"/>
                <w:sz w:val="14"/>
              </w:rPr>
              <w:t>(4,470</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FFFFFF" w:val="clear"/>
            <w:vAlign w:val="bottom"/>
          </w:tcPr>
          <w:p>
            <w:pPr>
              <w:pStyle w:val="TableContents"/>
              <w:spacing w:before="0" w:after="283"/>
              <w:rPr/>
            </w:pPr>
            <w:r>
              <w:rPr/>
              <w:t> </w:t>
            </w:r>
          </w:p>
        </w:tc>
        <w:tc>
          <w:tcPr>
            <w:tcW w:w="663" w:type="dxa"/>
            <w:tcBorders/>
            <w:shd w:fill="FFFFFF" w:val="clear"/>
            <w:vAlign w:val="bottom"/>
          </w:tcPr>
          <w:p>
            <w:pPr>
              <w:pStyle w:val="TableContents"/>
              <w:spacing w:before="0" w:after="283"/>
              <w:jc w:val="right"/>
              <w:rPr>
                <w:rFonts w:ascii="times" w:hAnsi="times"/>
                <w:sz w:val="14"/>
              </w:rPr>
            </w:pPr>
            <w:r>
              <w:rPr>
                <w:rFonts w:ascii="times" w:hAnsi="times"/>
                <w:sz w:val="14"/>
              </w:rPr>
              <w:t>(15,796</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auto" w:val="clear"/>
          </w:tcPr>
          <w:p>
            <w:pPr>
              <w:pStyle w:val="TableContents"/>
              <w:spacing w:before="0" w:after="283"/>
              <w:rPr/>
            </w:pPr>
            <w:r>
              <w:rPr/>
              <w:t> </w:t>
            </w:r>
          </w:p>
        </w:tc>
        <w:tc>
          <w:tcPr>
            <w:tcW w:w="2301"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95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95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3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28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00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7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2301" w:type="dxa"/>
            <w:tcBorders/>
            <w:shd w:fill="CCEEFF" w:val="clear"/>
            <w:vAlign w:val="bottom"/>
          </w:tcPr>
          <w:p>
            <w:pPr>
              <w:pStyle w:val="TableContents"/>
              <w:spacing w:before="0" w:after="283"/>
              <w:ind w:left="160" w:right="0" w:hanging="160"/>
              <w:rPr>
                <w:sz w:val="4"/>
                <w:szCs w:val="4"/>
              </w:rPr>
            </w:pPr>
            <w:r>
              <w:rPr>
                <w:sz w:val="4"/>
                <w:szCs w:val="4"/>
              </w:rPr>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336,424</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(225,951</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13" w:type="dxa"/>
            <w:tcBorders/>
            <w:shd w:fill="CCEEFF" w:val="clear"/>
            <w:vAlign w:val="bottom"/>
          </w:tcPr>
          <w:p>
            <w:pPr>
              <w:pStyle w:val="TableContents"/>
              <w:spacing w:before="0" w:after="283"/>
              <w:jc w:val="right"/>
              <w:rPr>
                <w:rFonts w:ascii="times" w:hAnsi="times"/>
                <w:sz w:val="14"/>
              </w:rPr>
            </w:pPr>
            <w:r>
              <w:rPr>
                <w:rFonts w:ascii="times" w:hAnsi="times"/>
                <w:sz w:val="14"/>
              </w:rPr>
              <w:t>(11,326</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80" w:type="dxa"/>
            <w:tcBorders/>
            <w:shd w:fill="CCEEFF" w:val="clear"/>
            <w:vAlign w:val="bottom"/>
          </w:tcPr>
          <w:p>
            <w:pPr>
              <w:pStyle w:val="TableContents"/>
              <w:spacing w:before="0" w:after="283"/>
              <w:jc w:val="right"/>
              <w:rPr>
                <w:rFonts w:ascii="times" w:hAnsi="times"/>
                <w:sz w:val="14"/>
              </w:rPr>
            </w:pPr>
            <w:r>
              <w:rPr>
                <w:rFonts w:ascii="times" w:hAnsi="times"/>
                <w:sz w:val="14"/>
              </w:rPr>
              <w:t>(70,128</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6" w:type="dxa"/>
            <w:tcBorders/>
            <w:shd w:fill="CCEEFF" w:val="clear"/>
            <w:vAlign w:val="bottom"/>
          </w:tcPr>
          <w:p>
            <w:pPr>
              <w:pStyle w:val="TableContents"/>
              <w:spacing w:before="0" w:after="283"/>
              <w:jc w:val="right"/>
              <w:rPr>
                <w:rFonts w:ascii="times" w:hAnsi="times"/>
                <w:sz w:val="14"/>
              </w:rPr>
            </w:pPr>
            <w:r>
              <w:rPr>
                <w:rFonts w:ascii="times" w:hAnsi="times"/>
                <w:sz w:val="14"/>
              </w:rPr>
              <w:t>11,120</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63" w:type="dxa"/>
            <w:tcBorders/>
            <w:shd w:fill="CCEEFF" w:val="clear"/>
            <w:vAlign w:val="bottom"/>
          </w:tcPr>
          <w:p>
            <w:pPr>
              <w:pStyle w:val="TableContents"/>
              <w:spacing w:before="0" w:after="283"/>
              <w:jc w:val="right"/>
              <w:rPr>
                <w:rFonts w:ascii="times" w:hAnsi="times"/>
                <w:sz w:val="14"/>
              </w:rPr>
            </w:pPr>
            <w:r>
              <w:rPr>
                <w:rFonts w:ascii="times" w:hAnsi="times"/>
                <w:sz w:val="14"/>
              </w:rPr>
              <w:t>40,139</w:t>
            </w:r>
          </w:p>
        </w:tc>
        <w:tc>
          <w:tcPr>
            <w:tcW w:w="194" w:type="dxa"/>
            <w:tcBorders/>
            <w:shd w:fill="CCEEFF" w:val="clear"/>
            <w:vAlign w:val="bottom"/>
          </w:tcPr>
          <w:p>
            <w:pPr>
              <w:pStyle w:val="TableContents"/>
              <w:spacing w:before="0" w:after="283"/>
              <w:rPr/>
            </w:pPr>
            <w:r>
              <w:rPr/>
              <w:t> </w:t>
            </w:r>
          </w:p>
        </w:tc>
      </w:tr>
      <w:tr>
        <w:trPr/>
        <w:tc>
          <w:tcPr>
            <w:tcW w:w="258" w:type="dxa"/>
            <w:tcBorders/>
            <w:shd w:fill="auto" w:val="clear"/>
          </w:tcPr>
          <w:p>
            <w:pPr>
              <w:pStyle w:val="TableContents"/>
              <w:spacing w:before="0" w:after="283"/>
              <w:rPr/>
            </w:pPr>
            <w:r>
              <w:rPr/>
              <w:t> </w:t>
            </w:r>
          </w:p>
        </w:tc>
        <w:tc>
          <w:tcPr>
            <w:tcW w:w="2301"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95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95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3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28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00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7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94"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63" w:type="dxa"/>
            <w:tcBorders/>
            <w:shd w:fill="FFFFFF" w:val="clear"/>
            <w:vAlign w:val="bottom"/>
          </w:tcPr>
          <w:p>
            <w:pPr>
              <w:pStyle w:val="TableContents"/>
              <w:spacing w:before="0" w:after="283"/>
              <w:jc w:val="right"/>
              <w:rPr>
                <w:rFonts w:ascii="times" w:hAnsi="times"/>
                <w:sz w:val="14"/>
              </w:rPr>
            </w:pPr>
            <w:r>
              <w:rPr>
                <w:rFonts w:ascii="times" w:hAnsi="times"/>
                <w:sz w:val="14"/>
              </w:rPr>
              <w:t>40,139</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8794"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9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expense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63" w:type="dxa"/>
            <w:tcBorders/>
            <w:shd w:fill="FFFFFF" w:val="clear"/>
            <w:vAlign w:val="bottom"/>
          </w:tcPr>
          <w:p>
            <w:pPr>
              <w:pStyle w:val="TableContents"/>
              <w:spacing w:before="0" w:after="283"/>
              <w:jc w:val="right"/>
              <w:rPr>
                <w:rFonts w:ascii="times" w:hAnsi="times"/>
                <w:sz w:val="14"/>
              </w:rPr>
            </w:pPr>
            <w:r>
              <w:rPr>
                <w:rFonts w:ascii="times" w:hAnsi="times"/>
                <w:sz w:val="14"/>
              </w:rPr>
              <w:t>(3,734</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CCEEFF" w:val="clear"/>
          </w:tcPr>
          <w:p>
            <w:pPr>
              <w:pStyle w:val="TableContents"/>
              <w:spacing w:before="0" w:after="283"/>
              <w:rPr/>
            </w:pPr>
            <w:r>
              <w:rPr/>
              <w:t> </w:t>
            </w:r>
          </w:p>
        </w:tc>
        <w:tc>
          <w:tcPr>
            <w:tcW w:w="879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jc w:val="right"/>
              <w:rPr>
                <w:rFonts w:ascii="times" w:hAnsi="times"/>
                <w:sz w:val="14"/>
              </w:rPr>
            </w:pPr>
            <w:r>
              <w:rPr>
                <w:rFonts w:ascii="times" w:hAnsi="times"/>
                <w:sz w:val="14"/>
              </w:rPr>
              <w:t>(17,313</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FFFFFF" w:val="clear"/>
          </w:tcPr>
          <w:p>
            <w:pPr>
              <w:pStyle w:val="TableContents"/>
              <w:spacing w:before="0" w:after="283"/>
              <w:rPr/>
            </w:pPr>
            <w:r>
              <w:rPr/>
              <w:t> </w:t>
            </w:r>
          </w:p>
        </w:tc>
        <w:tc>
          <w:tcPr>
            <w:tcW w:w="879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Loss on derivative financial instruments</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63" w:type="dxa"/>
            <w:tcBorders/>
            <w:shd w:fill="FFFFFF" w:val="clear"/>
            <w:vAlign w:val="bottom"/>
          </w:tcPr>
          <w:p>
            <w:pPr>
              <w:pStyle w:val="TableContents"/>
              <w:spacing w:before="0" w:after="283"/>
              <w:jc w:val="right"/>
              <w:rPr>
                <w:rFonts w:ascii="times" w:hAnsi="times"/>
                <w:sz w:val="14"/>
              </w:rPr>
            </w:pPr>
            <w:r>
              <w:rPr>
                <w:rFonts w:ascii="times" w:hAnsi="times"/>
                <w:sz w:val="14"/>
              </w:rPr>
              <w:t>(1,936</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CCEEFF" w:val="clear"/>
          </w:tcPr>
          <w:p>
            <w:pPr>
              <w:pStyle w:val="TableContents"/>
              <w:spacing w:before="0" w:after="283"/>
              <w:rPr/>
            </w:pPr>
            <w:r>
              <w:rPr/>
              <w:t> </w:t>
            </w:r>
          </w:p>
        </w:tc>
        <w:tc>
          <w:tcPr>
            <w:tcW w:w="879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jc w:val="right"/>
              <w:rPr>
                <w:rFonts w:ascii="times" w:hAnsi="times"/>
                <w:sz w:val="14"/>
              </w:rPr>
            </w:pPr>
            <w:r>
              <w:rPr>
                <w:rFonts w:ascii="times" w:hAnsi="times"/>
                <w:sz w:val="14"/>
              </w:rPr>
              <w:t>(28,385</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FFFFFF" w:val="clear"/>
          </w:tcPr>
          <w:p>
            <w:pPr>
              <w:pStyle w:val="TableContents"/>
              <w:spacing w:before="0" w:after="283"/>
              <w:rPr/>
            </w:pPr>
            <w:r>
              <w:rPr/>
              <w:t> </w:t>
            </w:r>
          </w:p>
        </w:tc>
        <w:tc>
          <w:tcPr>
            <w:tcW w:w="879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Provincial Capital Tax</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63" w:type="dxa"/>
            <w:tcBorders/>
            <w:shd w:fill="FFFFFF" w:val="clear"/>
            <w:vAlign w:val="bottom"/>
          </w:tcPr>
          <w:p>
            <w:pPr>
              <w:pStyle w:val="TableContents"/>
              <w:spacing w:before="0" w:after="283"/>
              <w:jc w:val="right"/>
              <w:rPr>
                <w:rFonts w:ascii="times" w:hAnsi="times"/>
                <w:sz w:val="14"/>
              </w:rPr>
            </w:pPr>
            <w:r>
              <w:rPr>
                <w:rFonts w:ascii="times" w:hAnsi="times"/>
                <w:sz w:val="14"/>
              </w:rPr>
              <w:t>1,504</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879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jc w:val="right"/>
              <w:rPr>
                <w:rFonts w:ascii="times" w:hAnsi="times"/>
                <w:sz w:val="14"/>
              </w:rPr>
            </w:pPr>
            <w:r>
              <w:rPr>
                <w:rFonts w:ascii="times" w:hAnsi="times"/>
                <w:sz w:val="14"/>
              </w:rPr>
              <w:t>(13,735</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auto" w:val="clear"/>
          </w:tcPr>
          <w:p>
            <w:pPr>
              <w:pStyle w:val="TableContents"/>
              <w:spacing w:before="0" w:after="283"/>
              <w:rPr/>
            </w:pPr>
            <w:r>
              <w:rPr/>
              <w:t> </w:t>
            </w:r>
          </w:p>
        </w:tc>
        <w:tc>
          <w:tcPr>
            <w:tcW w:w="2301"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94" w:type="dxa"/>
            <w:gridSpan w:val="16"/>
            <w:tcBorders/>
            <w:shd w:fill="FFFFFF" w:val="clear"/>
            <w:vAlign w:val="bottom"/>
          </w:tcPr>
          <w:p>
            <w:pPr>
              <w:pStyle w:val="TableContents"/>
              <w:spacing w:before="0" w:after="283"/>
              <w:ind w:left="160" w:right="0" w:hanging="160"/>
              <w:rPr>
                <w:rFonts w:ascii="times" w:hAnsi="times"/>
                <w:b/>
                <w:sz w:val="14"/>
              </w:rPr>
            </w:pPr>
            <w:r>
              <w:rPr>
                <w:rFonts w:ascii="times" w:hAnsi="times"/>
                <w:b/>
                <w:sz w:val="14"/>
              </w:rPr>
              <w:t>Loss before income and mining taxes</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63" w:type="dxa"/>
            <w:tcBorders/>
            <w:shd w:fill="FFFFFF" w:val="clear"/>
            <w:vAlign w:val="bottom"/>
          </w:tcPr>
          <w:p>
            <w:pPr>
              <w:pStyle w:val="TableContents"/>
              <w:spacing w:before="0" w:after="283"/>
              <w:jc w:val="right"/>
              <w:rPr>
                <w:rFonts w:ascii="times" w:hAnsi="times"/>
                <w:sz w:val="14"/>
              </w:rPr>
            </w:pPr>
            <w:r>
              <w:rPr>
                <w:rFonts w:ascii="times" w:hAnsi="times"/>
                <w:sz w:val="14"/>
              </w:rPr>
              <w:t>(23,460</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auto" w:val="clear"/>
          </w:tcPr>
          <w:p>
            <w:pPr>
              <w:pStyle w:val="TableContents"/>
              <w:spacing w:before="0" w:after="283"/>
              <w:rPr/>
            </w:pPr>
            <w:r>
              <w:rPr/>
              <w:t> </w:t>
            </w:r>
          </w:p>
        </w:tc>
        <w:tc>
          <w:tcPr>
            <w:tcW w:w="2301"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0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32</w:t>
      </w:r>
    </w:p>
    <w:p>
      <w:pPr>
        <w:pStyle w:val="HorizontalLine"/>
        <w:pBdr>
          <w:bottom w:val="single" w:sz="20" w:space="0" w:color="808080"/>
        </w:pBdr>
        <w:rPr/>
      </w:pPr>
      <w:r>
        <w:rPr/>
      </w:r>
      <w:r>
        <w:br w:type="page"/>
      </w:r>
    </w:p>
    <w:p>
      <w:pPr>
        <w:pStyle w:val="TextBody"/>
        <w:jc w:val="center"/>
        <w:rPr>
          <w:rFonts w:ascii="times" w:hAnsi="times"/>
          <w:b/>
          <w:sz w:val="20"/>
        </w:rPr>
      </w:pPr>
      <w:bookmarkStart w:id="59" w:name="page_fi72201_1_33"/>
      <w:bookmarkEnd w:id="59"/>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12.   SEGMENTED INFORMATION (Continued) </w:t>
      </w:r>
    </w:p>
    <w:p>
      <w:pPr>
        <w:pStyle w:val="TextBody"/>
        <w:rPr/>
      </w:pPr>
      <w:r>
        <w:rPr/>
        <w:t> </w:t>
      </w:r>
    </w:p>
    <w:tbl>
      <w:tblPr>
        <w:tblW w:w="5000" w:type="pct"/>
        <w:jc w:val="center"/>
        <w:tblInd w:w="0" w:type="dxa"/>
        <w:tblCellMar>
          <w:top w:w="0" w:type="dxa"/>
          <w:left w:w="0" w:type="dxa"/>
          <w:bottom w:w="0" w:type="dxa"/>
          <w:right w:w="0" w:type="dxa"/>
        </w:tblCellMar>
      </w:tblPr>
      <w:tblGrid>
        <w:gridCol w:w="258"/>
        <w:gridCol w:w="2297"/>
        <w:gridCol w:w="194"/>
        <w:gridCol w:w="102"/>
        <w:gridCol w:w="855"/>
        <w:gridCol w:w="194"/>
        <w:gridCol w:w="102"/>
        <w:gridCol w:w="855"/>
        <w:gridCol w:w="194"/>
        <w:gridCol w:w="102"/>
        <w:gridCol w:w="1211"/>
        <w:gridCol w:w="193"/>
        <w:gridCol w:w="102"/>
        <w:gridCol w:w="1179"/>
        <w:gridCol w:w="193"/>
        <w:gridCol w:w="103"/>
        <w:gridCol w:w="903"/>
        <w:gridCol w:w="194"/>
        <w:gridCol w:w="102"/>
        <w:gridCol w:w="678"/>
        <w:gridCol w:w="194"/>
      </w:tblGrid>
      <w:tr>
        <w:trPr/>
        <w:tc>
          <w:tcPr>
            <w:tcW w:w="258" w:type="dxa"/>
            <w:tcBorders/>
            <w:shd w:fill="auto" w:val="clear"/>
            <w:vAlign w:val="center"/>
          </w:tcPr>
          <w:p>
            <w:pPr>
              <w:pStyle w:val="TableContents"/>
              <w:spacing w:before="0" w:after="283"/>
              <w:rPr>
                <w:sz w:val="4"/>
                <w:szCs w:val="4"/>
              </w:rPr>
            </w:pPr>
            <w:r>
              <w:rPr>
                <w:sz w:val="4"/>
                <w:szCs w:val="4"/>
              </w:rPr>
            </w:r>
          </w:p>
        </w:tc>
        <w:tc>
          <w:tcPr>
            <w:tcW w:w="2297"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855"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855"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211"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903"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678"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r>
      <w:tr>
        <w:trPr/>
        <w:tc>
          <w:tcPr>
            <w:tcW w:w="258" w:type="dxa"/>
            <w:tcBorders/>
            <w:shd w:fill="auto" w:val="clear"/>
            <w:vAlign w:val="bottom"/>
          </w:tcPr>
          <w:p>
            <w:pPr>
              <w:pStyle w:val="TableHeading"/>
              <w:suppressLineNumbers/>
              <w:spacing w:before="0" w:after="283"/>
              <w:jc w:val="center"/>
              <w:rPr/>
            </w:pPr>
            <w:r>
              <w:rPr/>
              <w:t> </w:t>
            </w:r>
          </w:p>
        </w:tc>
        <w:tc>
          <w:tcPr>
            <w:tcW w:w="2297"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Three Months Ended June 30, 2012 </w:t>
            </w:r>
          </w:p>
        </w:tc>
        <w:tc>
          <w:tcPr>
            <w:tcW w:w="194" w:type="dxa"/>
            <w:tcBorders/>
            <w:shd w:fill="auto" w:val="clear"/>
            <w:vAlign w:val="bottom"/>
          </w:tcPr>
          <w:p>
            <w:pPr>
              <w:pStyle w:val="TableHeading"/>
              <w:suppressLineNumbers/>
              <w:spacing w:before="0" w:after="283"/>
              <w:jc w:val="center"/>
              <w:rPr/>
            </w:pPr>
            <w:r>
              <w:rPr/>
              <w:t> </w:t>
            </w:r>
          </w:p>
        </w:tc>
        <w:tc>
          <w:tcPr>
            <w:tcW w:w="9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94" w:type="dxa"/>
            <w:tcBorders/>
            <w:shd w:fill="auto" w:val="clear"/>
            <w:vAlign w:val="bottom"/>
          </w:tcPr>
          <w:p>
            <w:pPr>
              <w:pStyle w:val="TableHeading"/>
              <w:suppressLineNumbers/>
              <w:spacing w:before="0" w:after="283"/>
              <w:jc w:val="center"/>
              <w:rPr/>
            </w:pPr>
            <w:r>
              <w:rPr/>
              <w:t> </w:t>
            </w:r>
          </w:p>
        </w:tc>
        <w:tc>
          <w:tcPr>
            <w:tcW w:w="9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94" w:type="dxa"/>
            <w:tcBorders/>
            <w:shd w:fill="auto" w:val="clear"/>
            <w:vAlign w:val="bottom"/>
          </w:tcPr>
          <w:p>
            <w:pPr>
              <w:pStyle w:val="TableHeading"/>
              <w:suppressLineNumbers/>
              <w:spacing w:before="0" w:after="283"/>
              <w:jc w:val="center"/>
              <w:rPr/>
            </w:pPr>
            <w:r>
              <w:rPr/>
              <w:t> </w:t>
            </w:r>
          </w:p>
        </w:tc>
        <w:tc>
          <w:tcPr>
            <w:tcW w:w="13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193" w:type="dxa"/>
            <w:tcBorders/>
            <w:shd w:fill="auto" w:val="clear"/>
            <w:vAlign w:val="bottom"/>
          </w:tcPr>
          <w:p>
            <w:pPr>
              <w:pStyle w:val="TableHeading"/>
              <w:suppressLineNumbers/>
              <w:spacing w:before="0" w:after="283"/>
              <w:jc w:val="center"/>
              <w:rPr/>
            </w:pPr>
            <w:r>
              <w:rPr/>
              <w:t> </w:t>
            </w:r>
          </w:p>
        </w:tc>
        <w:tc>
          <w:tcPr>
            <w:tcW w:w="128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193" w:type="dxa"/>
            <w:tcBorders/>
            <w:shd w:fill="auto" w:val="clear"/>
            <w:vAlign w:val="bottom"/>
          </w:tcPr>
          <w:p>
            <w:pPr>
              <w:pStyle w:val="TableHeading"/>
              <w:suppressLineNumbers/>
              <w:spacing w:before="0" w:after="283"/>
              <w:jc w:val="center"/>
              <w:rPr/>
            </w:pPr>
            <w:r>
              <w:rPr/>
              <w:t> </w:t>
            </w:r>
          </w:p>
        </w:tc>
        <w:tc>
          <w:tcPr>
            <w:tcW w:w="100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Gain (Loss) </w:t>
            </w:r>
          </w:p>
        </w:tc>
        <w:tc>
          <w:tcPr>
            <w:tcW w:w="194" w:type="dxa"/>
            <w:tcBorders/>
            <w:shd w:fill="auto" w:val="clear"/>
            <w:vAlign w:val="bottom"/>
          </w:tcPr>
          <w:p>
            <w:pPr>
              <w:pStyle w:val="TableHeading"/>
              <w:suppressLineNumbers/>
              <w:spacing w:before="0" w:after="283"/>
              <w:jc w:val="center"/>
              <w:rPr/>
            </w:pPr>
            <w:r>
              <w:rPr/>
              <w:t> </w:t>
            </w:r>
          </w:p>
        </w:tc>
        <w:tc>
          <w:tcPr>
            <w:tcW w:w="78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194" w:type="dxa"/>
            <w:tcBorders/>
            <w:shd w:fill="auto" w:val="clear"/>
            <w:vAlign w:val="bottom"/>
          </w:tcPr>
          <w:p>
            <w:pPr>
              <w:pStyle w:val="TableHeading"/>
              <w:suppressLineNumbers/>
              <w:spacing w:before="0" w:after="283"/>
              <w:jc w:val="center"/>
              <w:rPr/>
            </w:pPr>
            <w:r>
              <w:rPr/>
              <w:t> </w:t>
            </w:r>
          </w:p>
        </w:tc>
      </w:tr>
      <w:tr>
        <w:trPr/>
        <w:tc>
          <w:tcPr>
            <w:tcW w:w="258" w:type="dxa"/>
            <w:tcBorders/>
            <w:shd w:fill="CCEEFF" w:val="clear"/>
          </w:tcPr>
          <w:p>
            <w:pPr>
              <w:pStyle w:val="TableContents"/>
              <w:spacing w:before="0" w:after="283"/>
              <w:rPr/>
            </w:pPr>
            <w:r>
              <w:rPr/>
              <w:t> </w:t>
            </w:r>
          </w:p>
        </w:tc>
        <w:tc>
          <w:tcPr>
            <w:tcW w:w="229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283,851</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(155,572</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11" w:type="dxa"/>
            <w:tcBorders/>
            <w:shd w:fill="CCEEFF" w:val="clear"/>
            <w:vAlign w:val="bottom"/>
          </w:tcPr>
          <w:p>
            <w:pPr>
              <w:pStyle w:val="TableContents"/>
              <w:spacing w:before="0" w:after="283"/>
              <w:jc w:val="right"/>
              <w:rPr>
                <w:rFonts w:ascii="times" w:hAnsi="times"/>
                <w:sz w:val="14"/>
              </w:rPr>
            </w:pPr>
            <w:r>
              <w:rPr>
                <w:rFonts w:ascii="times" w:hAnsi="times"/>
                <w:sz w:val="14"/>
              </w:rPr>
              <w:t>(12,250</w:t>
            </w:r>
          </w:p>
        </w:tc>
        <w:tc>
          <w:tcPr>
            <w:tcW w:w="19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79" w:type="dxa"/>
            <w:tcBorders/>
            <w:shd w:fill="CCEEFF" w:val="clear"/>
            <w:vAlign w:val="bottom"/>
          </w:tcPr>
          <w:p>
            <w:pPr>
              <w:pStyle w:val="TableContents"/>
              <w:spacing w:before="0" w:after="283"/>
              <w:jc w:val="right"/>
              <w:rPr>
                <w:rFonts w:ascii="times" w:hAnsi="times"/>
                <w:sz w:val="14"/>
              </w:rPr>
            </w:pPr>
            <w:r>
              <w:rPr>
                <w:rFonts w:ascii="times" w:hAnsi="times"/>
                <w:sz w:val="14"/>
              </w:rPr>
              <w:t>(48,799</w:t>
            </w:r>
          </w:p>
        </w:tc>
        <w:tc>
          <w:tcPr>
            <w:tcW w:w="19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3" w:type="dxa"/>
            <w:tcBorders/>
            <w:shd w:fill="CCEEFF" w:val="clear"/>
            <w:vAlign w:val="bottom"/>
          </w:tcPr>
          <w:p>
            <w:pPr>
              <w:pStyle w:val="TableContents"/>
              <w:spacing w:before="0" w:after="283"/>
              <w:jc w:val="right"/>
              <w:rPr>
                <w:rFonts w:ascii="times" w:hAnsi="times"/>
                <w:sz w:val="14"/>
              </w:rPr>
            </w:pPr>
            <w:r>
              <w:rPr>
                <w:rFonts w:ascii="times" w:hAnsi="times"/>
                <w:sz w:val="14"/>
              </w:rPr>
              <w:t>6,946</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8" w:type="dxa"/>
            <w:tcBorders/>
            <w:shd w:fill="CCEEFF" w:val="clear"/>
            <w:vAlign w:val="bottom"/>
          </w:tcPr>
          <w:p>
            <w:pPr>
              <w:pStyle w:val="TableContents"/>
              <w:spacing w:before="0" w:after="283"/>
              <w:jc w:val="right"/>
              <w:rPr>
                <w:rFonts w:ascii="times" w:hAnsi="times"/>
                <w:sz w:val="14"/>
              </w:rPr>
            </w:pPr>
            <w:r>
              <w:rPr>
                <w:rFonts w:ascii="times" w:hAnsi="times"/>
                <w:sz w:val="14"/>
              </w:rPr>
              <w:t>74,176</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229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120,706</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(40,819</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FFFFFF" w:val="clear"/>
            <w:vAlign w:val="bottom"/>
          </w:tcPr>
          <w:p>
            <w:pPr>
              <w:pStyle w:val="TableContents"/>
              <w:spacing w:before="0" w:after="283"/>
              <w:rPr/>
            </w:pPr>
            <w:r>
              <w:rPr/>
              <w:t> </w:t>
            </w:r>
          </w:p>
        </w:tc>
        <w:tc>
          <w:tcPr>
            <w:tcW w:w="121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3"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1179" w:type="dxa"/>
            <w:tcBorders/>
            <w:shd w:fill="FFFFFF" w:val="clear"/>
            <w:vAlign w:val="bottom"/>
          </w:tcPr>
          <w:p>
            <w:pPr>
              <w:pStyle w:val="TableContents"/>
              <w:spacing w:before="0" w:after="283"/>
              <w:jc w:val="right"/>
              <w:rPr>
                <w:rFonts w:ascii="times" w:hAnsi="times"/>
                <w:sz w:val="14"/>
              </w:rPr>
            </w:pPr>
            <w:r>
              <w:rPr>
                <w:rFonts w:ascii="times" w:hAnsi="times"/>
                <w:sz w:val="14"/>
              </w:rPr>
              <w:t>(10,455</w:t>
            </w:r>
          </w:p>
        </w:tc>
        <w:tc>
          <w:tcPr>
            <w:tcW w:w="19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FFFFFF" w:val="clear"/>
            <w:vAlign w:val="bottom"/>
          </w:tcPr>
          <w:p>
            <w:pPr>
              <w:pStyle w:val="TableContents"/>
              <w:spacing w:before="0" w:after="283"/>
              <w:rPr/>
            </w:pPr>
            <w:r>
              <w:rPr/>
              <w:t> </w:t>
            </w:r>
          </w:p>
        </w:tc>
        <w:tc>
          <w:tcPr>
            <w:tcW w:w="903" w:type="dxa"/>
            <w:tcBorders/>
            <w:shd w:fill="FFFFFF" w:val="clear"/>
            <w:vAlign w:val="bottom"/>
          </w:tcPr>
          <w:p>
            <w:pPr>
              <w:pStyle w:val="TableContents"/>
              <w:spacing w:before="0" w:after="283"/>
              <w:jc w:val="right"/>
              <w:rPr>
                <w:rFonts w:ascii="times" w:hAnsi="times"/>
                <w:sz w:val="14"/>
              </w:rPr>
            </w:pPr>
            <w:r>
              <w:rPr>
                <w:rFonts w:ascii="times" w:hAnsi="times"/>
                <w:sz w:val="14"/>
              </w:rPr>
              <w:t>3,953</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78" w:type="dxa"/>
            <w:tcBorders/>
            <w:shd w:fill="FFFFFF" w:val="clear"/>
            <w:vAlign w:val="bottom"/>
          </w:tcPr>
          <w:p>
            <w:pPr>
              <w:pStyle w:val="TableContents"/>
              <w:spacing w:before="0" w:after="283"/>
              <w:jc w:val="right"/>
              <w:rPr>
                <w:rFonts w:ascii="times" w:hAnsi="times"/>
                <w:sz w:val="14"/>
              </w:rPr>
            </w:pPr>
            <w:r>
              <w:rPr>
                <w:rFonts w:ascii="times" w:hAnsi="times"/>
                <w:sz w:val="14"/>
              </w:rPr>
              <w:t>73,385</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229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55,004</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(23,515</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3"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179" w:type="dxa"/>
            <w:tcBorders/>
            <w:shd w:fill="CCEEFF" w:val="clear"/>
            <w:vAlign w:val="bottom"/>
          </w:tcPr>
          <w:p>
            <w:pPr>
              <w:pStyle w:val="TableContents"/>
              <w:spacing w:before="0" w:after="283"/>
              <w:jc w:val="right"/>
              <w:rPr>
                <w:rFonts w:ascii="times" w:hAnsi="times"/>
                <w:sz w:val="14"/>
              </w:rPr>
            </w:pPr>
            <w:r>
              <w:rPr>
                <w:rFonts w:ascii="times" w:hAnsi="times"/>
                <w:sz w:val="14"/>
              </w:rPr>
              <w:t>(7,056</w:t>
            </w:r>
          </w:p>
        </w:tc>
        <w:tc>
          <w:tcPr>
            <w:tcW w:w="19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CCEEFF" w:val="clear"/>
            <w:vAlign w:val="bottom"/>
          </w:tcPr>
          <w:p>
            <w:pPr>
              <w:pStyle w:val="TableContents"/>
              <w:spacing w:before="0" w:after="283"/>
              <w:rPr/>
            </w:pPr>
            <w:r>
              <w:rPr/>
              <w:t> </w:t>
            </w:r>
          </w:p>
        </w:tc>
        <w:tc>
          <w:tcPr>
            <w:tcW w:w="903" w:type="dxa"/>
            <w:tcBorders/>
            <w:shd w:fill="CCEEFF" w:val="clear"/>
            <w:vAlign w:val="bottom"/>
          </w:tcPr>
          <w:p>
            <w:pPr>
              <w:pStyle w:val="TableContents"/>
              <w:spacing w:before="0" w:after="283"/>
              <w:jc w:val="right"/>
              <w:rPr>
                <w:rFonts w:ascii="times" w:hAnsi="times"/>
                <w:sz w:val="14"/>
              </w:rPr>
            </w:pPr>
            <w:r>
              <w:rPr>
                <w:rFonts w:ascii="times" w:hAnsi="times"/>
                <w:sz w:val="14"/>
              </w:rPr>
              <w:t>(152</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rFonts w:ascii="times" w:hAnsi="times"/>
                <w:sz w:val="14"/>
              </w:rPr>
            </w:pPr>
            <w:r>
              <w:rPr>
                <w:rFonts w:ascii="times" w:hAnsi="times"/>
                <w:sz w:val="14"/>
              </w:rPr>
              <w:t>24,281</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229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85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1211" w:type="dxa"/>
            <w:tcBorders/>
            <w:shd w:fill="FFFFFF" w:val="clear"/>
            <w:vAlign w:val="bottom"/>
          </w:tcPr>
          <w:p>
            <w:pPr>
              <w:pStyle w:val="TableContents"/>
              <w:spacing w:before="0" w:after="283"/>
              <w:jc w:val="right"/>
              <w:rPr>
                <w:rFonts w:ascii="times" w:hAnsi="times"/>
                <w:sz w:val="14"/>
              </w:rPr>
            </w:pPr>
            <w:r>
              <w:rPr>
                <w:rFonts w:ascii="times" w:hAnsi="times"/>
                <w:sz w:val="14"/>
              </w:rPr>
              <w:t>(22,036</w:t>
            </w:r>
          </w:p>
        </w:tc>
        <w:tc>
          <w:tcPr>
            <w:tcW w:w="19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FFFFFF" w:val="clear"/>
            <w:vAlign w:val="bottom"/>
          </w:tcPr>
          <w:p>
            <w:pPr>
              <w:pStyle w:val="TableContents"/>
              <w:spacing w:before="0" w:after="283"/>
              <w:rPr/>
            </w:pPr>
            <w:r>
              <w:rPr/>
              <w:t> </w:t>
            </w:r>
          </w:p>
        </w:tc>
        <w:tc>
          <w:tcPr>
            <w:tcW w:w="117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3"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903" w:type="dxa"/>
            <w:tcBorders/>
            <w:shd w:fill="FFFFFF" w:val="clear"/>
            <w:vAlign w:val="bottom"/>
          </w:tcPr>
          <w:p>
            <w:pPr>
              <w:pStyle w:val="TableContents"/>
              <w:spacing w:before="0" w:after="283"/>
              <w:jc w:val="right"/>
              <w:rPr>
                <w:rFonts w:ascii="times" w:hAnsi="times"/>
                <w:sz w:val="14"/>
              </w:rPr>
            </w:pPr>
            <w:r>
              <w:rPr>
                <w:rFonts w:ascii="times" w:hAnsi="times"/>
                <w:sz w:val="14"/>
              </w:rPr>
              <w:t>262</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78" w:type="dxa"/>
            <w:tcBorders/>
            <w:shd w:fill="FFFFFF" w:val="clear"/>
            <w:vAlign w:val="bottom"/>
          </w:tcPr>
          <w:p>
            <w:pPr>
              <w:pStyle w:val="TableContents"/>
              <w:spacing w:before="0" w:after="283"/>
              <w:jc w:val="right"/>
              <w:rPr>
                <w:rFonts w:ascii="times" w:hAnsi="times"/>
                <w:sz w:val="14"/>
              </w:rPr>
            </w:pPr>
            <w:r>
              <w:rPr>
                <w:rFonts w:ascii="times" w:hAnsi="times"/>
                <w:sz w:val="14"/>
              </w:rPr>
              <w:t>(21,774</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auto" w:val="clear"/>
          </w:tcPr>
          <w:p>
            <w:pPr>
              <w:pStyle w:val="TableContents"/>
              <w:spacing w:before="0" w:after="283"/>
              <w:rPr/>
            </w:pPr>
            <w:r>
              <w:rPr/>
              <w:t> </w:t>
            </w:r>
          </w:p>
        </w:tc>
        <w:tc>
          <w:tcPr>
            <w:tcW w:w="229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3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3" w:type="dxa"/>
            <w:tcBorders/>
            <w:shd w:fill="auto" w:val="clear"/>
            <w:vAlign w:val="bottom"/>
          </w:tcPr>
          <w:p>
            <w:pPr>
              <w:pStyle w:val="TableContents"/>
              <w:spacing w:before="0" w:after="283"/>
              <w:rPr/>
            </w:pPr>
            <w:r>
              <w:rPr/>
              <w:t> </w:t>
            </w:r>
          </w:p>
        </w:tc>
        <w:tc>
          <w:tcPr>
            <w:tcW w:w="12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3" w:type="dxa"/>
            <w:tcBorders/>
            <w:shd w:fill="auto" w:val="clear"/>
            <w:vAlign w:val="bottom"/>
          </w:tcPr>
          <w:p>
            <w:pPr>
              <w:pStyle w:val="TableContents"/>
              <w:spacing w:before="0" w:after="283"/>
              <w:rPr/>
            </w:pPr>
            <w:r>
              <w:rPr/>
              <w:t> </w:t>
            </w:r>
          </w:p>
        </w:tc>
        <w:tc>
          <w:tcPr>
            <w:tcW w:w="100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78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2297" w:type="dxa"/>
            <w:tcBorders/>
            <w:shd w:fill="CCEEFF" w:val="clear"/>
            <w:vAlign w:val="bottom"/>
          </w:tcPr>
          <w:p>
            <w:pPr>
              <w:pStyle w:val="TableContents"/>
              <w:spacing w:before="0" w:after="283"/>
              <w:ind w:left="160" w:right="0" w:hanging="160"/>
              <w:rPr>
                <w:sz w:val="4"/>
                <w:szCs w:val="4"/>
              </w:rPr>
            </w:pPr>
            <w:r>
              <w:rPr>
                <w:sz w:val="4"/>
                <w:szCs w:val="4"/>
              </w:rPr>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459,561</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5" w:type="dxa"/>
            <w:tcBorders/>
            <w:shd w:fill="CCEEFF" w:val="clear"/>
            <w:vAlign w:val="bottom"/>
          </w:tcPr>
          <w:p>
            <w:pPr>
              <w:pStyle w:val="TableContents"/>
              <w:spacing w:before="0" w:after="283"/>
              <w:jc w:val="right"/>
              <w:rPr>
                <w:rFonts w:ascii="times" w:hAnsi="times"/>
                <w:sz w:val="14"/>
              </w:rPr>
            </w:pPr>
            <w:r>
              <w:rPr>
                <w:rFonts w:ascii="times" w:hAnsi="times"/>
                <w:sz w:val="14"/>
              </w:rPr>
              <w:t>(219,906</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11" w:type="dxa"/>
            <w:tcBorders/>
            <w:shd w:fill="CCEEFF" w:val="clear"/>
            <w:vAlign w:val="bottom"/>
          </w:tcPr>
          <w:p>
            <w:pPr>
              <w:pStyle w:val="TableContents"/>
              <w:spacing w:before="0" w:after="283"/>
              <w:jc w:val="right"/>
              <w:rPr>
                <w:rFonts w:ascii="times" w:hAnsi="times"/>
                <w:sz w:val="14"/>
              </w:rPr>
            </w:pPr>
            <w:r>
              <w:rPr>
                <w:rFonts w:ascii="times" w:hAnsi="times"/>
                <w:sz w:val="14"/>
              </w:rPr>
              <w:t>(34,286</w:t>
            </w:r>
          </w:p>
        </w:tc>
        <w:tc>
          <w:tcPr>
            <w:tcW w:w="19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79" w:type="dxa"/>
            <w:tcBorders/>
            <w:shd w:fill="CCEEFF" w:val="clear"/>
            <w:vAlign w:val="bottom"/>
          </w:tcPr>
          <w:p>
            <w:pPr>
              <w:pStyle w:val="TableContents"/>
              <w:spacing w:before="0" w:after="283"/>
              <w:jc w:val="right"/>
              <w:rPr>
                <w:rFonts w:ascii="times" w:hAnsi="times"/>
                <w:sz w:val="14"/>
              </w:rPr>
            </w:pPr>
            <w:r>
              <w:rPr>
                <w:rFonts w:ascii="times" w:hAnsi="times"/>
                <w:sz w:val="14"/>
              </w:rPr>
              <w:t>(66,310</w:t>
            </w:r>
          </w:p>
        </w:tc>
        <w:tc>
          <w:tcPr>
            <w:tcW w:w="19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3" w:type="dxa"/>
            <w:tcBorders/>
            <w:shd w:fill="CCEEFF" w:val="clear"/>
            <w:vAlign w:val="bottom"/>
          </w:tcPr>
          <w:p>
            <w:pPr>
              <w:pStyle w:val="TableContents"/>
              <w:spacing w:before="0" w:after="283"/>
              <w:jc w:val="right"/>
              <w:rPr>
                <w:rFonts w:ascii="times" w:hAnsi="times"/>
                <w:sz w:val="14"/>
              </w:rPr>
            </w:pPr>
            <w:r>
              <w:rPr>
                <w:rFonts w:ascii="times" w:hAnsi="times"/>
                <w:sz w:val="14"/>
              </w:rPr>
              <w:t>11,009</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8" w:type="dxa"/>
            <w:tcBorders/>
            <w:shd w:fill="CCEEFF" w:val="clear"/>
            <w:vAlign w:val="bottom"/>
          </w:tcPr>
          <w:p>
            <w:pPr>
              <w:pStyle w:val="TableContents"/>
              <w:spacing w:before="0" w:after="283"/>
              <w:jc w:val="right"/>
              <w:rPr>
                <w:rFonts w:ascii="times" w:hAnsi="times"/>
                <w:sz w:val="14"/>
              </w:rPr>
            </w:pPr>
            <w:r>
              <w:rPr>
                <w:rFonts w:ascii="times" w:hAnsi="times"/>
                <w:sz w:val="14"/>
              </w:rPr>
              <w:t>150,068</w:t>
            </w:r>
          </w:p>
        </w:tc>
        <w:tc>
          <w:tcPr>
            <w:tcW w:w="194" w:type="dxa"/>
            <w:tcBorders/>
            <w:shd w:fill="CCEEFF" w:val="clear"/>
            <w:vAlign w:val="bottom"/>
          </w:tcPr>
          <w:p>
            <w:pPr>
              <w:pStyle w:val="TableContents"/>
              <w:spacing w:before="0" w:after="283"/>
              <w:rPr/>
            </w:pPr>
            <w:r>
              <w:rPr/>
              <w:t> </w:t>
            </w:r>
          </w:p>
        </w:tc>
      </w:tr>
      <w:tr>
        <w:trPr/>
        <w:tc>
          <w:tcPr>
            <w:tcW w:w="258" w:type="dxa"/>
            <w:tcBorders/>
            <w:shd w:fill="auto" w:val="clear"/>
          </w:tcPr>
          <w:p>
            <w:pPr>
              <w:pStyle w:val="TableContents"/>
              <w:spacing w:before="0" w:after="283"/>
              <w:rPr/>
            </w:pPr>
            <w:r>
              <w:rPr/>
              <w:t> </w:t>
            </w:r>
          </w:p>
        </w:tc>
        <w:tc>
          <w:tcPr>
            <w:tcW w:w="229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9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13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3" w:type="dxa"/>
            <w:tcBorders/>
            <w:shd w:fill="auto" w:val="clear"/>
            <w:vAlign w:val="bottom"/>
          </w:tcPr>
          <w:p>
            <w:pPr>
              <w:pStyle w:val="TableContents"/>
              <w:spacing w:before="0" w:after="283"/>
              <w:rPr/>
            </w:pPr>
            <w:r>
              <w:rPr/>
              <w:t> </w:t>
            </w:r>
          </w:p>
        </w:tc>
        <w:tc>
          <w:tcPr>
            <w:tcW w:w="12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3" w:type="dxa"/>
            <w:tcBorders/>
            <w:shd w:fill="auto" w:val="clear"/>
            <w:vAlign w:val="bottom"/>
          </w:tcPr>
          <w:p>
            <w:pPr>
              <w:pStyle w:val="TableContents"/>
              <w:spacing w:before="0" w:after="283"/>
              <w:rPr/>
            </w:pPr>
            <w:r>
              <w:rPr/>
              <w:t> </w:t>
            </w:r>
          </w:p>
        </w:tc>
        <w:tc>
          <w:tcPr>
            <w:tcW w:w="100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c>
          <w:tcPr>
            <w:tcW w:w="7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79"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78" w:type="dxa"/>
            <w:tcBorders/>
            <w:shd w:fill="FFFFFF" w:val="clear"/>
            <w:vAlign w:val="bottom"/>
          </w:tcPr>
          <w:p>
            <w:pPr>
              <w:pStyle w:val="TableContents"/>
              <w:spacing w:before="0" w:after="283"/>
              <w:jc w:val="right"/>
              <w:rPr>
                <w:rFonts w:ascii="times" w:hAnsi="times"/>
                <w:sz w:val="14"/>
              </w:rPr>
            </w:pPr>
            <w:r>
              <w:rPr>
                <w:rFonts w:ascii="times" w:hAnsi="times"/>
                <w:sz w:val="14"/>
              </w:rPr>
              <w:t>150,068</w:t>
            </w:r>
          </w:p>
        </w:tc>
        <w:tc>
          <w:tcPr>
            <w:tcW w:w="194" w:type="dxa"/>
            <w:tcBorders/>
            <w:shd w:fill="FFFFFF"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8779"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r>
      <w:tr>
        <w:trPr/>
        <w:tc>
          <w:tcPr>
            <w:tcW w:w="258" w:type="dxa"/>
            <w:tcBorders/>
            <w:shd w:fill="FFFFFF" w:val="clear"/>
          </w:tcPr>
          <w:p>
            <w:pPr>
              <w:pStyle w:val="TableContents"/>
              <w:spacing w:before="0" w:after="283"/>
              <w:rPr/>
            </w:pPr>
            <w:r>
              <w:rPr/>
              <w:t> </w:t>
            </w:r>
          </w:p>
        </w:tc>
        <w:tc>
          <w:tcPr>
            <w:tcW w:w="8779"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expense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78" w:type="dxa"/>
            <w:tcBorders/>
            <w:shd w:fill="FFFFFF" w:val="clear"/>
            <w:vAlign w:val="bottom"/>
          </w:tcPr>
          <w:p>
            <w:pPr>
              <w:pStyle w:val="TableContents"/>
              <w:spacing w:before="0" w:after="283"/>
              <w:jc w:val="right"/>
              <w:rPr>
                <w:rFonts w:ascii="times" w:hAnsi="times"/>
                <w:sz w:val="14"/>
              </w:rPr>
            </w:pPr>
            <w:r>
              <w:rPr>
                <w:rFonts w:ascii="times" w:hAnsi="times"/>
                <w:sz w:val="14"/>
              </w:rPr>
              <w:t>(23</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CCEEFF" w:val="clear"/>
          </w:tcPr>
          <w:p>
            <w:pPr>
              <w:pStyle w:val="TableContents"/>
              <w:spacing w:before="0" w:after="283"/>
              <w:rPr/>
            </w:pPr>
            <w:r>
              <w:rPr/>
              <w:t> </w:t>
            </w:r>
          </w:p>
        </w:tc>
        <w:tc>
          <w:tcPr>
            <w:tcW w:w="8779"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rFonts w:ascii="times" w:hAnsi="times"/>
                <w:sz w:val="14"/>
              </w:rPr>
            </w:pPr>
            <w:r>
              <w:rPr>
                <w:rFonts w:ascii="times" w:hAnsi="times"/>
                <w:sz w:val="14"/>
              </w:rPr>
              <w:t>(11,581</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FFFFFF" w:val="clear"/>
          </w:tcPr>
          <w:p>
            <w:pPr>
              <w:pStyle w:val="TableContents"/>
              <w:spacing w:before="0" w:after="283"/>
              <w:rPr/>
            </w:pPr>
            <w:r>
              <w:rPr/>
              <w:t> </w:t>
            </w:r>
          </w:p>
        </w:tc>
        <w:tc>
          <w:tcPr>
            <w:tcW w:w="8779"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Loss on sale of available-for-sale securities</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78" w:type="dxa"/>
            <w:tcBorders/>
            <w:shd w:fill="FFFFFF" w:val="clear"/>
            <w:vAlign w:val="bottom"/>
          </w:tcPr>
          <w:p>
            <w:pPr>
              <w:pStyle w:val="TableContents"/>
              <w:spacing w:before="0" w:after="283"/>
              <w:jc w:val="right"/>
              <w:rPr>
                <w:rFonts w:ascii="times" w:hAnsi="times"/>
                <w:sz w:val="14"/>
              </w:rPr>
            </w:pPr>
            <w:r>
              <w:rPr>
                <w:rFonts w:ascii="times" w:hAnsi="times"/>
                <w:sz w:val="14"/>
              </w:rPr>
              <w:t>(6,731</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CCEEFF" w:val="clear"/>
          </w:tcPr>
          <w:p>
            <w:pPr>
              <w:pStyle w:val="TableContents"/>
              <w:spacing w:before="0" w:after="283"/>
              <w:rPr/>
            </w:pPr>
            <w:r>
              <w:rPr/>
              <w:t> </w:t>
            </w:r>
          </w:p>
        </w:tc>
        <w:tc>
          <w:tcPr>
            <w:tcW w:w="8779"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Loss on derivative financial instruments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rFonts w:ascii="times" w:hAnsi="times"/>
                <w:sz w:val="14"/>
              </w:rPr>
            </w:pPr>
            <w:r>
              <w:rPr>
                <w:rFonts w:ascii="times" w:hAnsi="times"/>
                <w:sz w:val="14"/>
              </w:rPr>
              <w:t>(4,321</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FFFFFF" w:val="clear"/>
          </w:tcPr>
          <w:p>
            <w:pPr>
              <w:pStyle w:val="TableContents"/>
              <w:spacing w:before="0" w:after="283"/>
              <w:rPr/>
            </w:pPr>
            <w:r>
              <w:rPr/>
              <w:t> </w:t>
            </w:r>
          </w:p>
        </w:tc>
        <w:tc>
          <w:tcPr>
            <w:tcW w:w="8779"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78" w:type="dxa"/>
            <w:tcBorders/>
            <w:shd w:fill="FFFFFF" w:val="clear"/>
            <w:vAlign w:val="bottom"/>
          </w:tcPr>
          <w:p>
            <w:pPr>
              <w:pStyle w:val="TableContents"/>
              <w:spacing w:before="0" w:after="283"/>
              <w:jc w:val="right"/>
              <w:rPr>
                <w:rFonts w:ascii="times" w:hAnsi="times"/>
                <w:sz w:val="14"/>
              </w:rPr>
            </w:pPr>
            <w:r>
              <w:rPr>
                <w:rFonts w:ascii="times" w:hAnsi="times"/>
                <w:sz w:val="14"/>
              </w:rPr>
              <w:t>(32,015</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CCEEFF" w:val="clear"/>
          </w:tcPr>
          <w:p>
            <w:pPr>
              <w:pStyle w:val="TableContents"/>
              <w:spacing w:before="0" w:after="283"/>
              <w:rPr/>
            </w:pPr>
            <w:r>
              <w:rPr/>
              <w:t> </w:t>
            </w:r>
          </w:p>
        </w:tc>
        <w:tc>
          <w:tcPr>
            <w:tcW w:w="8779"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Provincial capital tax</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rFonts w:ascii="times" w:hAnsi="times"/>
                <w:sz w:val="14"/>
              </w:rPr>
            </w:pPr>
            <w:r>
              <w:rPr>
                <w:rFonts w:ascii="times" w:hAnsi="times"/>
                <w:sz w:val="14"/>
              </w:rPr>
              <w:t>(4,001</w:t>
            </w:r>
          </w:p>
        </w:tc>
        <w:tc>
          <w:tcPr>
            <w:tcW w:w="19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FFFFFF" w:val="clear"/>
          </w:tcPr>
          <w:p>
            <w:pPr>
              <w:pStyle w:val="TableContents"/>
              <w:spacing w:before="0" w:after="283"/>
              <w:rPr/>
            </w:pPr>
            <w:r>
              <w:rPr/>
              <w:t> </w:t>
            </w:r>
          </w:p>
        </w:tc>
        <w:tc>
          <w:tcPr>
            <w:tcW w:w="8779"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194" w:type="dxa"/>
            <w:tcBorders/>
            <w:shd w:fill="FFFFFF" w:val="clear"/>
            <w:vAlign w:val="bottom"/>
          </w:tcPr>
          <w:p>
            <w:pPr>
              <w:pStyle w:val="TableContents"/>
              <w:spacing w:before="0" w:after="283"/>
              <w:rPr/>
            </w:pPr>
            <w:r>
              <w:rPr/>
              <w:t> </w:t>
            </w:r>
          </w:p>
        </w:tc>
        <w:tc>
          <w:tcPr>
            <w:tcW w:w="102" w:type="dxa"/>
            <w:tcBorders/>
            <w:shd w:fill="FFFFFF" w:val="clear"/>
            <w:vAlign w:val="bottom"/>
          </w:tcPr>
          <w:p>
            <w:pPr>
              <w:pStyle w:val="TableContents"/>
              <w:spacing w:before="0" w:after="283"/>
              <w:rPr/>
            </w:pPr>
            <w:r>
              <w:rPr/>
              <w:t> </w:t>
            </w:r>
          </w:p>
        </w:tc>
        <w:tc>
          <w:tcPr>
            <w:tcW w:w="678" w:type="dxa"/>
            <w:tcBorders/>
            <w:shd w:fill="FFFFFF" w:val="clear"/>
            <w:vAlign w:val="bottom"/>
          </w:tcPr>
          <w:p>
            <w:pPr>
              <w:pStyle w:val="TableContents"/>
              <w:spacing w:before="0" w:after="283"/>
              <w:jc w:val="right"/>
              <w:rPr>
                <w:rFonts w:ascii="times" w:hAnsi="times"/>
                <w:sz w:val="14"/>
              </w:rPr>
            </w:pPr>
            <w:r>
              <w:rPr>
                <w:rFonts w:ascii="times" w:hAnsi="times"/>
                <w:sz w:val="14"/>
              </w:rPr>
              <w:t>(14,220</w:t>
            </w:r>
          </w:p>
        </w:tc>
        <w:tc>
          <w:tcPr>
            <w:tcW w:w="19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58" w:type="dxa"/>
            <w:tcBorders/>
            <w:shd w:fill="auto" w:val="clear"/>
          </w:tcPr>
          <w:p>
            <w:pPr>
              <w:pStyle w:val="TableContents"/>
              <w:spacing w:before="0" w:after="283"/>
              <w:rPr/>
            </w:pPr>
            <w:r>
              <w:rPr/>
              <w:t> </w:t>
            </w:r>
          </w:p>
        </w:tc>
        <w:tc>
          <w:tcPr>
            <w:tcW w:w="229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r>
        <w:trPr/>
        <w:tc>
          <w:tcPr>
            <w:tcW w:w="258" w:type="dxa"/>
            <w:tcBorders/>
            <w:shd w:fill="CCEEFF" w:val="clear"/>
          </w:tcPr>
          <w:p>
            <w:pPr>
              <w:pStyle w:val="TableContents"/>
              <w:spacing w:before="0" w:after="283"/>
              <w:rPr/>
            </w:pPr>
            <w:r>
              <w:rPr/>
              <w:t> </w:t>
            </w:r>
          </w:p>
        </w:tc>
        <w:tc>
          <w:tcPr>
            <w:tcW w:w="8779" w:type="dxa"/>
            <w:gridSpan w:val="16"/>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Income before income and mining taxes</w:t>
            </w:r>
          </w:p>
        </w:tc>
        <w:tc>
          <w:tcPr>
            <w:tcW w:w="19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78" w:type="dxa"/>
            <w:tcBorders/>
            <w:shd w:fill="CCEEFF" w:val="clear"/>
            <w:vAlign w:val="bottom"/>
          </w:tcPr>
          <w:p>
            <w:pPr>
              <w:pStyle w:val="TableContents"/>
              <w:spacing w:before="0" w:after="283"/>
              <w:jc w:val="right"/>
              <w:rPr>
                <w:rFonts w:ascii="times" w:hAnsi="times"/>
                <w:sz w:val="14"/>
              </w:rPr>
            </w:pPr>
            <w:r>
              <w:rPr>
                <w:rFonts w:ascii="times" w:hAnsi="times"/>
                <w:sz w:val="14"/>
              </w:rPr>
              <w:t>77,176</w:t>
            </w:r>
          </w:p>
        </w:tc>
        <w:tc>
          <w:tcPr>
            <w:tcW w:w="194" w:type="dxa"/>
            <w:tcBorders/>
            <w:shd w:fill="CCEEFF" w:val="clear"/>
            <w:vAlign w:val="bottom"/>
          </w:tcPr>
          <w:p>
            <w:pPr>
              <w:pStyle w:val="TableContents"/>
              <w:spacing w:before="0" w:after="283"/>
              <w:rPr/>
            </w:pPr>
            <w:r>
              <w:rPr/>
              <w:t> </w:t>
            </w:r>
          </w:p>
        </w:tc>
      </w:tr>
      <w:tr>
        <w:trPr/>
        <w:tc>
          <w:tcPr>
            <w:tcW w:w="258" w:type="dxa"/>
            <w:tcBorders/>
            <w:shd w:fill="auto" w:val="clear"/>
          </w:tcPr>
          <w:p>
            <w:pPr>
              <w:pStyle w:val="TableContents"/>
              <w:spacing w:before="0" w:after="283"/>
              <w:rPr/>
            </w:pPr>
            <w:r>
              <w:rPr/>
              <w:t> </w:t>
            </w:r>
          </w:p>
        </w:tc>
        <w:tc>
          <w:tcPr>
            <w:tcW w:w="2297"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17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903"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78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4"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262"/>
        <w:gridCol w:w="2170"/>
        <w:gridCol w:w="197"/>
        <w:gridCol w:w="104"/>
        <w:gridCol w:w="869"/>
        <w:gridCol w:w="197"/>
        <w:gridCol w:w="103"/>
        <w:gridCol w:w="870"/>
        <w:gridCol w:w="196"/>
        <w:gridCol w:w="104"/>
        <w:gridCol w:w="1230"/>
        <w:gridCol w:w="197"/>
        <w:gridCol w:w="103"/>
        <w:gridCol w:w="1198"/>
        <w:gridCol w:w="196"/>
        <w:gridCol w:w="104"/>
        <w:gridCol w:w="919"/>
        <w:gridCol w:w="196"/>
        <w:gridCol w:w="104"/>
        <w:gridCol w:w="689"/>
        <w:gridCol w:w="197"/>
      </w:tblGrid>
      <w:tr>
        <w:trPr/>
        <w:tc>
          <w:tcPr>
            <w:tcW w:w="262" w:type="dxa"/>
            <w:tcBorders/>
            <w:shd w:fill="auto" w:val="clear"/>
            <w:vAlign w:val="center"/>
          </w:tcPr>
          <w:p>
            <w:pPr>
              <w:pStyle w:val="TableContents"/>
              <w:spacing w:before="0" w:after="283"/>
              <w:rPr>
                <w:sz w:val="4"/>
                <w:szCs w:val="4"/>
              </w:rPr>
            </w:pPr>
            <w:r>
              <w:rPr>
                <w:sz w:val="4"/>
                <w:szCs w:val="4"/>
              </w:rPr>
            </w:r>
          </w:p>
        </w:tc>
        <w:tc>
          <w:tcPr>
            <w:tcW w:w="2170"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69"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87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0"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1198"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919"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r>
      <w:tr>
        <w:trPr/>
        <w:tc>
          <w:tcPr>
            <w:tcW w:w="262" w:type="dxa"/>
            <w:tcBorders/>
            <w:shd w:fill="auto" w:val="clear"/>
            <w:vAlign w:val="bottom"/>
          </w:tcPr>
          <w:p>
            <w:pPr>
              <w:pStyle w:val="TableHeading"/>
              <w:suppressLineNumbers/>
              <w:spacing w:before="0" w:after="283"/>
              <w:jc w:val="center"/>
              <w:rPr/>
            </w:pPr>
            <w:r>
              <w:rPr/>
              <w:t> </w:t>
            </w:r>
          </w:p>
        </w:tc>
        <w:tc>
          <w:tcPr>
            <w:tcW w:w="2170"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Six Months Ended June 30, 2013 </w:t>
            </w:r>
          </w:p>
        </w:tc>
        <w:tc>
          <w:tcPr>
            <w:tcW w:w="197" w:type="dxa"/>
            <w:tcBorders/>
            <w:shd w:fill="auto" w:val="clear"/>
            <w:vAlign w:val="bottom"/>
          </w:tcPr>
          <w:p>
            <w:pPr>
              <w:pStyle w:val="TableHeading"/>
              <w:suppressLineNumbers/>
              <w:spacing w:before="0" w:after="283"/>
              <w:jc w:val="center"/>
              <w:rPr/>
            </w:pPr>
            <w:r>
              <w:rPr/>
              <w:t> </w:t>
            </w:r>
          </w:p>
        </w:tc>
        <w:tc>
          <w:tcPr>
            <w:tcW w:w="9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97" w:type="dxa"/>
            <w:tcBorders/>
            <w:shd w:fill="auto" w:val="clear"/>
            <w:vAlign w:val="bottom"/>
          </w:tcPr>
          <w:p>
            <w:pPr>
              <w:pStyle w:val="TableHeading"/>
              <w:suppressLineNumbers/>
              <w:spacing w:before="0" w:after="283"/>
              <w:jc w:val="center"/>
              <w:rPr/>
            </w:pPr>
            <w:r>
              <w:rPr/>
              <w:t> </w:t>
            </w:r>
          </w:p>
        </w:tc>
        <w:tc>
          <w:tcPr>
            <w:tcW w:w="9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96" w:type="dxa"/>
            <w:tcBorders/>
            <w:shd w:fill="auto" w:val="clear"/>
            <w:vAlign w:val="bottom"/>
          </w:tcPr>
          <w:p>
            <w:pPr>
              <w:pStyle w:val="TableHeading"/>
              <w:suppressLineNumbers/>
              <w:spacing w:before="0" w:after="283"/>
              <w:jc w:val="center"/>
              <w:rPr/>
            </w:pPr>
            <w:r>
              <w:rPr/>
              <w:t> </w:t>
            </w:r>
          </w:p>
        </w:tc>
        <w:tc>
          <w:tcPr>
            <w:tcW w:w="133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197" w:type="dxa"/>
            <w:tcBorders/>
            <w:shd w:fill="auto" w:val="clear"/>
            <w:vAlign w:val="bottom"/>
          </w:tcPr>
          <w:p>
            <w:pPr>
              <w:pStyle w:val="TableHeading"/>
              <w:suppressLineNumbers/>
              <w:spacing w:before="0" w:after="283"/>
              <w:jc w:val="center"/>
              <w:rPr/>
            </w:pPr>
            <w:r>
              <w:rPr/>
              <w:t> </w:t>
            </w:r>
          </w:p>
        </w:tc>
        <w:tc>
          <w:tcPr>
            <w:tcW w:w="130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196" w:type="dxa"/>
            <w:tcBorders/>
            <w:shd w:fill="auto" w:val="clear"/>
            <w:vAlign w:val="bottom"/>
          </w:tcPr>
          <w:p>
            <w:pPr>
              <w:pStyle w:val="TableHeading"/>
              <w:suppressLineNumbers/>
              <w:spacing w:before="0" w:after="283"/>
              <w:jc w:val="center"/>
              <w:rPr/>
            </w:pPr>
            <w:r>
              <w:rPr/>
              <w:t> </w:t>
            </w:r>
          </w:p>
        </w:tc>
        <w:tc>
          <w:tcPr>
            <w:tcW w:w="102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Gain (Loss) </w:t>
            </w:r>
          </w:p>
        </w:tc>
        <w:tc>
          <w:tcPr>
            <w:tcW w:w="196" w:type="dxa"/>
            <w:tcBorders/>
            <w:shd w:fill="auto" w:val="clear"/>
            <w:vAlign w:val="bottom"/>
          </w:tcPr>
          <w:p>
            <w:pPr>
              <w:pStyle w:val="TableHeading"/>
              <w:suppressLineNumbers/>
              <w:spacing w:before="0" w:after="283"/>
              <w:jc w:val="center"/>
              <w:rPr/>
            </w:pPr>
            <w:r>
              <w:rPr/>
              <w:t> </w:t>
            </w:r>
          </w:p>
        </w:tc>
        <w:tc>
          <w:tcPr>
            <w:tcW w:w="79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197" w:type="dxa"/>
            <w:tcBorders/>
            <w:shd w:fill="auto" w:val="clear"/>
            <w:vAlign w:val="bottom"/>
          </w:tcPr>
          <w:p>
            <w:pPr>
              <w:pStyle w:val="TableHeading"/>
              <w:suppressLineNumbers/>
              <w:spacing w:before="0" w:after="283"/>
              <w:jc w:val="center"/>
              <w:rPr/>
            </w:pPr>
            <w:r>
              <w:rPr/>
              <w:t> </w:t>
            </w:r>
          </w:p>
        </w:tc>
      </w:tr>
      <w:tr>
        <w:trPr/>
        <w:tc>
          <w:tcPr>
            <w:tcW w:w="262" w:type="dxa"/>
            <w:tcBorders/>
            <w:shd w:fill="CCEEFF" w:val="clear"/>
          </w:tcPr>
          <w:p>
            <w:pPr>
              <w:pStyle w:val="TableContents"/>
              <w:spacing w:before="0" w:after="283"/>
              <w:rPr/>
            </w:pPr>
            <w:r>
              <w:rPr/>
              <w:t> </w:t>
            </w:r>
          </w:p>
        </w:tc>
        <w:tc>
          <w:tcPr>
            <w:tcW w:w="217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9" w:type="dxa"/>
            <w:tcBorders/>
            <w:shd w:fill="CCEEFF" w:val="clear"/>
            <w:vAlign w:val="bottom"/>
          </w:tcPr>
          <w:p>
            <w:pPr>
              <w:pStyle w:val="TableContents"/>
              <w:spacing w:before="0" w:after="283"/>
              <w:jc w:val="right"/>
              <w:rPr>
                <w:rFonts w:ascii="times" w:hAnsi="times"/>
                <w:sz w:val="14"/>
              </w:rPr>
            </w:pPr>
            <w:r>
              <w:rPr>
                <w:rFonts w:ascii="times" w:hAnsi="times"/>
                <w:sz w:val="14"/>
              </w:rPr>
              <w:t>491,939</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70" w:type="dxa"/>
            <w:tcBorders/>
            <w:shd w:fill="CCEEFF" w:val="clear"/>
            <w:vAlign w:val="bottom"/>
          </w:tcPr>
          <w:p>
            <w:pPr>
              <w:pStyle w:val="TableContents"/>
              <w:spacing w:before="0" w:after="283"/>
              <w:jc w:val="right"/>
              <w:rPr>
                <w:rFonts w:ascii="times" w:hAnsi="times"/>
                <w:sz w:val="14"/>
              </w:rPr>
            </w:pPr>
            <w:r>
              <w:rPr>
                <w:rFonts w:ascii="times" w:hAnsi="times"/>
                <w:sz w:val="14"/>
              </w:rPr>
              <w:t>(336,956</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98" w:type="dxa"/>
            <w:tcBorders/>
            <w:shd w:fill="CCEEFF" w:val="clear"/>
            <w:vAlign w:val="bottom"/>
          </w:tcPr>
          <w:p>
            <w:pPr>
              <w:pStyle w:val="TableContents"/>
              <w:spacing w:before="0" w:after="283"/>
              <w:jc w:val="right"/>
              <w:rPr>
                <w:rFonts w:ascii="times" w:hAnsi="times"/>
                <w:sz w:val="14"/>
              </w:rPr>
            </w:pPr>
            <w:r>
              <w:rPr>
                <w:rFonts w:ascii="times" w:hAnsi="times"/>
                <w:sz w:val="14"/>
              </w:rPr>
              <w:t>(107,192</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9" w:type="dxa"/>
            <w:tcBorders/>
            <w:shd w:fill="CCEEFF" w:val="clear"/>
            <w:vAlign w:val="bottom"/>
          </w:tcPr>
          <w:p>
            <w:pPr>
              <w:pStyle w:val="TableContents"/>
              <w:spacing w:before="0" w:after="283"/>
              <w:jc w:val="right"/>
              <w:rPr>
                <w:rFonts w:ascii="times" w:hAnsi="times"/>
                <w:sz w:val="14"/>
              </w:rPr>
            </w:pPr>
            <w:r>
              <w:rPr>
                <w:rFonts w:ascii="times" w:hAnsi="times"/>
                <w:sz w:val="14"/>
              </w:rPr>
              <w:t>8,022</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55,813</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217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69" w:type="dxa"/>
            <w:tcBorders/>
            <w:shd w:fill="FFFFFF" w:val="clear"/>
            <w:vAlign w:val="bottom"/>
          </w:tcPr>
          <w:p>
            <w:pPr>
              <w:pStyle w:val="TableContents"/>
              <w:spacing w:before="0" w:after="283"/>
              <w:jc w:val="right"/>
              <w:rPr>
                <w:rFonts w:ascii="times" w:hAnsi="times"/>
                <w:sz w:val="14"/>
              </w:rPr>
            </w:pPr>
            <w:r>
              <w:rPr>
                <w:rFonts w:ascii="times" w:hAnsi="times"/>
                <w:sz w:val="14"/>
              </w:rPr>
              <w:t>174,722</w:t>
            </w:r>
          </w:p>
        </w:tc>
        <w:tc>
          <w:tcPr>
            <w:tcW w:w="197"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70" w:type="dxa"/>
            <w:tcBorders/>
            <w:shd w:fill="FFFFFF" w:val="clear"/>
            <w:vAlign w:val="bottom"/>
          </w:tcPr>
          <w:p>
            <w:pPr>
              <w:pStyle w:val="TableContents"/>
              <w:spacing w:before="0" w:after="283"/>
              <w:jc w:val="right"/>
              <w:rPr>
                <w:rFonts w:ascii="times" w:hAnsi="times"/>
                <w:sz w:val="14"/>
              </w:rPr>
            </w:pPr>
            <w:r>
              <w:rPr>
                <w:rFonts w:ascii="times" w:hAnsi="times"/>
                <w:sz w:val="14"/>
              </w:rPr>
              <w:t>(73,707</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12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1198" w:type="dxa"/>
            <w:tcBorders/>
            <w:shd w:fill="FFFFFF" w:val="clear"/>
            <w:vAlign w:val="bottom"/>
          </w:tcPr>
          <w:p>
            <w:pPr>
              <w:pStyle w:val="TableContents"/>
              <w:spacing w:before="0" w:after="283"/>
              <w:jc w:val="right"/>
              <w:rPr>
                <w:rFonts w:ascii="times" w:hAnsi="times"/>
                <w:sz w:val="14"/>
              </w:rPr>
            </w:pPr>
            <w:r>
              <w:rPr>
                <w:rFonts w:ascii="times" w:hAnsi="times"/>
                <w:sz w:val="14"/>
              </w:rPr>
              <w:t>(20,828</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14"/>
              </w:rPr>
            </w:pPr>
            <w:r>
              <w:rPr>
                <w:rFonts w:ascii="times" w:hAnsi="times"/>
                <w:sz w:val="14"/>
              </w:rPr>
              <w:t>(727</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79,460</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217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rFonts w:ascii="times" w:hAnsi="times"/>
                <w:sz w:val="14"/>
              </w:rPr>
            </w:pPr>
            <w:r>
              <w:rPr>
                <w:rFonts w:ascii="times" w:hAnsi="times"/>
                <w:sz w:val="14"/>
              </w:rPr>
              <w:t>90,185</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rFonts w:ascii="times" w:hAnsi="times"/>
                <w:sz w:val="14"/>
              </w:rPr>
            </w:pPr>
            <w:r>
              <w:rPr>
                <w:rFonts w:ascii="times" w:hAnsi="times"/>
                <w:sz w:val="14"/>
              </w:rPr>
              <w:t>(45,341</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rFonts w:ascii="times" w:hAnsi="times"/>
                <w:sz w:val="14"/>
              </w:rPr>
            </w:pPr>
            <w:r>
              <w:rPr>
                <w:rFonts w:ascii="times" w:hAnsi="times"/>
                <w:sz w:val="14"/>
              </w:rPr>
              <w:t>(12,179</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14"/>
              </w:rPr>
            </w:pPr>
            <w:r>
              <w:rPr>
                <w:rFonts w:ascii="times" w:hAnsi="times"/>
                <w:sz w:val="14"/>
              </w:rPr>
              <w:t>3,423</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36,088</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217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6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1230" w:type="dxa"/>
            <w:tcBorders/>
            <w:shd w:fill="FFFFFF" w:val="clear"/>
            <w:vAlign w:val="bottom"/>
          </w:tcPr>
          <w:p>
            <w:pPr>
              <w:pStyle w:val="TableContents"/>
              <w:spacing w:before="0" w:after="283"/>
              <w:jc w:val="right"/>
              <w:rPr>
                <w:rFonts w:ascii="times" w:hAnsi="times"/>
                <w:sz w:val="14"/>
              </w:rPr>
            </w:pPr>
            <w:r>
              <w:rPr>
                <w:rFonts w:ascii="times" w:hAnsi="times"/>
                <w:sz w:val="14"/>
              </w:rPr>
              <w:t>(19,897</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FFFFFF" w:val="clear"/>
            <w:vAlign w:val="bottom"/>
          </w:tcPr>
          <w:p>
            <w:pPr>
              <w:pStyle w:val="TableContents"/>
              <w:spacing w:before="0" w:after="283"/>
              <w:rPr/>
            </w:pPr>
            <w:r>
              <w:rPr/>
              <w:t> </w:t>
            </w:r>
          </w:p>
        </w:tc>
        <w:tc>
          <w:tcPr>
            <w:tcW w:w="119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14"/>
              </w:rPr>
            </w:pPr>
            <w:r>
              <w:rPr>
                <w:rFonts w:ascii="times" w:hAnsi="times"/>
                <w:sz w:val="14"/>
              </w:rPr>
              <w:t>(3,256</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(23,153</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130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02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2170" w:type="dxa"/>
            <w:tcBorders/>
            <w:shd w:fill="CCEEFF" w:val="clear"/>
            <w:vAlign w:val="bottom"/>
          </w:tcPr>
          <w:p>
            <w:pPr>
              <w:pStyle w:val="TableContents"/>
              <w:spacing w:before="0" w:after="283"/>
              <w:ind w:left="160" w:right="0" w:hanging="160"/>
              <w:rPr>
                <w:sz w:val="4"/>
                <w:szCs w:val="4"/>
              </w:rPr>
            </w:pPr>
            <w:r>
              <w:rPr>
                <w:sz w:val="4"/>
                <w:szCs w:val="4"/>
              </w:rPr>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9" w:type="dxa"/>
            <w:tcBorders/>
            <w:shd w:fill="CCEEFF" w:val="clear"/>
            <w:vAlign w:val="bottom"/>
          </w:tcPr>
          <w:p>
            <w:pPr>
              <w:pStyle w:val="TableContents"/>
              <w:spacing w:before="0" w:after="283"/>
              <w:jc w:val="right"/>
              <w:rPr>
                <w:rFonts w:ascii="times" w:hAnsi="times"/>
                <w:sz w:val="14"/>
              </w:rPr>
            </w:pPr>
            <w:r>
              <w:rPr>
                <w:rFonts w:ascii="times" w:hAnsi="times"/>
                <w:sz w:val="14"/>
              </w:rPr>
              <w:t>756,846</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70" w:type="dxa"/>
            <w:tcBorders/>
            <w:shd w:fill="CCEEFF" w:val="clear"/>
            <w:vAlign w:val="bottom"/>
          </w:tcPr>
          <w:p>
            <w:pPr>
              <w:pStyle w:val="TableContents"/>
              <w:spacing w:before="0" w:after="283"/>
              <w:jc w:val="right"/>
              <w:rPr>
                <w:rFonts w:ascii="times" w:hAnsi="times"/>
                <w:sz w:val="14"/>
              </w:rPr>
            </w:pPr>
            <w:r>
              <w:rPr>
                <w:rFonts w:ascii="times" w:hAnsi="times"/>
                <w:sz w:val="14"/>
              </w:rPr>
              <w:t>(456,004</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30" w:type="dxa"/>
            <w:tcBorders/>
            <w:shd w:fill="CCEEFF" w:val="clear"/>
            <w:vAlign w:val="bottom"/>
          </w:tcPr>
          <w:p>
            <w:pPr>
              <w:pStyle w:val="TableContents"/>
              <w:spacing w:before="0" w:after="283"/>
              <w:jc w:val="right"/>
              <w:rPr>
                <w:rFonts w:ascii="times" w:hAnsi="times"/>
                <w:sz w:val="14"/>
              </w:rPr>
            </w:pPr>
            <w:r>
              <w:rPr>
                <w:rFonts w:ascii="times" w:hAnsi="times"/>
                <w:sz w:val="14"/>
              </w:rPr>
              <w:t>(19,897</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98" w:type="dxa"/>
            <w:tcBorders/>
            <w:shd w:fill="CCEEFF" w:val="clear"/>
            <w:vAlign w:val="bottom"/>
          </w:tcPr>
          <w:p>
            <w:pPr>
              <w:pStyle w:val="TableContents"/>
              <w:spacing w:before="0" w:after="283"/>
              <w:jc w:val="right"/>
              <w:rPr>
                <w:rFonts w:ascii="times" w:hAnsi="times"/>
                <w:sz w:val="14"/>
              </w:rPr>
            </w:pPr>
            <w:r>
              <w:rPr>
                <w:rFonts w:ascii="times" w:hAnsi="times"/>
                <w:sz w:val="14"/>
              </w:rPr>
              <w:t>(140,199</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9" w:type="dxa"/>
            <w:tcBorders/>
            <w:shd w:fill="CCEEFF" w:val="clear"/>
            <w:vAlign w:val="bottom"/>
          </w:tcPr>
          <w:p>
            <w:pPr>
              <w:pStyle w:val="TableContents"/>
              <w:spacing w:before="0" w:after="283"/>
              <w:jc w:val="right"/>
              <w:rPr>
                <w:rFonts w:ascii="times" w:hAnsi="times"/>
                <w:sz w:val="14"/>
              </w:rPr>
            </w:pPr>
            <w:r>
              <w:rPr>
                <w:rFonts w:ascii="times" w:hAnsi="times"/>
                <w:sz w:val="14"/>
              </w:rPr>
              <w:t>7,462</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148,208</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33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130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02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148,208</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expense</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(3,946</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(28,308</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Gain on derivative financial instruments</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1,046</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(65,705</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Provincial capital tax</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1,504</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(27,651</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160" w:right="0" w:hanging="160"/>
              <w:rPr>
                <w:rFonts w:ascii="times" w:hAnsi="times"/>
                <w:b/>
                <w:sz w:val="14"/>
              </w:rPr>
            </w:pPr>
            <w:r>
              <w:rPr>
                <w:rFonts w:ascii="times" w:hAnsi="times"/>
                <w:b/>
                <w:sz w:val="14"/>
              </w:rPr>
              <w:t>Income before income and mining taxes</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25,148</w:t>
            </w:r>
          </w:p>
        </w:tc>
        <w:tc>
          <w:tcPr>
            <w:tcW w:w="197" w:type="dxa"/>
            <w:tcBorders/>
            <w:shd w:fill="FFFF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33</w:t>
      </w:r>
    </w:p>
    <w:p>
      <w:pPr>
        <w:pStyle w:val="HorizontalLine"/>
        <w:pBdr>
          <w:bottom w:val="single" w:sz="20" w:space="0" w:color="808080"/>
        </w:pBdr>
        <w:rPr/>
      </w:pPr>
      <w:r>
        <w:rPr/>
      </w:r>
      <w:r>
        <w:br w:type="page"/>
      </w:r>
    </w:p>
    <w:p>
      <w:pPr>
        <w:pStyle w:val="TextBody"/>
        <w:jc w:val="center"/>
        <w:rPr>
          <w:rFonts w:ascii="times" w:hAnsi="times"/>
          <w:b/>
          <w:sz w:val="20"/>
        </w:rPr>
      </w:pPr>
      <w:bookmarkStart w:id="60" w:name="page_fi72201_1_34"/>
      <w:bookmarkEnd w:id="60"/>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12.   SEGMENTED INFORMATION (Continued) </w:t>
      </w:r>
    </w:p>
    <w:p>
      <w:pPr>
        <w:pStyle w:val="TextBody"/>
        <w:rPr/>
      </w:pPr>
      <w:r>
        <w:rPr/>
        <w:t> </w:t>
      </w:r>
    </w:p>
    <w:tbl>
      <w:tblPr>
        <w:tblW w:w="5000" w:type="pct"/>
        <w:jc w:val="center"/>
        <w:tblInd w:w="0" w:type="dxa"/>
        <w:tblCellMar>
          <w:top w:w="0" w:type="dxa"/>
          <w:left w:w="0" w:type="dxa"/>
          <w:bottom w:w="0" w:type="dxa"/>
          <w:right w:w="0" w:type="dxa"/>
        </w:tblCellMar>
      </w:tblPr>
      <w:tblGrid>
        <w:gridCol w:w="262"/>
        <w:gridCol w:w="2170"/>
        <w:gridCol w:w="197"/>
        <w:gridCol w:w="104"/>
        <w:gridCol w:w="869"/>
        <w:gridCol w:w="197"/>
        <w:gridCol w:w="103"/>
        <w:gridCol w:w="870"/>
        <w:gridCol w:w="196"/>
        <w:gridCol w:w="104"/>
        <w:gridCol w:w="1230"/>
        <w:gridCol w:w="197"/>
        <w:gridCol w:w="103"/>
        <w:gridCol w:w="1198"/>
        <w:gridCol w:w="196"/>
        <w:gridCol w:w="104"/>
        <w:gridCol w:w="919"/>
        <w:gridCol w:w="196"/>
        <w:gridCol w:w="104"/>
        <w:gridCol w:w="689"/>
        <w:gridCol w:w="197"/>
      </w:tblGrid>
      <w:tr>
        <w:trPr/>
        <w:tc>
          <w:tcPr>
            <w:tcW w:w="262" w:type="dxa"/>
            <w:tcBorders/>
            <w:shd w:fill="auto" w:val="clear"/>
            <w:vAlign w:val="center"/>
          </w:tcPr>
          <w:p>
            <w:pPr>
              <w:pStyle w:val="TableContents"/>
              <w:spacing w:before="0" w:after="283"/>
              <w:rPr>
                <w:sz w:val="4"/>
                <w:szCs w:val="4"/>
              </w:rPr>
            </w:pPr>
            <w:r>
              <w:rPr>
                <w:sz w:val="4"/>
                <w:szCs w:val="4"/>
              </w:rPr>
            </w:r>
          </w:p>
        </w:tc>
        <w:tc>
          <w:tcPr>
            <w:tcW w:w="2170"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69"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87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1230"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center"/>
          </w:tcPr>
          <w:p>
            <w:pPr>
              <w:pStyle w:val="TableContents"/>
              <w:spacing w:before="0" w:after="283"/>
              <w:rPr>
                <w:sz w:val="4"/>
                <w:szCs w:val="4"/>
              </w:rPr>
            </w:pPr>
            <w:r>
              <w:rPr>
                <w:sz w:val="4"/>
                <w:szCs w:val="4"/>
              </w:rPr>
            </w:r>
          </w:p>
        </w:tc>
        <w:tc>
          <w:tcPr>
            <w:tcW w:w="1198"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919"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r>
      <w:tr>
        <w:trPr/>
        <w:tc>
          <w:tcPr>
            <w:tcW w:w="262" w:type="dxa"/>
            <w:tcBorders/>
            <w:shd w:fill="auto" w:val="clear"/>
            <w:vAlign w:val="bottom"/>
          </w:tcPr>
          <w:p>
            <w:pPr>
              <w:pStyle w:val="TableHeading"/>
              <w:suppressLineNumbers/>
              <w:spacing w:before="0" w:after="283"/>
              <w:jc w:val="center"/>
              <w:rPr/>
            </w:pPr>
            <w:r>
              <w:rPr/>
              <w:t> </w:t>
            </w:r>
          </w:p>
        </w:tc>
        <w:tc>
          <w:tcPr>
            <w:tcW w:w="2170"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Six Months Ended June 30, 2012 </w:t>
            </w:r>
          </w:p>
        </w:tc>
        <w:tc>
          <w:tcPr>
            <w:tcW w:w="197" w:type="dxa"/>
            <w:tcBorders/>
            <w:shd w:fill="auto" w:val="clear"/>
            <w:vAlign w:val="bottom"/>
          </w:tcPr>
          <w:p>
            <w:pPr>
              <w:pStyle w:val="TableHeading"/>
              <w:suppressLineNumbers/>
              <w:spacing w:before="0" w:after="283"/>
              <w:jc w:val="center"/>
              <w:rPr/>
            </w:pPr>
            <w:r>
              <w:rPr/>
              <w:t> </w:t>
            </w:r>
          </w:p>
        </w:tc>
        <w:tc>
          <w:tcPr>
            <w:tcW w:w="9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197" w:type="dxa"/>
            <w:tcBorders/>
            <w:shd w:fill="auto" w:val="clear"/>
            <w:vAlign w:val="bottom"/>
          </w:tcPr>
          <w:p>
            <w:pPr>
              <w:pStyle w:val="TableHeading"/>
              <w:suppressLineNumbers/>
              <w:spacing w:before="0" w:after="283"/>
              <w:jc w:val="center"/>
              <w:rPr/>
            </w:pPr>
            <w:r>
              <w:rPr/>
              <w:t> </w:t>
            </w:r>
          </w:p>
        </w:tc>
        <w:tc>
          <w:tcPr>
            <w:tcW w:w="9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196" w:type="dxa"/>
            <w:tcBorders/>
            <w:shd w:fill="auto" w:val="clear"/>
            <w:vAlign w:val="bottom"/>
          </w:tcPr>
          <w:p>
            <w:pPr>
              <w:pStyle w:val="TableHeading"/>
              <w:suppressLineNumbers/>
              <w:spacing w:before="0" w:after="283"/>
              <w:jc w:val="center"/>
              <w:rPr/>
            </w:pPr>
            <w:r>
              <w:rPr/>
              <w:t> </w:t>
            </w:r>
          </w:p>
        </w:tc>
        <w:tc>
          <w:tcPr>
            <w:tcW w:w="133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197" w:type="dxa"/>
            <w:tcBorders/>
            <w:shd w:fill="auto" w:val="clear"/>
            <w:vAlign w:val="bottom"/>
          </w:tcPr>
          <w:p>
            <w:pPr>
              <w:pStyle w:val="TableHeading"/>
              <w:suppressLineNumbers/>
              <w:spacing w:before="0" w:after="283"/>
              <w:jc w:val="center"/>
              <w:rPr/>
            </w:pPr>
            <w:r>
              <w:rPr/>
              <w:t> </w:t>
            </w:r>
          </w:p>
        </w:tc>
        <w:tc>
          <w:tcPr>
            <w:tcW w:w="130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196" w:type="dxa"/>
            <w:tcBorders/>
            <w:shd w:fill="auto" w:val="clear"/>
            <w:vAlign w:val="bottom"/>
          </w:tcPr>
          <w:p>
            <w:pPr>
              <w:pStyle w:val="TableHeading"/>
              <w:suppressLineNumbers/>
              <w:spacing w:before="0" w:after="283"/>
              <w:jc w:val="center"/>
              <w:rPr/>
            </w:pPr>
            <w:r>
              <w:rPr/>
              <w:t> </w:t>
            </w:r>
          </w:p>
        </w:tc>
        <w:tc>
          <w:tcPr>
            <w:tcW w:w="102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(Loss) Gain </w:t>
            </w:r>
          </w:p>
        </w:tc>
        <w:tc>
          <w:tcPr>
            <w:tcW w:w="196" w:type="dxa"/>
            <w:tcBorders/>
            <w:shd w:fill="auto" w:val="clear"/>
            <w:vAlign w:val="bottom"/>
          </w:tcPr>
          <w:p>
            <w:pPr>
              <w:pStyle w:val="TableHeading"/>
              <w:suppressLineNumbers/>
              <w:spacing w:before="0" w:after="283"/>
              <w:jc w:val="center"/>
              <w:rPr/>
            </w:pPr>
            <w:r>
              <w:rPr/>
              <w:t> </w:t>
            </w:r>
          </w:p>
        </w:tc>
        <w:tc>
          <w:tcPr>
            <w:tcW w:w="79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197" w:type="dxa"/>
            <w:tcBorders/>
            <w:shd w:fill="auto" w:val="clear"/>
            <w:vAlign w:val="bottom"/>
          </w:tcPr>
          <w:p>
            <w:pPr>
              <w:pStyle w:val="TableHeading"/>
              <w:suppressLineNumbers/>
              <w:spacing w:before="0" w:after="283"/>
              <w:jc w:val="center"/>
              <w:rPr/>
            </w:pPr>
            <w:r>
              <w:rPr/>
              <w:t> </w:t>
            </w:r>
          </w:p>
        </w:tc>
      </w:tr>
      <w:tr>
        <w:trPr/>
        <w:tc>
          <w:tcPr>
            <w:tcW w:w="262" w:type="dxa"/>
            <w:tcBorders/>
            <w:shd w:fill="CCEEFF" w:val="clear"/>
          </w:tcPr>
          <w:p>
            <w:pPr>
              <w:pStyle w:val="TableContents"/>
              <w:spacing w:before="0" w:after="283"/>
              <w:rPr/>
            </w:pPr>
            <w:r>
              <w:rPr/>
              <w:t> </w:t>
            </w:r>
          </w:p>
        </w:tc>
        <w:tc>
          <w:tcPr>
            <w:tcW w:w="217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9" w:type="dxa"/>
            <w:tcBorders/>
            <w:shd w:fill="CCEEFF" w:val="clear"/>
            <w:vAlign w:val="bottom"/>
          </w:tcPr>
          <w:p>
            <w:pPr>
              <w:pStyle w:val="TableContents"/>
              <w:spacing w:before="0" w:after="283"/>
              <w:jc w:val="right"/>
              <w:rPr>
                <w:rFonts w:ascii="times" w:hAnsi="times"/>
                <w:sz w:val="14"/>
              </w:rPr>
            </w:pPr>
            <w:r>
              <w:rPr>
                <w:rFonts w:ascii="times" w:hAnsi="times"/>
                <w:sz w:val="14"/>
              </w:rPr>
              <w:t>577,410</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70" w:type="dxa"/>
            <w:tcBorders/>
            <w:shd w:fill="CCEEFF" w:val="clear"/>
            <w:vAlign w:val="bottom"/>
          </w:tcPr>
          <w:p>
            <w:pPr>
              <w:pStyle w:val="TableContents"/>
              <w:spacing w:before="0" w:after="283"/>
              <w:jc w:val="right"/>
              <w:rPr>
                <w:rFonts w:ascii="times" w:hAnsi="times"/>
                <w:sz w:val="14"/>
              </w:rPr>
            </w:pPr>
            <w:r>
              <w:rPr>
                <w:rFonts w:ascii="times" w:hAnsi="times"/>
                <w:sz w:val="14"/>
              </w:rPr>
              <w:t>(309,416</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30" w:type="dxa"/>
            <w:tcBorders/>
            <w:shd w:fill="CCEEFF" w:val="clear"/>
            <w:vAlign w:val="bottom"/>
          </w:tcPr>
          <w:p>
            <w:pPr>
              <w:pStyle w:val="TableContents"/>
              <w:spacing w:before="0" w:after="283"/>
              <w:jc w:val="right"/>
              <w:rPr>
                <w:rFonts w:ascii="times" w:hAnsi="times"/>
                <w:sz w:val="14"/>
              </w:rPr>
            </w:pPr>
            <w:r>
              <w:rPr>
                <w:rFonts w:ascii="times" w:hAnsi="times"/>
                <w:sz w:val="14"/>
              </w:rPr>
              <w:t>(23,963</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98" w:type="dxa"/>
            <w:tcBorders/>
            <w:shd w:fill="CCEEFF" w:val="clear"/>
            <w:vAlign w:val="bottom"/>
          </w:tcPr>
          <w:p>
            <w:pPr>
              <w:pStyle w:val="TableContents"/>
              <w:spacing w:before="0" w:after="283"/>
              <w:jc w:val="right"/>
              <w:rPr>
                <w:rFonts w:ascii="times" w:hAnsi="times"/>
                <w:sz w:val="14"/>
              </w:rPr>
            </w:pPr>
            <w:r>
              <w:rPr>
                <w:rFonts w:ascii="times" w:hAnsi="times"/>
                <w:sz w:val="14"/>
              </w:rPr>
              <w:t>(95,904</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9" w:type="dxa"/>
            <w:tcBorders/>
            <w:shd w:fill="CCEEFF" w:val="clear"/>
            <w:vAlign w:val="bottom"/>
          </w:tcPr>
          <w:p>
            <w:pPr>
              <w:pStyle w:val="TableContents"/>
              <w:spacing w:before="0" w:after="283"/>
              <w:jc w:val="right"/>
              <w:rPr>
                <w:rFonts w:ascii="times" w:hAnsi="times"/>
                <w:sz w:val="14"/>
              </w:rPr>
            </w:pPr>
            <w:r>
              <w:rPr>
                <w:rFonts w:ascii="times" w:hAnsi="times"/>
                <w:sz w:val="14"/>
              </w:rPr>
              <w:t>(1,667</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146,460</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217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69" w:type="dxa"/>
            <w:tcBorders/>
            <w:shd w:fill="FFFFFF" w:val="clear"/>
            <w:vAlign w:val="bottom"/>
          </w:tcPr>
          <w:p>
            <w:pPr>
              <w:pStyle w:val="TableContents"/>
              <w:spacing w:before="0" w:after="283"/>
              <w:jc w:val="right"/>
              <w:rPr>
                <w:rFonts w:ascii="times" w:hAnsi="times"/>
                <w:sz w:val="14"/>
              </w:rPr>
            </w:pPr>
            <w:r>
              <w:rPr>
                <w:rFonts w:ascii="times" w:hAnsi="times"/>
                <w:sz w:val="14"/>
              </w:rPr>
              <w:t>225,002</w:t>
            </w:r>
          </w:p>
        </w:tc>
        <w:tc>
          <w:tcPr>
            <w:tcW w:w="197"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70" w:type="dxa"/>
            <w:tcBorders/>
            <w:shd w:fill="FFFFFF" w:val="clear"/>
            <w:vAlign w:val="bottom"/>
          </w:tcPr>
          <w:p>
            <w:pPr>
              <w:pStyle w:val="TableContents"/>
              <w:spacing w:before="0" w:after="283"/>
              <w:jc w:val="right"/>
              <w:rPr>
                <w:rFonts w:ascii="times" w:hAnsi="times"/>
                <w:sz w:val="14"/>
              </w:rPr>
            </w:pPr>
            <w:r>
              <w:rPr>
                <w:rFonts w:ascii="times" w:hAnsi="times"/>
                <w:sz w:val="14"/>
              </w:rPr>
              <w:t>(75,980</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123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1198" w:type="dxa"/>
            <w:tcBorders/>
            <w:shd w:fill="FFFFFF" w:val="clear"/>
            <w:vAlign w:val="bottom"/>
          </w:tcPr>
          <w:p>
            <w:pPr>
              <w:pStyle w:val="TableContents"/>
              <w:spacing w:before="0" w:after="283"/>
              <w:jc w:val="right"/>
              <w:rPr>
                <w:rFonts w:ascii="times" w:hAnsi="times"/>
                <w:sz w:val="14"/>
              </w:rPr>
            </w:pPr>
            <w:r>
              <w:rPr>
                <w:rFonts w:ascii="times" w:hAnsi="times"/>
                <w:sz w:val="14"/>
              </w:rPr>
              <w:t>(20,508</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14"/>
              </w:rPr>
            </w:pPr>
            <w:r>
              <w:rPr>
                <w:rFonts w:ascii="times" w:hAnsi="times"/>
                <w:sz w:val="14"/>
              </w:rPr>
              <w:t>(1,791</w:t>
            </w:r>
          </w:p>
        </w:tc>
        <w:tc>
          <w:tcPr>
            <w:tcW w:w="196"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126,723</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2170"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rFonts w:ascii="times" w:hAnsi="times"/>
                <w:sz w:val="14"/>
              </w:rPr>
            </w:pPr>
            <w:r>
              <w:rPr>
                <w:rFonts w:ascii="times" w:hAnsi="times"/>
                <w:sz w:val="14"/>
              </w:rPr>
              <w:t>130,083</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70" w:type="dxa"/>
            <w:tcBorders/>
            <w:shd w:fill="CCEEFF" w:val="clear"/>
            <w:vAlign w:val="bottom"/>
          </w:tcPr>
          <w:p>
            <w:pPr>
              <w:pStyle w:val="TableContents"/>
              <w:spacing w:before="0" w:after="283"/>
              <w:jc w:val="right"/>
              <w:rPr>
                <w:rFonts w:ascii="times" w:hAnsi="times"/>
                <w:sz w:val="14"/>
              </w:rPr>
            </w:pPr>
            <w:r>
              <w:rPr>
                <w:rFonts w:ascii="times" w:hAnsi="times"/>
                <w:sz w:val="14"/>
              </w:rPr>
              <w:t>(49,545</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198" w:type="dxa"/>
            <w:tcBorders/>
            <w:shd w:fill="CCEEFF" w:val="clear"/>
            <w:vAlign w:val="bottom"/>
          </w:tcPr>
          <w:p>
            <w:pPr>
              <w:pStyle w:val="TableContents"/>
              <w:spacing w:before="0" w:after="283"/>
              <w:jc w:val="right"/>
              <w:rPr>
                <w:rFonts w:ascii="times" w:hAnsi="times"/>
                <w:sz w:val="14"/>
              </w:rPr>
            </w:pPr>
            <w:r>
              <w:rPr>
                <w:rFonts w:ascii="times" w:hAnsi="times"/>
                <w:sz w:val="14"/>
              </w:rPr>
              <w:t>(14,451</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w:hAnsi="times"/>
                <w:sz w:val="14"/>
              </w:rPr>
            </w:pPr>
            <w:r>
              <w:rPr>
                <w:rFonts w:ascii="times" w:hAnsi="times"/>
                <w:sz w:val="14"/>
              </w:rPr>
              <w:t>(1,216</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64,871</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2170"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6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c>
          <w:tcPr>
            <w:tcW w:w="103" w:type="dxa"/>
            <w:tcBorders/>
            <w:shd w:fill="FFFFFF" w:val="clear"/>
            <w:vAlign w:val="bottom"/>
          </w:tcPr>
          <w:p>
            <w:pPr>
              <w:pStyle w:val="TableContents"/>
              <w:spacing w:before="0" w:after="283"/>
              <w:rPr/>
            </w:pPr>
            <w:r>
              <w:rPr/>
              <w:t> </w:t>
            </w:r>
          </w:p>
        </w:tc>
        <w:tc>
          <w:tcPr>
            <w:tcW w:w="8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1230" w:type="dxa"/>
            <w:tcBorders/>
            <w:shd w:fill="FFFFFF" w:val="clear"/>
            <w:vAlign w:val="bottom"/>
          </w:tcPr>
          <w:p>
            <w:pPr>
              <w:pStyle w:val="TableContents"/>
              <w:spacing w:before="0" w:after="283"/>
              <w:jc w:val="right"/>
              <w:rPr>
                <w:rFonts w:ascii="times" w:hAnsi="times"/>
                <w:sz w:val="14"/>
              </w:rPr>
            </w:pPr>
            <w:r>
              <w:rPr>
                <w:rFonts w:ascii="times" w:hAnsi="times"/>
                <w:sz w:val="14"/>
              </w:rPr>
              <w:t>(33,431</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FFFFFF" w:val="clear"/>
            <w:vAlign w:val="bottom"/>
          </w:tcPr>
          <w:p>
            <w:pPr>
              <w:pStyle w:val="TableContents"/>
              <w:spacing w:before="0" w:after="283"/>
              <w:rPr/>
            </w:pPr>
            <w:r>
              <w:rPr/>
              <w:t> </w:t>
            </w:r>
          </w:p>
        </w:tc>
        <w:tc>
          <w:tcPr>
            <w:tcW w:w="119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919" w:type="dxa"/>
            <w:tcBorders/>
            <w:shd w:fill="FFFFFF" w:val="clear"/>
            <w:vAlign w:val="bottom"/>
          </w:tcPr>
          <w:p>
            <w:pPr>
              <w:pStyle w:val="TableContents"/>
              <w:spacing w:before="0" w:after="283"/>
              <w:jc w:val="right"/>
              <w:rPr>
                <w:rFonts w:ascii="times" w:hAnsi="times"/>
                <w:sz w:val="14"/>
              </w:rPr>
            </w:pPr>
            <w:r>
              <w:rPr>
                <w:rFonts w:ascii="times" w:hAnsi="times"/>
                <w:sz w:val="14"/>
              </w:rPr>
              <w:t>166</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(33,265</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130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02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2170" w:type="dxa"/>
            <w:tcBorders/>
            <w:shd w:fill="CCEEFF" w:val="clear"/>
            <w:vAlign w:val="bottom"/>
          </w:tcPr>
          <w:p>
            <w:pPr>
              <w:pStyle w:val="TableContents"/>
              <w:spacing w:before="0" w:after="283"/>
              <w:ind w:left="160" w:right="0" w:hanging="160"/>
              <w:rPr>
                <w:sz w:val="4"/>
                <w:szCs w:val="4"/>
              </w:rPr>
            </w:pPr>
            <w:r>
              <w:rPr>
                <w:sz w:val="4"/>
                <w:szCs w:val="4"/>
              </w:rPr>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9" w:type="dxa"/>
            <w:tcBorders/>
            <w:shd w:fill="CCEEFF" w:val="clear"/>
            <w:vAlign w:val="bottom"/>
          </w:tcPr>
          <w:p>
            <w:pPr>
              <w:pStyle w:val="TableContents"/>
              <w:spacing w:before="0" w:after="283"/>
              <w:jc w:val="right"/>
              <w:rPr>
                <w:rFonts w:ascii="times" w:hAnsi="times"/>
                <w:sz w:val="14"/>
              </w:rPr>
            </w:pPr>
            <w:r>
              <w:rPr>
                <w:rFonts w:ascii="times" w:hAnsi="times"/>
                <w:sz w:val="14"/>
              </w:rPr>
              <w:t>932,495</w:t>
            </w:r>
          </w:p>
        </w:tc>
        <w:tc>
          <w:tcPr>
            <w:tcW w:w="197"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70" w:type="dxa"/>
            <w:tcBorders/>
            <w:shd w:fill="CCEEFF" w:val="clear"/>
            <w:vAlign w:val="bottom"/>
          </w:tcPr>
          <w:p>
            <w:pPr>
              <w:pStyle w:val="TableContents"/>
              <w:spacing w:before="0" w:after="283"/>
              <w:jc w:val="right"/>
              <w:rPr>
                <w:rFonts w:ascii="times" w:hAnsi="times"/>
                <w:sz w:val="14"/>
              </w:rPr>
            </w:pPr>
            <w:r>
              <w:rPr>
                <w:rFonts w:ascii="times" w:hAnsi="times"/>
                <w:sz w:val="14"/>
              </w:rPr>
              <w:t>(434,941</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30" w:type="dxa"/>
            <w:tcBorders/>
            <w:shd w:fill="CCEEFF" w:val="clear"/>
            <w:vAlign w:val="bottom"/>
          </w:tcPr>
          <w:p>
            <w:pPr>
              <w:pStyle w:val="TableContents"/>
              <w:spacing w:before="0" w:after="283"/>
              <w:jc w:val="right"/>
              <w:rPr>
                <w:rFonts w:ascii="times" w:hAnsi="times"/>
                <w:sz w:val="14"/>
              </w:rPr>
            </w:pPr>
            <w:r>
              <w:rPr>
                <w:rFonts w:ascii="times" w:hAnsi="times"/>
                <w:sz w:val="14"/>
              </w:rPr>
              <w:t>(57,394</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198" w:type="dxa"/>
            <w:tcBorders/>
            <w:shd w:fill="CCEEFF" w:val="clear"/>
            <w:vAlign w:val="bottom"/>
          </w:tcPr>
          <w:p>
            <w:pPr>
              <w:pStyle w:val="TableContents"/>
              <w:spacing w:before="0" w:after="283"/>
              <w:jc w:val="right"/>
              <w:rPr>
                <w:rFonts w:ascii="times" w:hAnsi="times"/>
                <w:sz w:val="14"/>
              </w:rPr>
            </w:pPr>
            <w:r>
              <w:rPr>
                <w:rFonts w:ascii="times" w:hAnsi="times"/>
                <w:sz w:val="14"/>
              </w:rPr>
              <w:t>(130,863</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9" w:type="dxa"/>
            <w:tcBorders/>
            <w:shd w:fill="CCEEFF" w:val="clear"/>
            <w:vAlign w:val="bottom"/>
          </w:tcPr>
          <w:p>
            <w:pPr>
              <w:pStyle w:val="TableContents"/>
              <w:spacing w:before="0" w:after="283"/>
              <w:jc w:val="right"/>
              <w:rPr>
                <w:rFonts w:ascii="times" w:hAnsi="times"/>
                <w:sz w:val="14"/>
              </w:rPr>
            </w:pPr>
            <w:r>
              <w:rPr>
                <w:rFonts w:ascii="times" w:hAnsi="times"/>
                <w:sz w:val="14"/>
              </w:rPr>
              <w:t>(4,508</w:t>
            </w:r>
          </w:p>
        </w:tc>
        <w:tc>
          <w:tcPr>
            <w:tcW w:w="196"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304,789</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33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130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102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304,789</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income</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246</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(11,581</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Loss on sale of available-for-sale securities</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(6,731</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Loss on derivative financial instruments</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(3,426</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(65,943</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Provincial capital tax</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(4,001</w:t>
            </w:r>
          </w:p>
        </w:tc>
        <w:tc>
          <w:tcPr>
            <w:tcW w:w="197"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FFFFFF" w:val="clear"/>
          </w:tcPr>
          <w:p>
            <w:pPr>
              <w:pStyle w:val="TableContents"/>
              <w:spacing w:before="0" w:after="283"/>
              <w:rPr/>
            </w:pPr>
            <w:r>
              <w:rPr/>
              <w:t> </w:t>
            </w:r>
          </w:p>
        </w:tc>
        <w:tc>
          <w:tcPr>
            <w:tcW w:w="8757"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689" w:type="dxa"/>
            <w:tcBorders/>
            <w:shd w:fill="FFFFFF" w:val="clear"/>
            <w:vAlign w:val="bottom"/>
          </w:tcPr>
          <w:p>
            <w:pPr>
              <w:pStyle w:val="TableContents"/>
              <w:spacing w:before="0" w:after="283"/>
              <w:jc w:val="right"/>
              <w:rPr>
                <w:rFonts w:ascii="times" w:hAnsi="times"/>
                <w:sz w:val="14"/>
              </w:rPr>
            </w:pPr>
            <w:r>
              <w:rPr>
                <w:rFonts w:ascii="times" w:hAnsi="times"/>
                <w:sz w:val="14"/>
              </w:rPr>
              <w:t>(28,667</w:t>
            </w:r>
          </w:p>
        </w:tc>
        <w:tc>
          <w:tcPr>
            <w:tcW w:w="197"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CCEEFF" w:val="clear"/>
          </w:tcPr>
          <w:p>
            <w:pPr>
              <w:pStyle w:val="TableContents"/>
              <w:spacing w:before="0" w:after="283"/>
              <w:rPr/>
            </w:pPr>
            <w:r>
              <w:rPr/>
              <w:t> </w:t>
            </w:r>
          </w:p>
        </w:tc>
        <w:tc>
          <w:tcPr>
            <w:tcW w:w="8757" w:type="dxa"/>
            <w:gridSpan w:val="16"/>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Income before income and mining taxes</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9" w:type="dxa"/>
            <w:tcBorders/>
            <w:shd w:fill="CCEEFF" w:val="clear"/>
            <w:vAlign w:val="bottom"/>
          </w:tcPr>
          <w:p>
            <w:pPr>
              <w:pStyle w:val="TableContents"/>
              <w:spacing w:before="0" w:after="283"/>
              <w:jc w:val="right"/>
              <w:rPr>
                <w:rFonts w:ascii="times" w:hAnsi="times"/>
                <w:sz w:val="14"/>
              </w:rPr>
            </w:pPr>
            <w:r>
              <w:rPr>
                <w:rFonts w:ascii="times" w:hAnsi="times"/>
                <w:sz w:val="14"/>
              </w:rPr>
              <w:t>184,686</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217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7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198"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79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600"/>
        <w:gridCol w:w="2038"/>
        <w:gridCol w:w="451"/>
        <w:gridCol w:w="237"/>
        <w:gridCol w:w="2439"/>
        <w:gridCol w:w="450"/>
        <w:gridCol w:w="237"/>
        <w:gridCol w:w="3302"/>
        <w:gridCol w:w="451"/>
      </w:tblGrid>
      <w:tr>
        <w:trPr/>
        <w:tc>
          <w:tcPr>
            <w:tcW w:w="600" w:type="dxa"/>
            <w:tcBorders/>
            <w:shd w:fill="auto" w:val="clear"/>
            <w:vAlign w:val="center"/>
          </w:tcPr>
          <w:p>
            <w:pPr>
              <w:pStyle w:val="TableContents"/>
              <w:spacing w:before="0" w:after="283"/>
              <w:rPr>
                <w:sz w:val="4"/>
                <w:szCs w:val="4"/>
              </w:rPr>
            </w:pPr>
            <w:r>
              <w:rPr>
                <w:sz w:val="4"/>
                <w:szCs w:val="4"/>
              </w:rPr>
            </w:r>
          </w:p>
        </w:tc>
        <w:tc>
          <w:tcPr>
            <w:tcW w:w="2038" w:type="dxa"/>
            <w:tcBorders/>
            <w:shd w:fill="auto" w:val="clear"/>
            <w:vAlign w:val="center"/>
          </w:tcPr>
          <w:p>
            <w:pPr>
              <w:pStyle w:val="TableContents"/>
              <w:spacing w:before="0" w:after="283"/>
              <w:rPr>
                <w:sz w:val="4"/>
                <w:szCs w:val="4"/>
              </w:rPr>
            </w:pPr>
            <w:r>
              <w:rPr>
                <w:sz w:val="4"/>
                <w:szCs w:val="4"/>
              </w:rPr>
            </w:r>
          </w:p>
        </w:tc>
        <w:tc>
          <w:tcPr>
            <w:tcW w:w="451"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c>
          <w:tcPr>
            <w:tcW w:w="2439"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c>
          <w:tcPr>
            <w:tcW w:w="3302" w:type="dxa"/>
            <w:tcBorders/>
            <w:shd w:fill="auto" w:val="clear"/>
            <w:vAlign w:val="center"/>
          </w:tcPr>
          <w:p>
            <w:pPr>
              <w:pStyle w:val="TableContents"/>
              <w:spacing w:before="0" w:after="283"/>
              <w:rPr>
                <w:sz w:val="4"/>
                <w:szCs w:val="4"/>
              </w:rPr>
            </w:pPr>
            <w:r>
              <w:rPr>
                <w:sz w:val="4"/>
                <w:szCs w:val="4"/>
              </w:rPr>
            </w:r>
          </w:p>
        </w:tc>
        <w:tc>
          <w:tcPr>
            <w:tcW w:w="451" w:type="dxa"/>
            <w:tcBorders/>
            <w:shd w:fill="auto" w:val="clear"/>
            <w:vAlign w:val="center"/>
          </w:tcPr>
          <w:p>
            <w:pPr>
              <w:pStyle w:val="TableContents"/>
              <w:spacing w:before="0" w:after="283"/>
              <w:rPr>
                <w:sz w:val="4"/>
                <w:szCs w:val="4"/>
              </w:rPr>
            </w:pPr>
            <w:r>
              <w:rPr>
                <w:sz w:val="4"/>
                <w:szCs w:val="4"/>
              </w:rPr>
            </w:r>
          </w:p>
        </w:tc>
      </w:tr>
      <w:tr>
        <w:trPr/>
        <w:tc>
          <w:tcPr>
            <w:tcW w:w="600" w:type="dxa"/>
            <w:tcBorders/>
            <w:shd w:fill="auto" w:val="clear"/>
            <w:vAlign w:val="bottom"/>
          </w:tcPr>
          <w:p>
            <w:pPr>
              <w:pStyle w:val="TableHeading"/>
              <w:suppressLineNumbers/>
              <w:spacing w:before="0" w:after="283"/>
              <w:jc w:val="center"/>
              <w:rPr/>
            </w:pPr>
            <w:r>
              <w:rPr/>
              <w:t> </w:t>
            </w:r>
          </w:p>
        </w:tc>
        <w:tc>
          <w:tcPr>
            <w:tcW w:w="2038" w:type="dxa"/>
            <w:tcBorders/>
            <w:shd w:fill="auto" w:val="clear"/>
            <w:vAlign w:val="bottom"/>
          </w:tcPr>
          <w:p>
            <w:pPr>
              <w:pStyle w:val="TableHeading"/>
              <w:spacing w:before="0" w:after="283"/>
              <w:jc w:val="left"/>
              <w:rPr/>
            </w:pPr>
            <w:r>
              <w:rPr/>
              <w:t> </w:t>
            </w:r>
          </w:p>
        </w:tc>
        <w:tc>
          <w:tcPr>
            <w:tcW w:w="451" w:type="dxa"/>
            <w:tcBorders/>
            <w:shd w:fill="auto" w:val="clear"/>
            <w:vAlign w:val="bottom"/>
          </w:tcPr>
          <w:p>
            <w:pPr>
              <w:pStyle w:val="TableHeading"/>
              <w:suppressLineNumbers/>
              <w:spacing w:before="0" w:after="283"/>
              <w:jc w:val="center"/>
              <w:rPr/>
            </w:pPr>
            <w:r>
              <w:rPr/>
              <w:t> </w:t>
            </w:r>
          </w:p>
        </w:tc>
        <w:tc>
          <w:tcPr>
            <w:tcW w:w="666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Assets as at </w:t>
            </w:r>
          </w:p>
        </w:tc>
        <w:tc>
          <w:tcPr>
            <w:tcW w:w="451" w:type="dxa"/>
            <w:tcBorders/>
            <w:shd w:fill="auto" w:val="clear"/>
            <w:vAlign w:val="bottom"/>
          </w:tcPr>
          <w:p>
            <w:pPr>
              <w:pStyle w:val="TableHeading"/>
              <w:suppressLineNumbers/>
              <w:spacing w:before="0" w:after="283"/>
              <w:jc w:val="center"/>
              <w:rPr/>
            </w:pPr>
            <w:r>
              <w:rPr/>
              <w:t> </w:t>
            </w:r>
          </w:p>
        </w:tc>
      </w:tr>
      <w:tr>
        <w:trPr/>
        <w:tc>
          <w:tcPr>
            <w:tcW w:w="600" w:type="dxa"/>
            <w:tcBorders/>
            <w:shd w:fill="auto" w:val="clear"/>
            <w:vAlign w:val="bottom"/>
          </w:tcPr>
          <w:p>
            <w:pPr>
              <w:pStyle w:val="TableHeading"/>
              <w:suppressLineNumbers/>
              <w:spacing w:before="0" w:after="283"/>
              <w:jc w:val="center"/>
              <w:rPr/>
            </w:pPr>
            <w:r>
              <w:rPr/>
              <w:t> </w:t>
            </w:r>
          </w:p>
        </w:tc>
        <w:tc>
          <w:tcPr>
            <w:tcW w:w="2038" w:type="dxa"/>
            <w:tcBorders/>
            <w:shd w:fill="auto" w:val="clear"/>
            <w:vAlign w:val="bottom"/>
          </w:tcPr>
          <w:p>
            <w:pPr>
              <w:pStyle w:val="TableHeading"/>
              <w:spacing w:before="0" w:after="283"/>
              <w:jc w:val="left"/>
              <w:rPr/>
            </w:pPr>
            <w:r>
              <w:rPr/>
              <w:t> </w:t>
            </w:r>
          </w:p>
        </w:tc>
        <w:tc>
          <w:tcPr>
            <w:tcW w:w="451" w:type="dxa"/>
            <w:tcBorders/>
            <w:shd w:fill="auto" w:val="clear"/>
            <w:vAlign w:val="bottom"/>
          </w:tcPr>
          <w:p>
            <w:pPr>
              <w:pStyle w:val="TableHeading"/>
              <w:suppressLineNumbers/>
              <w:spacing w:before="0" w:after="283"/>
              <w:jc w:val="center"/>
              <w:rPr/>
            </w:pPr>
            <w:r>
              <w:rPr/>
              <w:t> </w:t>
            </w:r>
          </w:p>
        </w:tc>
        <w:tc>
          <w:tcPr>
            <w:tcW w:w="267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June 30, 2013 </w:t>
            </w:r>
          </w:p>
        </w:tc>
        <w:tc>
          <w:tcPr>
            <w:tcW w:w="450" w:type="dxa"/>
            <w:tcBorders/>
            <w:shd w:fill="auto" w:val="clear"/>
            <w:vAlign w:val="bottom"/>
          </w:tcPr>
          <w:p>
            <w:pPr>
              <w:pStyle w:val="TableHeading"/>
              <w:suppressLineNumbers/>
              <w:spacing w:before="0" w:after="283"/>
              <w:jc w:val="center"/>
              <w:rPr/>
            </w:pPr>
            <w:r>
              <w:rPr/>
              <w:t> </w:t>
            </w:r>
          </w:p>
        </w:tc>
        <w:tc>
          <w:tcPr>
            <w:tcW w:w="353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December 31, 2012 </w:t>
            </w:r>
          </w:p>
        </w:tc>
        <w:tc>
          <w:tcPr>
            <w:tcW w:w="451" w:type="dxa"/>
            <w:tcBorders/>
            <w:shd w:fill="auto" w:val="clear"/>
            <w:vAlign w:val="bottom"/>
          </w:tcPr>
          <w:p>
            <w:pPr>
              <w:pStyle w:val="TableHeading"/>
              <w:suppressLineNumbers/>
              <w:spacing w:before="0" w:after="283"/>
              <w:jc w:val="center"/>
              <w:rPr/>
            </w:pPr>
            <w:r>
              <w:rPr/>
              <w:t> </w:t>
            </w:r>
          </w:p>
        </w:tc>
      </w:tr>
      <w:tr>
        <w:trPr/>
        <w:tc>
          <w:tcPr>
            <w:tcW w:w="600" w:type="dxa"/>
            <w:tcBorders/>
            <w:shd w:fill="CCEEFF" w:val="clear"/>
          </w:tcPr>
          <w:p>
            <w:pPr>
              <w:pStyle w:val="TableContents"/>
              <w:spacing w:before="0" w:after="283"/>
              <w:rPr/>
            </w:pPr>
            <w:r>
              <w:rPr/>
              <w:t> </w:t>
            </w:r>
          </w:p>
        </w:tc>
        <w:tc>
          <w:tcPr>
            <w:tcW w:w="203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451"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439" w:type="dxa"/>
            <w:tcBorders/>
            <w:shd w:fill="CCEEFF" w:val="clear"/>
            <w:vAlign w:val="bottom"/>
          </w:tcPr>
          <w:p>
            <w:pPr>
              <w:pStyle w:val="TableContents"/>
              <w:spacing w:before="0" w:after="283"/>
              <w:jc w:val="right"/>
              <w:rPr>
                <w:rFonts w:ascii="times" w:hAnsi="times"/>
                <w:sz w:val="14"/>
              </w:rPr>
            </w:pPr>
            <w:r>
              <w:rPr>
                <w:rFonts w:ascii="times" w:hAnsi="times"/>
                <w:sz w:val="14"/>
              </w:rPr>
              <w:t>3,230,189</w:t>
            </w:r>
          </w:p>
        </w:tc>
        <w:tc>
          <w:tcPr>
            <w:tcW w:w="450"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302" w:type="dxa"/>
            <w:tcBorders/>
            <w:shd w:fill="CCEEFF" w:val="clear"/>
            <w:vAlign w:val="bottom"/>
          </w:tcPr>
          <w:p>
            <w:pPr>
              <w:pStyle w:val="TableContents"/>
              <w:spacing w:before="0" w:after="283"/>
              <w:jc w:val="right"/>
              <w:rPr>
                <w:rFonts w:ascii="times" w:hAnsi="times"/>
                <w:sz w:val="14"/>
              </w:rPr>
            </w:pPr>
            <w:r>
              <w:rPr>
                <w:rFonts w:ascii="times" w:hAnsi="times"/>
                <w:sz w:val="14"/>
              </w:rPr>
              <w:t>3,279,881</w:t>
            </w:r>
          </w:p>
        </w:tc>
        <w:tc>
          <w:tcPr>
            <w:tcW w:w="451" w:type="dxa"/>
            <w:tcBorders/>
            <w:shd w:fill="CCEEFF" w:val="clear"/>
            <w:vAlign w:val="bottom"/>
          </w:tcPr>
          <w:p>
            <w:pPr>
              <w:pStyle w:val="TableContents"/>
              <w:spacing w:before="0" w:after="283"/>
              <w:rPr/>
            </w:pPr>
            <w:r>
              <w:rPr/>
              <w:t> </w:t>
            </w:r>
          </w:p>
        </w:tc>
      </w:tr>
      <w:tr>
        <w:trPr/>
        <w:tc>
          <w:tcPr>
            <w:tcW w:w="600" w:type="dxa"/>
            <w:tcBorders/>
            <w:shd w:fill="FFFFFF" w:val="clear"/>
          </w:tcPr>
          <w:p>
            <w:pPr>
              <w:pStyle w:val="TableContents"/>
              <w:spacing w:before="0" w:after="283"/>
              <w:rPr/>
            </w:pPr>
            <w:r>
              <w:rPr/>
              <w:t> </w:t>
            </w:r>
          </w:p>
        </w:tc>
        <w:tc>
          <w:tcPr>
            <w:tcW w:w="203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451" w:type="dxa"/>
            <w:tcBorders/>
            <w:shd w:fill="FFFFFF" w:val="clear"/>
            <w:vAlign w:val="bottom"/>
          </w:tcPr>
          <w:p>
            <w:pPr>
              <w:pStyle w:val="TableContents"/>
              <w:spacing w:before="0" w:after="283"/>
              <w:rPr/>
            </w:pPr>
            <w:r>
              <w:rPr/>
              <w:t> </w:t>
            </w:r>
          </w:p>
        </w:tc>
        <w:tc>
          <w:tcPr>
            <w:tcW w:w="237" w:type="dxa"/>
            <w:tcBorders/>
            <w:shd w:fill="FFFFFF" w:val="clear"/>
            <w:vAlign w:val="bottom"/>
          </w:tcPr>
          <w:p>
            <w:pPr>
              <w:pStyle w:val="TableContents"/>
              <w:spacing w:before="0" w:after="283"/>
              <w:rPr/>
            </w:pPr>
            <w:r>
              <w:rPr/>
              <w:t> </w:t>
            </w:r>
          </w:p>
        </w:tc>
        <w:tc>
          <w:tcPr>
            <w:tcW w:w="2439" w:type="dxa"/>
            <w:tcBorders/>
            <w:shd w:fill="FFFFFF" w:val="clear"/>
            <w:vAlign w:val="bottom"/>
          </w:tcPr>
          <w:p>
            <w:pPr>
              <w:pStyle w:val="TableContents"/>
              <w:spacing w:before="0" w:after="283"/>
              <w:jc w:val="right"/>
              <w:rPr>
                <w:rFonts w:ascii="times" w:hAnsi="times"/>
                <w:sz w:val="14"/>
              </w:rPr>
            </w:pPr>
            <w:r>
              <w:rPr>
                <w:rFonts w:ascii="times" w:hAnsi="times"/>
                <w:sz w:val="14"/>
              </w:rPr>
              <w:t>1,137,476</w:t>
            </w:r>
          </w:p>
        </w:tc>
        <w:tc>
          <w:tcPr>
            <w:tcW w:w="450" w:type="dxa"/>
            <w:tcBorders/>
            <w:shd w:fill="FFFFFF" w:val="clear"/>
            <w:vAlign w:val="bottom"/>
          </w:tcPr>
          <w:p>
            <w:pPr>
              <w:pStyle w:val="TableContents"/>
              <w:spacing w:before="0" w:after="283"/>
              <w:rPr/>
            </w:pPr>
            <w:r>
              <w:rPr/>
              <w:t> </w:t>
            </w:r>
          </w:p>
        </w:tc>
        <w:tc>
          <w:tcPr>
            <w:tcW w:w="237" w:type="dxa"/>
            <w:tcBorders/>
            <w:shd w:fill="FFFFFF" w:val="clear"/>
            <w:vAlign w:val="bottom"/>
          </w:tcPr>
          <w:p>
            <w:pPr>
              <w:pStyle w:val="TableContents"/>
              <w:spacing w:before="0" w:after="283"/>
              <w:rPr/>
            </w:pPr>
            <w:r>
              <w:rPr/>
              <w:t> </w:t>
            </w:r>
          </w:p>
        </w:tc>
        <w:tc>
          <w:tcPr>
            <w:tcW w:w="3302" w:type="dxa"/>
            <w:tcBorders/>
            <w:shd w:fill="FFFFFF" w:val="clear"/>
            <w:vAlign w:val="bottom"/>
          </w:tcPr>
          <w:p>
            <w:pPr>
              <w:pStyle w:val="TableContents"/>
              <w:spacing w:before="0" w:after="283"/>
              <w:jc w:val="right"/>
              <w:rPr>
                <w:rFonts w:ascii="times" w:hAnsi="times"/>
                <w:sz w:val="14"/>
              </w:rPr>
            </w:pPr>
            <w:r>
              <w:rPr>
                <w:rFonts w:ascii="times" w:hAnsi="times"/>
                <w:sz w:val="14"/>
              </w:rPr>
              <w:t>1,069,379</w:t>
            </w:r>
          </w:p>
        </w:tc>
        <w:tc>
          <w:tcPr>
            <w:tcW w:w="451" w:type="dxa"/>
            <w:tcBorders/>
            <w:shd w:fill="FFFFFF" w:val="clear"/>
            <w:vAlign w:val="bottom"/>
          </w:tcPr>
          <w:p>
            <w:pPr>
              <w:pStyle w:val="TableContents"/>
              <w:spacing w:before="0" w:after="283"/>
              <w:rPr/>
            </w:pPr>
            <w:r>
              <w:rPr/>
              <w:t> </w:t>
            </w:r>
          </w:p>
        </w:tc>
      </w:tr>
      <w:tr>
        <w:trPr/>
        <w:tc>
          <w:tcPr>
            <w:tcW w:w="600" w:type="dxa"/>
            <w:tcBorders/>
            <w:shd w:fill="CCEEFF" w:val="clear"/>
          </w:tcPr>
          <w:p>
            <w:pPr>
              <w:pStyle w:val="TableContents"/>
              <w:spacing w:before="0" w:after="283"/>
              <w:rPr/>
            </w:pPr>
            <w:r>
              <w:rPr/>
              <w:t> </w:t>
            </w:r>
          </w:p>
        </w:tc>
        <w:tc>
          <w:tcPr>
            <w:tcW w:w="203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451"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2439" w:type="dxa"/>
            <w:tcBorders/>
            <w:shd w:fill="CCEEFF" w:val="clear"/>
            <w:vAlign w:val="bottom"/>
          </w:tcPr>
          <w:p>
            <w:pPr>
              <w:pStyle w:val="TableContents"/>
              <w:spacing w:before="0" w:after="283"/>
              <w:jc w:val="right"/>
              <w:rPr>
                <w:rFonts w:ascii="times" w:hAnsi="times"/>
                <w:sz w:val="14"/>
              </w:rPr>
            </w:pPr>
            <w:r>
              <w:rPr>
                <w:rFonts w:ascii="times" w:hAnsi="times"/>
                <w:sz w:val="14"/>
              </w:rPr>
              <w:t>817,545</w:t>
            </w:r>
          </w:p>
        </w:tc>
        <w:tc>
          <w:tcPr>
            <w:tcW w:w="450"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rPr/>
            </w:pPr>
            <w:r>
              <w:rPr/>
              <w:t> </w:t>
            </w:r>
          </w:p>
        </w:tc>
        <w:tc>
          <w:tcPr>
            <w:tcW w:w="3302" w:type="dxa"/>
            <w:tcBorders/>
            <w:shd w:fill="CCEEFF" w:val="clear"/>
            <w:vAlign w:val="bottom"/>
          </w:tcPr>
          <w:p>
            <w:pPr>
              <w:pStyle w:val="TableContents"/>
              <w:spacing w:before="0" w:after="283"/>
              <w:jc w:val="right"/>
              <w:rPr>
                <w:rFonts w:ascii="times" w:hAnsi="times"/>
                <w:sz w:val="14"/>
              </w:rPr>
            </w:pPr>
            <w:r>
              <w:rPr>
                <w:rFonts w:ascii="times" w:hAnsi="times"/>
                <w:sz w:val="14"/>
              </w:rPr>
              <w:t>846,941</w:t>
            </w:r>
          </w:p>
        </w:tc>
        <w:tc>
          <w:tcPr>
            <w:tcW w:w="451" w:type="dxa"/>
            <w:tcBorders/>
            <w:shd w:fill="CCEEFF" w:val="clear"/>
            <w:vAlign w:val="bottom"/>
          </w:tcPr>
          <w:p>
            <w:pPr>
              <w:pStyle w:val="TableContents"/>
              <w:spacing w:before="0" w:after="283"/>
              <w:rPr/>
            </w:pPr>
            <w:r>
              <w:rPr/>
              <w:t> </w:t>
            </w:r>
          </w:p>
        </w:tc>
      </w:tr>
      <w:tr>
        <w:trPr/>
        <w:tc>
          <w:tcPr>
            <w:tcW w:w="600" w:type="dxa"/>
            <w:tcBorders/>
            <w:shd w:fill="FFFFFF" w:val="clear"/>
          </w:tcPr>
          <w:p>
            <w:pPr>
              <w:pStyle w:val="TableContents"/>
              <w:spacing w:before="0" w:after="283"/>
              <w:rPr/>
            </w:pPr>
            <w:r>
              <w:rPr/>
              <w:t> </w:t>
            </w:r>
          </w:p>
        </w:tc>
        <w:tc>
          <w:tcPr>
            <w:tcW w:w="203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451" w:type="dxa"/>
            <w:tcBorders/>
            <w:shd w:fill="FFFFFF" w:val="clear"/>
            <w:vAlign w:val="bottom"/>
          </w:tcPr>
          <w:p>
            <w:pPr>
              <w:pStyle w:val="TableContents"/>
              <w:spacing w:before="0" w:after="283"/>
              <w:rPr/>
            </w:pPr>
            <w:r>
              <w:rPr/>
              <w:t> </w:t>
            </w:r>
          </w:p>
        </w:tc>
        <w:tc>
          <w:tcPr>
            <w:tcW w:w="237" w:type="dxa"/>
            <w:tcBorders/>
            <w:shd w:fill="FFFFFF" w:val="clear"/>
            <w:vAlign w:val="bottom"/>
          </w:tcPr>
          <w:p>
            <w:pPr>
              <w:pStyle w:val="TableContents"/>
              <w:spacing w:before="0" w:after="283"/>
              <w:rPr/>
            </w:pPr>
            <w:r>
              <w:rPr/>
              <w:t> </w:t>
            </w:r>
          </w:p>
        </w:tc>
        <w:tc>
          <w:tcPr>
            <w:tcW w:w="2439" w:type="dxa"/>
            <w:tcBorders/>
            <w:shd w:fill="FFFFFF" w:val="clear"/>
            <w:vAlign w:val="bottom"/>
          </w:tcPr>
          <w:p>
            <w:pPr>
              <w:pStyle w:val="TableContents"/>
              <w:spacing w:before="0" w:after="283"/>
              <w:jc w:val="right"/>
              <w:rPr>
                <w:rFonts w:ascii="times" w:hAnsi="times"/>
                <w:sz w:val="14"/>
              </w:rPr>
            </w:pPr>
            <w:r>
              <w:rPr>
                <w:rFonts w:ascii="times" w:hAnsi="times"/>
                <w:sz w:val="14"/>
              </w:rPr>
              <w:t>65,590</w:t>
            </w:r>
          </w:p>
        </w:tc>
        <w:tc>
          <w:tcPr>
            <w:tcW w:w="450" w:type="dxa"/>
            <w:tcBorders/>
            <w:shd w:fill="FFFFFF" w:val="clear"/>
            <w:vAlign w:val="bottom"/>
          </w:tcPr>
          <w:p>
            <w:pPr>
              <w:pStyle w:val="TableContents"/>
              <w:spacing w:before="0" w:after="283"/>
              <w:rPr/>
            </w:pPr>
            <w:r>
              <w:rPr/>
              <w:t> </w:t>
            </w:r>
          </w:p>
        </w:tc>
        <w:tc>
          <w:tcPr>
            <w:tcW w:w="237" w:type="dxa"/>
            <w:tcBorders/>
            <w:shd w:fill="FFFFFF" w:val="clear"/>
            <w:vAlign w:val="bottom"/>
          </w:tcPr>
          <w:p>
            <w:pPr>
              <w:pStyle w:val="TableContents"/>
              <w:spacing w:before="0" w:after="283"/>
              <w:rPr/>
            </w:pPr>
            <w:r>
              <w:rPr/>
              <w:t> </w:t>
            </w:r>
          </w:p>
        </w:tc>
        <w:tc>
          <w:tcPr>
            <w:tcW w:w="3302" w:type="dxa"/>
            <w:tcBorders/>
            <w:shd w:fill="FFFFFF" w:val="clear"/>
            <w:vAlign w:val="bottom"/>
          </w:tcPr>
          <w:p>
            <w:pPr>
              <w:pStyle w:val="TableContents"/>
              <w:spacing w:before="0" w:after="283"/>
              <w:jc w:val="right"/>
              <w:rPr>
                <w:rFonts w:ascii="times" w:hAnsi="times"/>
                <w:sz w:val="14"/>
              </w:rPr>
            </w:pPr>
            <w:r>
              <w:rPr>
                <w:rFonts w:ascii="times" w:hAnsi="times"/>
                <w:sz w:val="14"/>
              </w:rPr>
              <w:t>59,641</w:t>
            </w:r>
          </w:p>
        </w:tc>
        <w:tc>
          <w:tcPr>
            <w:tcW w:w="451" w:type="dxa"/>
            <w:tcBorders/>
            <w:shd w:fill="FFFFFF" w:val="clear"/>
            <w:vAlign w:val="bottom"/>
          </w:tcPr>
          <w:p>
            <w:pPr>
              <w:pStyle w:val="TableContents"/>
              <w:spacing w:before="0" w:after="283"/>
              <w:rPr/>
            </w:pPr>
            <w:r>
              <w:rPr/>
              <w:t> </w:t>
            </w:r>
          </w:p>
        </w:tc>
      </w:tr>
      <w:tr>
        <w:trPr/>
        <w:tc>
          <w:tcPr>
            <w:tcW w:w="600" w:type="dxa"/>
            <w:tcBorders/>
            <w:shd w:fill="auto" w:val="clear"/>
          </w:tcPr>
          <w:p>
            <w:pPr>
              <w:pStyle w:val="TableContents"/>
              <w:spacing w:before="0" w:after="283"/>
              <w:rPr/>
            </w:pPr>
            <w:r>
              <w:rPr/>
              <w:t> </w:t>
            </w:r>
          </w:p>
        </w:tc>
        <w:tc>
          <w:tcPr>
            <w:tcW w:w="2038"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267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50" w:type="dxa"/>
            <w:tcBorders/>
            <w:shd w:fill="auto" w:val="clear"/>
            <w:vAlign w:val="bottom"/>
          </w:tcPr>
          <w:p>
            <w:pPr>
              <w:pStyle w:val="TableContents"/>
              <w:spacing w:before="0" w:after="283"/>
              <w:rPr/>
            </w:pPr>
            <w:r>
              <w:rPr/>
              <w:t> </w:t>
            </w:r>
          </w:p>
        </w:tc>
        <w:tc>
          <w:tcPr>
            <w:tcW w:w="353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51" w:type="dxa"/>
            <w:tcBorders/>
            <w:shd w:fill="auto" w:val="clear"/>
            <w:vAlign w:val="bottom"/>
          </w:tcPr>
          <w:p>
            <w:pPr>
              <w:pStyle w:val="TableContents"/>
              <w:spacing w:before="0" w:after="283"/>
              <w:rPr/>
            </w:pPr>
            <w:r>
              <w:rPr/>
              <w:t> </w:t>
            </w:r>
          </w:p>
        </w:tc>
      </w:tr>
      <w:tr>
        <w:trPr/>
        <w:tc>
          <w:tcPr>
            <w:tcW w:w="600" w:type="dxa"/>
            <w:tcBorders/>
            <w:shd w:fill="CCEEFF" w:val="clear"/>
          </w:tcPr>
          <w:p>
            <w:pPr>
              <w:pStyle w:val="TableContents"/>
              <w:spacing w:before="0" w:after="283"/>
              <w:rPr/>
            </w:pPr>
            <w:r>
              <w:rPr/>
              <w:t> </w:t>
            </w:r>
          </w:p>
        </w:tc>
        <w:tc>
          <w:tcPr>
            <w:tcW w:w="2038" w:type="dxa"/>
            <w:tcBorders/>
            <w:shd w:fill="CCEEFF" w:val="clear"/>
            <w:vAlign w:val="bottom"/>
          </w:tcPr>
          <w:p>
            <w:pPr>
              <w:pStyle w:val="TableContents"/>
              <w:spacing w:before="0" w:after="283"/>
              <w:ind w:left="160" w:right="0" w:hanging="160"/>
              <w:rPr>
                <w:sz w:val="4"/>
                <w:szCs w:val="4"/>
              </w:rPr>
            </w:pPr>
            <w:r>
              <w:rPr>
                <w:sz w:val="4"/>
                <w:szCs w:val="4"/>
              </w:rPr>
            </w:r>
          </w:p>
        </w:tc>
        <w:tc>
          <w:tcPr>
            <w:tcW w:w="451"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439" w:type="dxa"/>
            <w:tcBorders/>
            <w:shd w:fill="CCEEFF" w:val="clear"/>
            <w:vAlign w:val="bottom"/>
          </w:tcPr>
          <w:p>
            <w:pPr>
              <w:pStyle w:val="TableContents"/>
              <w:spacing w:before="0" w:after="283"/>
              <w:jc w:val="right"/>
              <w:rPr>
                <w:rFonts w:ascii="times" w:hAnsi="times"/>
                <w:sz w:val="14"/>
              </w:rPr>
            </w:pPr>
            <w:r>
              <w:rPr>
                <w:rFonts w:ascii="times" w:hAnsi="times"/>
                <w:sz w:val="14"/>
              </w:rPr>
              <w:t>5,250,800</w:t>
            </w:r>
          </w:p>
        </w:tc>
        <w:tc>
          <w:tcPr>
            <w:tcW w:w="450" w:type="dxa"/>
            <w:tcBorders/>
            <w:shd w:fill="CCEEFF" w:val="clear"/>
            <w:vAlign w:val="bottom"/>
          </w:tcPr>
          <w:p>
            <w:pPr>
              <w:pStyle w:val="TableContents"/>
              <w:spacing w:before="0" w:after="283"/>
              <w:rPr/>
            </w:pPr>
            <w:r>
              <w:rPr/>
              <w:t> </w:t>
            </w:r>
          </w:p>
        </w:tc>
        <w:tc>
          <w:tcPr>
            <w:tcW w:w="23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3302" w:type="dxa"/>
            <w:tcBorders/>
            <w:shd w:fill="CCEEFF" w:val="clear"/>
            <w:vAlign w:val="bottom"/>
          </w:tcPr>
          <w:p>
            <w:pPr>
              <w:pStyle w:val="TableContents"/>
              <w:spacing w:before="0" w:after="283"/>
              <w:jc w:val="right"/>
              <w:rPr>
                <w:rFonts w:ascii="times" w:hAnsi="times"/>
                <w:sz w:val="14"/>
              </w:rPr>
            </w:pPr>
            <w:r>
              <w:rPr>
                <w:rFonts w:ascii="times" w:hAnsi="times"/>
                <w:sz w:val="14"/>
              </w:rPr>
              <w:t>5,255,842</w:t>
            </w:r>
          </w:p>
        </w:tc>
        <w:tc>
          <w:tcPr>
            <w:tcW w:w="451" w:type="dxa"/>
            <w:tcBorders/>
            <w:shd w:fill="CCEEFF" w:val="clear"/>
            <w:vAlign w:val="bottom"/>
          </w:tcPr>
          <w:p>
            <w:pPr>
              <w:pStyle w:val="TableContents"/>
              <w:spacing w:before="0" w:after="283"/>
              <w:rPr/>
            </w:pPr>
            <w:r>
              <w:rPr/>
              <w:t> </w:t>
            </w:r>
          </w:p>
        </w:tc>
      </w:tr>
      <w:tr>
        <w:trPr/>
        <w:tc>
          <w:tcPr>
            <w:tcW w:w="600" w:type="dxa"/>
            <w:tcBorders/>
            <w:shd w:fill="auto" w:val="clear"/>
          </w:tcPr>
          <w:p>
            <w:pPr>
              <w:pStyle w:val="TableContents"/>
              <w:spacing w:before="0" w:after="283"/>
              <w:rPr/>
            </w:pPr>
            <w:r>
              <w:rPr/>
              <w:t> </w:t>
            </w:r>
          </w:p>
        </w:tc>
        <w:tc>
          <w:tcPr>
            <w:tcW w:w="2038"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rPr/>
            </w:pPr>
            <w:r>
              <w:rPr/>
              <w:t> </w:t>
            </w:r>
          </w:p>
        </w:tc>
        <w:tc>
          <w:tcPr>
            <w:tcW w:w="267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50" w:type="dxa"/>
            <w:tcBorders/>
            <w:shd w:fill="auto" w:val="clear"/>
            <w:vAlign w:val="bottom"/>
          </w:tcPr>
          <w:p>
            <w:pPr>
              <w:pStyle w:val="TableContents"/>
              <w:spacing w:before="0" w:after="283"/>
              <w:rPr/>
            </w:pPr>
            <w:r>
              <w:rPr/>
              <w:t> </w:t>
            </w:r>
          </w:p>
        </w:tc>
        <w:tc>
          <w:tcPr>
            <w:tcW w:w="353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51" w:type="dxa"/>
            <w:tcBorders/>
            <w:shd w:fill="auto"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13.   RECLAMATION PROVISION </w:t>
      </w:r>
    </w:p>
    <w:p>
      <w:pPr>
        <w:pStyle w:val="TextBody"/>
        <w:numPr>
          <w:ilvl w:val="0"/>
          <w:numId w:val="0"/>
        </w:numPr>
        <w:ind w:left="707" w:hanging="0"/>
        <w:rPr>
          <w:rFonts w:ascii="times" w:hAnsi="times"/>
          <w:sz w:val="14"/>
        </w:rPr>
      </w:pPr>
      <w:r>
        <w:rPr>
          <w:rFonts w:ascii="times" w:hAnsi="times"/>
          <w:sz w:val="14"/>
        </w:rPr>
        <w:t xml:space="preserve">Agnico Eagle's reclamation provision includes both asset retirement obligations and environmental remediation liabilities. Reclamation provision estimates are based on current legislation, third party estimates, management's estimates and feasibility study calculations. </w:t>
      </w:r>
    </w:p>
    <w:p>
      <w:pPr>
        <w:pStyle w:val="TextBody"/>
        <w:numPr>
          <w:ilvl w:val="0"/>
          <w:numId w:val="0"/>
        </w:numPr>
        <w:ind w:left="707" w:hanging="0"/>
        <w:rPr>
          <w:rFonts w:ascii="times" w:hAnsi="times"/>
          <w:sz w:val="14"/>
        </w:rPr>
      </w:pPr>
      <w:r>
        <w:rPr>
          <w:rFonts w:ascii="times" w:hAnsi="times"/>
          <w:sz w:val="14"/>
        </w:rPr>
        <w:t xml:space="preserve">Due to the suspension of mining operations at the Goldex mine on October 19, 2011, an environmental remediation liability was recognized. During the six months ended June 30, 2013, the Company incurred $5.5 million in remediation costs that were applied against the environmental remediation liability recognized in 2011. As at June 30, 2013, the remaining Goldex mine environmental remediation liability was $17.6 million, $6.3 million of which was classified as a current liability. The Goldex mine is part of the Canada segment as described in note 12. </w:t>
      </w:r>
    </w:p>
    <w:p>
      <w:pPr>
        <w:pStyle w:val="TextBody"/>
        <w:rPr>
          <w:rFonts w:ascii="times" w:hAnsi="times"/>
          <w:b/>
          <w:sz w:val="14"/>
        </w:rPr>
      </w:pPr>
      <w:r>
        <w:rPr>
          <w:rFonts w:ascii="times" w:hAnsi="times"/>
          <w:b/>
          <w:sz w:val="14"/>
        </w:rPr>
        <w:t xml:space="preserve">14.   ACQUISITIONS </w:t>
      </w:r>
    </w:p>
    <w:p>
      <w:pPr>
        <w:pStyle w:val="TextBody"/>
        <w:numPr>
          <w:ilvl w:val="0"/>
          <w:numId w:val="0"/>
        </w:numPr>
        <w:ind w:left="707" w:hanging="0"/>
        <w:rPr>
          <w:rFonts w:ascii="times" w:hAnsi="times"/>
          <w:b/>
          <w:i/>
          <w:sz w:val="14"/>
        </w:rPr>
      </w:pPr>
      <w:r>
        <w:rPr>
          <w:rFonts w:ascii="times" w:hAnsi="times"/>
          <w:b/>
          <w:i/>
          <w:sz w:val="14"/>
        </w:rPr>
        <w:t xml:space="preserve">Urastar Gold Corporation </w:t>
      </w:r>
    </w:p>
    <w:p>
      <w:pPr>
        <w:pStyle w:val="TextBody"/>
        <w:numPr>
          <w:ilvl w:val="0"/>
          <w:numId w:val="0"/>
        </w:numPr>
        <w:ind w:left="707" w:hanging="0"/>
        <w:rPr>
          <w:rFonts w:ascii="times" w:hAnsi="times"/>
          <w:sz w:val="14"/>
        </w:rPr>
      </w:pPr>
      <w:r>
        <w:rPr>
          <w:rFonts w:ascii="times" w:hAnsi="times"/>
          <w:sz w:val="14"/>
        </w:rPr>
        <w:t xml:space="preserve">On May 16, 2013, the Company completed the acquisition of all of the issued and outstanding common shares of Urastar Gold Corporation ("Urastar") pursuant to a court-approved plan of arrangement under the Business Corporations Act (British Columbia) for cash consideration of $10.1 million. The Urastar acquisition was accounted for as a business combination and goodwill of $6.1 million was recognized on the Company's consolidated balance sheets. </w:t>
      </w:r>
    </w:p>
    <w:p>
      <w:pPr>
        <w:pStyle w:val="TextBody"/>
        <w:numPr>
          <w:ilvl w:val="0"/>
          <w:numId w:val="0"/>
        </w:numPr>
        <w:ind w:left="707" w:hanging="0"/>
        <w:rPr>
          <w:rFonts w:ascii="times" w:hAnsi="times"/>
          <w:sz w:val="14"/>
        </w:rPr>
      </w:pPr>
      <w:r>
        <w:rPr>
          <w:rFonts w:ascii="times" w:hAnsi="times"/>
          <w:sz w:val="14"/>
        </w:rPr>
        <w:t xml:space="preserve">The transaction costs associated with the acquisition totalling $0.7 million were expensed through the general and administrative line item of the interim unaudited consolidated statements of income (loss) and comprehensive income (loss) during the six months ended June 30, 2013. </w:t>
      </w:r>
    </w:p>
    <w:p>
      <w:pPr>
        <w:pStyle w:val="TextBody"/>
        <w:jc w:val="center"/>
        <w:rPr>
          <w:rFonts w:ascii="times" w:hAnsi="times"/>
          <w:sz w:val="20"/>
        </w:rPr>
      </w:pPr>
      <w:r>
        <w:rPr>
          <w:rFonts w:ascii="times" w:hAnsi="times"/>
          <w:sz w:val="20"/>
        </w:rPr>
        <w:t>34</w:t>
      </w:r>
    </w:p>
    <w:p>
      <w:pPr>
        <w:pStyle w:val="HorizontalLine"/>
        <w:pBdr>
          <w:bottom w:val="single" w:sz="20" w:space="0" w:color="808080"/>
        </w:pBdr>
        <w:rPr/>
      </w:pPr>
      <w:r>
        <w:rPr/>
      </w:r>
      <w:r>
        <w:br w:type="page"/>
      </w:r>
    </w:p>
    <w:p>
      <w:pPr>
        <w:pStyle w:val="TextBody"/>
        <w:jc w:val="center"/>
        <w:rPr>
          <w:rFonts w:ascii="times" w:hAnsi="times"/>
          <w:b/>
          <w:sz w:val="20"/>
        </w:rPr>
      </w:pPr>
      <w:bookmarkStart w:id="61" w:name="page_fi72201_1_35"/>
      <w:bookmarkEnd w:id="61"/>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14.   ACQUISITIONS (Continued) </w:t>
      </w:r>
    </w:p>
    <w:p>
      <w:pPr>
        <w:pStyle w:val="TextBody"/>
        <w:numPr>
          <w:ilvl w:val="0"/>
          <w:numId w:val="0"/>
        </w:numPr>
        <w:ind w:left="707" w:hanging="0"/>
        <w:rPr>
          <w:rFonts w:ascii="times" w:hAnsi="times"/>
          <w:sz w:val="14"/>
        </w:rPr>
      </w:pPr>
      <w:r>
        <w:rPr>
          <w:rFonts w:ascii="times" w:hAnsi="times"/>
          <w:sz w:val="14"/>
        </w:rPr>
        <w:t xml:space="preserve">The following table details the allocation of the purchase price to assets acquired and liabilities assumed, based on management's estimates of fair value: </w:t>
      </w:r>
    </w:p>
    <w:tbl>
      <w:tblPr>
        <w:tblW w:w="5000" w:type="pct"/>
        <w:jc w:val="center"/>
        <w:tblInd w:w="0" w:type="dxa"/>
        <w:tblCellMar>
          <w:top w:w="0" w:type="dxa"/>
          <w:left w:w="0" w:type="dxa"/>
          <w:bottom w:w="0" w:type="dxa"/>
          <w:right w:w="0" w:type="dxa"/>
        </w:tblCellMar>
      </w:tblPr>
      <w:tblGrid>
        <w:gridCol w:w="552"/>
        <w:gridCol w:w="7329"/>
        <w:gridCol w:w="414"/>
        <w:gridCol w:w="218"/>
        <w:gridCol w:w="1277"/>
        <w:gridCol w:w="415"/>
      </w:tblGrid>
      <w:tr>
        <w:trPr/>
        <w:tc>
          <w:tcPr>
            <w:tcW w:w="552" w:type="dxa"/>
            <w:tcBorders/>
            <w:shd w:fill="auto" w:val="clear"/>
            <w:vAlign w:val="center"/>
          </w:tcPr>
          <w:p>
            <w:pPr>
              <w:pStyle w:val="TableContents"/>
              <w:spacing w:before="0" w:after="283"/>
              <w:rPr>
                <w:sz w:val="4"/>
                <w:szCs w:val="4"/>
              </w:rPr>
            </w:pPr>
            <w:r>
              <w:rPr>
                <w:sz w:val="4"/>
                <w:szCs w:val="4"/>
              </w:rPr>
            </w:r>
          </w:p>
        </w:tc>
        <w:tc>
          <w:tcPr>
            <w:tcW w:w="7329"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1277"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Total purchase price:</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paid for acquisition</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10,127</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Fair value of assets acquired and liabilities assumed:</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Mining properties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7,699</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Goodwill</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6,135</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and cash equivalents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76</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Trade receivables</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731</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current assets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12</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Plant and equipment</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2</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Accounts payable and accrued liabilities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(791</w:t>
            </w:r>
          </w:p>
        </w:tc>
        <w:tc>
          <w:tcPr>
            <w:tcW w:w="4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Other liabilities</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(1,573</w:t>
            </w:r>
          </w:p>
        </w:tc>
        <w:tc>
          <w:tcPr>
            <w:tcW w:w="4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Deferred tax liability</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(2,164</w:t>
            </w:r>
          </w:p>
        </w:tc>
        <w:tc>
          <w:tcPr>
            <w:tcW w:w="4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552" w:type="dxa"/>
            <w:tcBorders/>
            <w:shd w:fill="auto" w:val="clear"/>
          </w:tcPr>
          <w:p>
            <w:pPr>
              <w:pStyle w:val="TableContents"/>
              <w:spacing w:before="0" w:after="283"/>
              <w:rPr/>
            </w:pPr>
            <w:r>
              <w:rPr/>
              <w:t> </w:t>
            </w:r>
          </w:p>
        </w:tc>
        <w:tc>
          <w:tcPr>
            <w:tcW w:w="7329"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14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15" w:type="dxa"/>
            <w:tcBorders/>
            <w:shd w:fill="auto"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assets acquired</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10,127</w:t>
            </w:r>
          </w:p>
        </w:tc>
        <w:tc>
          <w:tcPr>
            <w:tcW w:w="415" w:type="dxa"/>
            <w:tcBorders/>
            <w:shd w:fill="CCEEFF" w:val="clear"/>
            <w:vAlign w:val="bottom"/>
          </w:tcPr>
          <w:p>
            <w:pPr>
              <w:pStyle w:val="TableContents"/>
              <w:spacing w:before="0" w:after="283"/>
              <w:rPr/>
            </w:pPr>
            <w:r>
              <w:rPr/>
              <w:t> </w:t>
            </w:r>
          </w:p>
        </w:tc>
      </w:tr>
      <w:tr>
        <w:trPr/>
        <w:tc>
          <w:tcPr>
            <w:tcW w:w="552" w:type="dxa"/>
            <w:tcBorders/>
            <w:shd w:fill="auto" w:val="clear"/>
          </w:tcPr>
          <w:p>
            <w:pPr>
              <w:pStyle w:val="TableContents"/>
              <w:spacing w:before="0" w:after="283"/>
              <w:rPr/>
            </w:pPr>
            <w:r>
              <w:rPr/>
              <w:t> </w:t>
            </w:r>
          </w:p>
        </w:tc>
        <w:tc>
          <w:tcPr>
            <w:tcW w:w="7329"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149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15"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Company believes that goodwill for the Urastar acquisition arose principally because of the following factors: (1) the going concern value implicit in the Company's ability to sustain and/or grow its business by increasing reserves and resources through new discoveries; and (2) the requirement to record a deferred tax liability for the difference between the assigned values and the tax bases of assets acquired and liabilities assumed in a business combination at amounts that do not reflect fair value. </w:t>
      </w:r>
    </w:p>
    <w:p>
      <w:pPr>
        <w:pStyle w:val="TextBody"/>
        <w:numPr>
          <w:ilvl w:val="0"/>
          <w:numId w:val="0"/>
        </w:numPr>
        <w:ind w:left="707" w:hanging="0"/>
        <w:rPr>
          <w:rFonts w:ascii="times" w:hAnsi="times"/>
        </w:rPr>
      </w:pPr>
      <w:r>
        <w:rPr>
          <w:rFonts w:ascii="times" w:hAnsi="times"/>
          <w:i/>
          <w:sz w:val="14"/>
        </w:rPr>
        <w:t>Pro forma</w:t>
      </w:r>
      <w:r>
        <w:rPr>
          <w:rFonts w:ascii="times" w:hAnsi="times"/>
        </w:rPr>
        <w:t xml:space="preserve"> </w:t>
      </w:r>
      <w:r>
        <w:rPr>
          <w:rFonts w:ascii="times" w:hAnsi="times"/>
          <w:sz w:val="14"/>
        </w:rPr>
        <w:t xml:space="preserve">results of operations for the Company assuming the acquisition of Urastar described above had occurred as of January 1, 2012 are detailed below. On a </w:t>
      </w:r>
      <w:r>
        <w:rPr>
          <w:rFonts w:ascii="times" w:hAnsi="times"/>
          <w:i/>
          <w:sz w:val="14"/>
        </w:rPr>
        <w:t>pro forma</w:t>
      </w:r>
      <w:r>
        <w:rPr>
          <w:rFonts w:ascii="times" w:hAnsi="times"/>
        </w:rPr>
        <w:t xml:space="preserve"> </w:t>
      </w:r>
      <w:r>
        <w:rPr>
          <w:rFonts w:ascii="times" w:hAnsi="times"/>
          <w:sz w:val="14"/>
        </w:rPr>
        <w:t xml:space="preserve">basis, there would have been no effect on the Company's consolidated revenues. </w:t>
      </w:r>
    </w:p>
    <w:tbl>
      <w:tblPr>
        <w:tblW w:w="5000" w:type="pct"/>
        <w:jc w:val="center"/>
        <w:tblInd w:w="0" w:type="dxa"/>
        <w:tblCellMar>
          <w:top w:w="0" w:type="dxa"/>
          <w:left w:w="0" w:type="dxa"/>
          <w:bottom w:w="0" w:type="dxa"/>
          <w:right w:w="0" w:type="dxa"/>
        </w:tblCellMar>
      </w:tblPr>
      <w:tblGrid>
        <w:gridCol w:w="391"/>
        <w:gridCol w:w="4340"/>
        <w:gridCol w:w="294"/>
        <w:gridCol w:w="155"/>
        <w:gridCol w:w="2129"/>
        <w:gridCol w:w="293"/>
        <w:gridCol w:w="155"/>
        <w:gridCol w:w="2154"/>
        <w:gridCol w:w="294"/>
      </w:tblGrid>
      <w:tr>
        <w:trPr/>
        <w:tc>
          <w:tcPr>
            <w:tcW w:w="391" w:type="dxa"/>
            <w:tcBorders/>
            <w:shd w:fill="auto" w:val="clear"/>
            <w:vAlign w:val="center"/>
          </w:tcPr>
          <w:p>
            <w:pPr>
              <w:pStyle w:val="TableContents"/>
              <w:spacing w:before="0" w:after="283"/>
              <w:rPr>
                <w:sz w:val="4"/>
                <w:szCs w:val="4"/>
              </w:rPr>
            </w:pPr>
            <w:r>
              <w:rPr>
                <w:sz w:val="4"/>
                <w:szCs w:val="4"/>
              </w:rPr>
            </w:r>
          </w:p>
        </w:tc>
        <w:tc>
          <w:tcPr>
            <w:tcW w:w="4340"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29"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54"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r>
      <w:tr>
        <w:trPr/>
        <w:tc>
          <w:tcPr>
            <w:tcW w:w="391" w:type="dxa"/>
            <w:tcBorders/>
            <w:shd w:fill="auto" w:val="clear"/>
            <w:vAlign w:val="bottom"/>
          </w:tcPr>
          <w:p>
            <w:pPr>
              <w:pStyle w:val="TableHeading"/>
              <w:suppressLineNumbers/>
              <w:spacing w:before="0" w:after="283"/>
              <w:jc w:val="center"/>
              <w:rPr/>
            </w:pPr>
            <w:r>
              <w:rPr/>
              <w:t> </w:t>
            </w:r>
          </w:p>
        </w:tc>
        <w:tc>
          <w:tcPr>
            <w:tcW w:w="4340" w:type="dxa"/>
            <w:tcBorders/>
            <w:shd w:fill="auto" w:val="clear"/>
            <w:vAlign w:val="bottom"/>
          </w:tcPr>
          <w:p>
            <w:pPr>
              <w:pStyle w:val="TableHeading"/>
              <w:spacing w:before="0" w:after="283"/>
              <w:jc w:val="left"/>
              <w:rPr/>
            </w:pPr>
            <w:r>
              <w:rPr/>
              <w:t> </w:t>
            </w:r>
          </w:p>
        </w:tc>
        <w:tc>
          <w:tcPr>
            <w:tcW w:w="294" w:type="dxa"/>
            <w:tcBorders/>
            <w:shd w:fill="auto" w:val="clear"/>
            <w:vAlign w:val="bottom"/>
          </w:tcPr>
          <w:p>
            <w:pPr>
              <w:pStyle w:val="TableHeading"/>
              <w:suppressLineNumbers/>
              <w:spacing w:before="0" w:after="283"/>
              <w:jc w:val="center"/>
              <w:rPr/>
            </w:pPr>
            <w:r>
              <w:rPr/>
              <w:t> </w:t>
            </w:r>
          </w:p>
        </w:tc>
        <w:tc>
          <w:tcPr>
            <w:tcW w:w="22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Six Months Ended</w:t>
              <w:br/>
              <w:t xml:space="preserve">June 30, 2013 </w:t>
            </w:r>
          </w:p>
        </w:tc>
        <w:tc>
          <w:tcPr>
            <w:tcW w:w="293" w:type="dxa"/>
            <w:tcBorders/>
            <w:shd w:fill="auto" w:val="clear"/>
            <w:vAlign w:val="bottom"/>
          </w:tcPr>
          <w:p>
            <w:pPr>
              <w:pStyle w:val="TableHeading"/>
              <w:suppressLineNumbers/>
              <w:spacing w:before="0" w:after="283"/>
              <w:jc w:val="center"/>
              <w:rPr/>
            </w:pPr>
            <w:r>
              <w:rPr/>
              <w:t> </w:t>
            </w:r>
          </w:p>
        </w:tc>
        <w:tc>
          <w:tcPr>
            <w:tcW w:w="23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Year Ended</w:t>
              <w:br/>
              <w:t xml:space="preserve">December 31, 2012 </w:t>
            </w:r>
          </w:p>
        </w:tc>
        <w:tc>
          <w:tcPr>
            <w:tcW w:w="294" w:type="dxa"/>
            <w:tcBorders/>
            <w:shd w:fill="auto" w:val="clear"/>
            <w:vAlign w:val="bottom"/>
          </w:tcPr>
          <w:p>
            <w:pPr>
              <w:pStyle w:val="TableHeading"/>
              <w:suppressLineNumbers/>
              <w:spacing w:before="0" w:after="283"/>
              <w:jc w:val="center"/>
              <w:rPr/>
            </w:pPr>
            <w:r>
              <w:rPr/>
              <w:t> </w:t>
            </w:r>
          </w:p>
        </w:tc>
      </w:tr>
      <w:tr>
        <w:trPr/>
        <w:tc>
          <w:tcPr>
            <w:tcW w:w="391" w:type="dxa"/>
            <w:tcBorders/>
            <w:shd w:fill="auto" w:val="clear"/>
            <w:vAlign w:val="bottom"/>
          </w:tcPr>
          <w:p>
            <w:pPr>
              <w:pStyle w:val="TableHeading"/>
              <w:suppressLineNumbers/>
              <w:spacing w:before="0" w:after="283"/>
              <w:jc w:val="center"/>
              <w:rPr/>
            </w:pPr>
            <w:r>
              <w:rPr/>
              <w:t> </w:t>
            </w:r>
          </w:p>
        </w:tc>
        <w:tc>
          <w:tcPr>
            <w:tcW w:w="4340" w:type="dxa"/>
            <w:tcBorders/>
            <w:shd w:fill="auto" w:val="clear"/>
            <w:vAlign w:val="bottom"/>
          </w:tcPr>
          <w:p>
            <w:pPr>
              <w:pStyle w:val="TableHeading"/>
              <w:spacing w:before="0" w:after="283"/>
              <w:jc w:val="left"/>
              <w:rPr/>
            </w:pPr>
            <w:r>
              <w:rPr/>
              <w:t> </w:t>
            </w:r>
          </w:p>
        </w:tc>
        <w:tc>
          <w:tcPr>
            <w:tcW w:w="294" w:type="dxa"/>
            <w:tcBorders/>
            <w:shd w:fill="auto" w:val="clear"/>
            <w:vAlign w:val="bottom"/>
          </w:tcPr>
          <w:p>
            <w:pPr>
              <w:pStyle w:val="TableHeading"/>
              <w:suppressLineNumbers/>
              <w:spacing w:before="0" w:after="283"/>
              <w:jc w:val="center"/>
              <w:rPr/>
            </w:pPr>
            <w:r>
              <w:rPr/>
              <w:t> </w:t>
            </w:r>
          </w:p>
        </w:tc>
        <w:tc>
          <w:tcPr>
            <w:tcW w:w="4886" w:type="dxa"/>
            <w:gridSpan w:val="5"/>
            <w:tcBorders/>
            <w:shd w:fill="auto" w:val="clear"/>
            <w:vAlign w:val="bottom"/>
          </w:tcPr>
          <w:p>
            <w:pPr>
              <w:pStyle w:val="TableHeading"/>
              <w:spacing w:before="0" w:after="283"/>
              <w:jc w:val="center"/>
              <w:rPr>
                <w:rFonts w:ascii="times" w:hAnsi="times"/>
                <w:b/>
                <w:i/>
                <w:sz w:val="14"/>
              </w:rPr>
            </w:pPr>
            <w:r>
              <w:rPr>
                <w:rFonts w:ascii="times" w:hAnsi="times"/>
                <w:b/>
                <w:i/>
                <w:sz w:val="14"/>
              </w:rPr>
              <w:t>Unaudited</w:t>
            </w:r>
          </w:p>
        </w:tc>
        <w:tc>
          <w:tcPr>
            <w:tcW w:w="294" w:type="dxa"/>
            <w:tcBorders/>
            <w:shd w:fill="auto" w:val="clear"/>
            <w:vAlign w:val="bottom"/>
          </w:tcPr>
          <w:p>
            <w:pPr>
              <w:pStyle w:val="TableHeading"/>
              <w:suppressLineNumbers/>
              <w:spacing w:before="0" w:after="283"/>
              <w:jc w:val="center"/>
              <w:rPr/>
            </w:pPr>
            <w:r>
              <w:rPr/>
              <w:t> </w:t>
            </w:r>
          </w:p>
        </w:tc>
      </w:tr>
      <w:tr>
        <w:trPr/>
        <w:tc>
          <w:tcPr>
            <w:tcW w:w="391" w:type="dxa"/>
            <w:tcBorders/>
            <w:shd w:fill="CCEEFF" w:val="clear"/>
          </w:tcPr>
          <w:p>
            <w:pPr>
              <w:pStyle w:val="TableContents"/>
              <w:spacing w:before="0" w:after="283"/>
              <w:rPr/>
            </w:pPr>
            <w:r>
              <w:rPr/>
              <w:t> </w:t>
            </w:r>
          </w:p>
        </w:tc>
        <w:tc>
          <w:tcPr>
            <w:tcW w:w="4340" w:type="dxa"/>
            <w:tcBorders/>
            <w:shd w:fill="CCEEFF" w:val="clear"/>
            <w:vAlign w:val="bottom"/>
          </w:tcPr>
          <w:p>
            <w:pPr>
              <w:pStyle w:val="TableContents"/>
              <w:spacing w:before="0" w:after="283"/>
              <w:ind w:left="160" w:right="0" w:hanging="160"/>
              <w:rPr>
                <w:rFonts w:ascii="times" w:hAnsi="times"/>
              </w:rPr>
            </w:pPr>
            <w:r>
              <w:rPr>
                <w:rFonts w:ascii="times" w:hAnsi="times"/>
                <w:i/>
                <w:sz w:val="14"/>
              </w:rPr>
              <w:t>Pro forma</w:t>
            </w:r>
            <w:r>
              <w:rPr>
                <w:rFonts w:ascii="times" w:hAnsi="times"/>
              </w:rPr>
              <w:t xml:space="preserve"> </w:t>
            </w:r>
            <w:r>
              <w:rPr>
                <w:rFonts w:ascii="times" w:hAnsi="times"/>
                <w:sz w:val="14"/>
              </w:rPr>
              <w:t>net income (loss) for the period</w:t>
            </w:r>
          </w:p>
        </w:tc>
        <w:tc>
          <w:tcPr>
            <w:tcW w:w="294"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29" w:type="dxa"/>
            <w:tcBorders/>
            <w:shd w:fill="CCEEFF" w:val="clear"/>
            <w:vAlign w:val="bottom"/>
          </w:tcPr>
          <w:p>
            <w:pPr>
              <w:pStyle w:val="TableContents"/>
              <w:spacing w:before="0" w:after="283"/>
              <w:jc w:val="right"/>
              <w:rPr>
                <w:rFonts w:ascii="times" w:hAnsi="times"/>
                <w:sz w:val="14"/>
              </w:rPr>
            </w:pPr>
            <w:r>
              <w:rPr>
                <w:rFonts w:ascii="times" w:hAnsi="times"/>
                <w:sz w:val="14"/>
              </w:rPr>
              <w:t>(3,015</w:t>
            </w:r>
          </w:p>
        </w:tc>
        <w:tc>
          <w:tcPr>
            <w:tcW w:w="29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5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4" w:type="dxa"/>
            <w:tcBorders/>
            <w:shd w:fill="CCEEFF" w:val="clear"/>
            <w:vAlign w:val="bottom"/>
          </w:tcPr>
          <w:p>
            <w:pPr>
              <w:pStyle w:val="TableContents"/>
              <w:spacing w:before="0" w:after="283"/>
              <w:jc w:val="right"/>
              <w:rPr>
                <w:rFonts w:ascii="times" w:hAnsi="times"/>
                <w:sz w:val="14"/>
              </w:rPr>
            </w:pPr>
            <w:r>
              <w:rPr>
                <w:rFonts w:ascii="times" w:hAnsi="times"/>
                <w:sz w:val="14"/>
              </w:rPr>
              <w:t>307,274</w:t>
            </w:r>
          </w:p>
        </w:tc>
        <w:tc>
          <w:tcPr>
            <w:tcW w:w="294" w:type="dxa"/>
            <w:tcBorders/>
            <w:shd w:fill="CCEEFF" w:val="clear"/>
            <w:vAlign w:val="bottom"/>
          </w:tcPr>
          <w:p>
            <w:pPr>
              <w:pStyle w:val="TableContents"/>
              <w:spacing w:before="0" w:after="283"/>
              <w:rPr/>
            </w:pPr>
            <w:r>
              <w:rPr/>
              <w:t> </w:t>
            </w:r>
          </w:p>
        </w:tc>
      </w:tr>
      <w:tr>
        <w:trPr/>
        <w:tc>
          <w:tcPr>
            <w:tcW w:w="391" w:type="dxa"/>
            <w:tcBorders/>
            <w:shd w:fill="FFFFFF" w:val="clear"/>
          </w:tcPr>
          <w:p>
            <w:pPr>
              <w:pStyle w:val="TableContents"/>
              <w:spacing w:before="0" w:after="283"/>
              <w:rPr/>
            </w:pPr>
            <w:r>
              <w:rPr/>
              <w:t> </w:t>
            </w:r>
          </w:p>
        </w:tc>
        <w:tc>
          <w:tcPr>
            <w:tcW w:w="4340" w:type="dxa"/>
            <w:tcBorders/>
            <w:shd w:fill="FFFFFF" w:val="clear"/>
            <w:vAlign w:val="bottom"/>
          </w:tcPr>
          <w:p>
            <w:pPr>
              <w:pStyle w:val="TableContents"/>
              <w:spacing w:before="0" w:after="283"/>
              <w:ind w:left="160" w:right="0" w:hanging="160"/>
              <w:rPr>
                <w:rFonts w:ascii="times" w:hAnsi="times"/>
              </w:rPr>
            </w:pPr>
            <w:r>
              <w:rPr>
                <w:rFonts w:ascii="times" w:hAnsi="times"/>
                <w:i/>
                <w:sz w:val="14"/>
              </w:rPr>
              <w:t>Pro forma</w:t>
            </w:r>
            <w:r>
              <w:rPr>
                <w:rFonts w:ascii="times" w:hAnsi="times"/>
              </w:rPr>
              <w:t xml:space="preserve"> </w:t>
            </w:r>
            <w:r>
              <w:rPr>
                <w:rFonts w:ascii="times" w:hAnsi="times"/>
                <w:sz w:val="14"/>
              </w:rPr>
              <w:t>net income (loss) per share  basic</w:t>
            </w:r>
          </w:p>
        </w:tc>
        <w:tc>
          <w:tcPr>
            <w:tcW w:w="294"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29" w:type="dxa"/>
            <w:tcBorders/>
            <w:shd w:fill="FFFFFF" w:val="clear"/>
            <w:vAlign w:val="bottom"/>
          </w:tcPr>
          <w:p>
            <w:pPr>
              <w:pStyle w:val="TableContents"/>
              <w:spacing w:before="0" w:after="283"/>
              <w:jc w:val="right"/>
              <w:rPr>
                <w:rFonts w:ascii="times" w:hAnsi="times"/>
                <w:sz w:val="14"/>
              </w:rPr>
            </w:pPr>
            <w:r>
              <w:rPr>
                <w:rFonts w:ascii="times" w:hAnsi="times"/>
                <w:sz w:val="14"/>
              </w:rPr>
              <w:t>(0.02</w:t>
            </w:r>
          </w:p>
        </w:tc>
        <w:tc>
          <w:tcPr>
            <w:tcW w:w="29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5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4" w:type="dxa"/>
            <w:tcBorders/>
            <w:shd w:fill="FFFFFF" w:val="clear"/>
            <w:vAlign w:val="bottom"/>
          </w:tcPr>
          <w:p>
            <w:pPr>
              <w:pStyle w:val="TableContents"/>
              <w:spacing w:before="0" w:after="283"/>
              <w:jc w:val="right"/>
              <w:rPr>
                <w:rFonts w:ascii="times" w:hAnsi="times"/>
                <w:sz w:val="14"/>
              </w:rPr>
            </w:pPr>
            <w:r>
              <w:rPr>
                <w:rFonts w:ascii="times" w:hAnsi="times"/>
                <w:sz w:val="14"/>
              </w:rPr>
              <w:t>1.79</w:t>
            </w:r>
          </w:p>
        </w:tc>
        <w:tc>
          <w:tcPr>
            <w:tcW w:w="294" w:type="dxa"/>
            <w:tcBorders/>
            <w:shd w:fill="FFFFFF" w:val="clear"/>
            <w:vAlign w:val="bottom"/>
          </w:tcPr>
          <w:p>
            <w:pPr>
              <w:pStyle w:val="TableContents"/>
              <w:spacing w:before="0" w:after="283"/>
              <w:rPr/>
            </w:pPr>
            <w:r>
              <w:rPr/>
              <w:t> </w:t>
            </w:r>
          </w:p>
        </w:tc>
      </w:tr>
    </w:tbl>
    <w:p>
      <w:pPr>
        <w:pStyle w:val="TextBody"/>
        <w:numPr>
          <w:ilvl w:val="0"/>
          <w:numId w:val="0"/>
        </w:numPr>
        <w:ind w:left="707" w:hanging="0"/>
        <w:rPr>
          <w:rFonts w:ascii="times" w:hAnsi="times"/>
          <w:b/>
          <w:i/>
          <w:sz w:val="14"/>
        </w:rPr>
      </w:pPr>
      <w:r>
        <w:rPr>
          <w:rFonts w:ascii="times" w:hAnsi="times"/>
          <w:b/>
          <w:i/>
          <w:sz w:val="14"/>
        </w:rPr>
        <w:t xml:space="preserve">Grayd Resource Corporation </w:t>
      </w:r>
    </w:p>
    <w:p>
      <w:pPr>
        <w:pStyle w:val="TextBody"/>
        <w:numPr>
          <w:ilvl w:val="0"/>
          <w:numId w:val="0"/>
        </w:numPr>
        <w:ind w:left="707" w:hanging="0"/>
        <w:rPr>
          <w:rFonts w:ascii="times" w:hAnsi="times"/>
          <w:sz w:val="14"/>
        </w:rPr>
      </w:pPr>
      <w:r>
        <w:rPr>
          <w:rFonts w:ascii="times" w:hAnsi="times"/>
          <w:sz w:val="14"/>
        </w:rPr>
        <w:t xml:space="preserve">On November 18, 2011, the Company acquired 94.77% of the outstanding shares of Grayd Resource Corporation ("Grayd"), on a fully-diluted basis, by way of a take-over bid. The November 18, 2011 purchase price of $222.1 million was comprised of $166.0 million in cash and 1,250,477 newly issued Agnico Eagle shares. The acquisition was accounted for as a business combination and goodwill of $29.2 million was recognized on the Company's consolidated balance sheets. </w:t>
      </w:r>
    </w:p>
    <w:p>
      <w:pPr>
        <w:pStyle w:val="TextBody"/>
        <w:numPr>
          <w:ilvl w:val="0"/>
          <w:numId w:val="0"/>
        </w:numPr>
        <w:ind w:left="707" w:hanging="0"/>
        <w:rPr>
          <w:rFonts w:ascii="times" w:hAnsi="times"/>
          <w:sz w:val="14"/>
        </w:rPr>
      </w:pPr>
      <w:r>
        <w:rPr>
          <w:rFonts w:ascii="times" w:hAnsi="times"/>
          <w:sz w:val="14"/>
        </w:rPr>
        <w:t xml:space="preserve">On January 23, 2012, the Company acquired the remaining outstanding shares of Grayd it did not already own, pursuant to a previously announced compulsory acquisition carried out under the provisions of the Business Corporations Act (British Columbia). The January 23, 2012 purchase price of $11.8 million was comprised of $9.3 million in cash and 68,941 newly issued Agnico Eagle shares valued at $2.4 million. The non-controlling interest as reported on the December 31, 2011 consolidated balance sheets of the Company was eliminated as a result of this transaction. </w:t>
      </w:r>
    </w:p>
    <w:p>
      <w:pPr>
        <w:pStyle w:val="TextBody"/>
        <w:rPr>
          <w:rFonts w:ascii="times" w:hAnsi="times"/>
          <w:b/>
          <w:sz w:val="14"/>
        </w:rPr>
      </w:pPr>
      <w:r>
        <w:rPr>
          <w:rFonts w:ascii="times" w:hAnsi="times"/>
          <w:b/>
          <w:sz w:val="14"/>
        </w:rPr>
        <w:t xml:space="preserve">15.   GENERAL AND ADMINISTRATIVE </w:t>
      </w:r>
    </w:p>
    <w:p>
      <w:pPr>
        <w:pStyle w:val="TextBody"/>
        <w:numPr>
          <w:ilvl w:val="0"/>
          <w:numId w:val="0"/>
        </w:numPr>
        <w:ind w:left="707" w:hanging="0"/>
        <w:rPr>
          <w:rFonts w:ascii="times" w:hAnsi="times"/>
          <w:sz w:val="14"/>
        </w:rPr>
      </w:pPr>
      <w:r>
        <w:rPr>
          <w:rFonts w:ascii="times" w:hAnsi="times"/>
          <w:sz w:val="14"/>
        </w:rPr>
        <w:t xml:space="preserve">Due to a kitchen fire at the Meadowbank mine in March 2011, the Company recognized a loss on disposal of the kitchen of $6.9 million, incurred related costs of $7.4 million, and recognized an insurance receivable for $11.2 million. The difference of $3.1 million was recognized in the general and administrative line item of the interim unaudited consolidated statements of income and comprehensive income during the three months ended March 31, 2011. </w:t>
      </w:r>
    </w:p>
    <w:p>
      <w:pPr>
        <w:pStyle w:val="TextBody"/>
        <w:numPr>
          <w:ilvl w:val="0"/>
          <w:numId w:val="0"/>
        </w:numPr>
        <w:ind w:left="707" w:hanging="0"/>
        <w:rPr>
          <w:rFonts w:ascii="times" w:hAnsi="times"/>
          <w:sz w:val="14"/>
        </w:rPr>
      </w:pPr>
      <w:r>
        <w:rPr>
          <w:rFonts w:ascii="times" w:hAnsi="times"/>
          <w:sz w:val="14"/>
        </w:rPr>
        <w:t xml:space="preserve">During the subsequent months of 2011 and 2012, the Company received $4.6 million in insurance proceeds relating to the kitchen fire at the Meadowbank mine and had a related remaining insurance receivable of $6.6 million as at December 31, 2012 within the other current assets line item of the consolidated balance sheets. During the six months ended June 30, 2013, the Company did not receive </w:t>
      </w:r>
    </w:p>
    <w:p>
      <w:pPr>
        <w:pStyle w:val="TextBody"/>
        <w:jc w:val="center"/>
        <w:rPr>
          <w:rFonts w:ascii="times" w:hAnsi="times"/>
          <w:sz w:val="20"/>
        </w:rPr>
      </w:pPr>
      <w:r>
        <w:rPr>
          <w:rFonts w:ascii="times" w:hAnsi="times"/>
          <w:sz w:val="20"/>
        </w:rPr>
        <w:t>35</w:t>
      </w:r>
    </w:p>
    <w:p>
      <w:pPr>
        <w:pStyle w:val="HorizontalLine"/>
        <w:pBdr>
          <w:bottom w:val="single" w:sz="20" w:space="0" w:color="808080"/>
        </w:pBdr>
        <w:rPr/>
      </w:pPr>
      <w:r>
        <w:rPr/>
      </w:r>
      <w:r>
        <w:br w:type="page"/>
      </w:r>
    </w:p>
    <w:p>
      <w:pPr>
        <w:pStyle w:val="TextBody"/>
        <w:jc w:val="center"/>
        <w:rPr>
          <w:rFonts w:ascii="times" w:hAnsi="times"/>
          <w:b/>
          <w:sz w:val="20"/>
        </w:rPr>
      </w:pPr>
      <w:bookmarkStart w:id="62" w:name="page_fi72201_1_36"/>
      <w:bookmarkEnd w:id="62"/>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June 30, 2013 </w:t>
      </w:r>
    </w:p>
    <w:p>
      <w:pPr>
        <w:pStyle w:val="TextBody"/>
        <w:rPr>
          <w:rFonts w:ascii="times" w:hAnsi="times"/>
          <w:b/>
          <w:sz w:val="14"/>
        </w:rPr>
      </w:pPr>
      <w:r>
        <w:rPr>
          <w:rFonts w:ascii="times" w:hAnsi="times"/>
          <w:b/>
          <w:sz w:val="14"/>
        </w:rPr>
        <w:t xml:space="preserve">15.   GENERAL AND ADMINISTRATIVE (Continued) </w:t>
      </w:r>
    </w:p>
    <w:p>
      <w:pPr>
        <w:pStyle w:val="TextBody"/>
        <w:numPr>
          <w:ilvl w:val="0"/>
          <w:numId w:val="0"/>
        </w:numPr>
        <w:ind w:left="707" w:hanging="0"/>
        <w:rPr>
          <w:rFonts w:ascii="times" w:hAnsi="times"/>
          <w:sz w:val="14"/>
        </w:rPr>
      </w:pPr>
      <w:r>
        <w:rPr>
          <w:rFonts w:ascii="times" w:hAnsi="times"/>
          <w:sz w:val="14"/>
        </w:rPr>
        <w:t xml:space="preserve">any insurance proceeds relating to the kitchen fire at the Meadowbank mine and had a related remaining insurance receivable of $6.6 million as at June 30, 2013. </w:t>
      </w:r>
    </w:p>
    <w:p>
      <w:pPr>
        <w:pStyle w:val="TextBody"/>
        <w:rPr>
          <w:rFonts w:ascii="times" w:hAnsi="times"/>
          <w:b/>
          <w:sz w:val="14"/>
        </w:rPr>
      </w:pPr>
      <w:r>
        <w:rPr>
          <w:rFonts w:ascii="times" w:hAnsi="times"/>
          <w:b/>
          <w:sz w:val="14"/>
        </w:rPr>
        <w:t xml:space="preserve">16.   SUBSEQUENT EVENTS </w:t>
      </w:r>
    </w:p>
    <w:p>
      <w:pPr>
        <w:pStyle w:val="TextBody"/>
        <w:numPr>
          <w:ilvl w:val="0"/>
          <w:numId w:val="0"/>
        </w:numPr>
        <w:ind w:left="707" w:hanging="0"/>
        <w:rPr>
          <w:rFonts w:ascii="times" w:hAnsi="times"/>
          <w:sz w:val="14"/>
        </w:rPr>
      </w:pPr>
      <w:r>
        <w:rPr>
          <w:rFonts w:ascii="times" w:hAnsi="times"/>
          <w:sz w:val="14"/>
        </w:rPr>
        <w:t xml:space="preserve">On July 24, 2013, Agnico Eagle announced that the Board approved the payment of a quarterly cash dividend of $0.22 per common share, payable on September 17, 2013 to holders of record of the common shares of the Company on September 3, 2013. </w:t>
      </w:r>
    </w:p>
    <w:p>
      <w:pPr>
        <w:pStyle w:val="TextBody"/>
        <w:rPr>
          <w:rFonts w:ascii="times" w:hAnsi="times"/>
          <w:b/>
          <w:sz w:val="14"/>
        </w:rPr>
      </w:pPr>
      <w:r>
        <w:rPr>
          <w:rFonts w:ascii="times" w:hAnsi="times"/>
          <w:b/>
          <w:sz w:val="14"/>
        </w:rPr>
        <w:t xml:space="preserve">17.   SECURITIES CLASS ACTION LAWSUITS </w:t>
      </w:r>
    </w:p>
    <w:p>
      <w:pPr>
        <w:pStyle w:val="TextBody"/>
        <w:numPr>
          <w:ilvl w:val="0"/>
          <w:numId w:val="0"/>
        </w:numPr>
        <w:ind w:left="707" w:hanging="0"/>
        <w:rPr>
          <w:rFonts w:ascii="times" w:hAnsi="times"/>
        </w:rPr>
      </w:pPr>
      <w:r>
        <w:rPr>
          <w:rFonts w:ascii="times" w:hAnsi="times"/>
          <w:sz w:val="14"/>
        </w:rPr>
        <w:t xml:space="preserve">On November 7, 2011 and November 22, 2011, the Company and certain current and former senior officers, some of whom also are or were directors of the Company, were named as defendants in two putative class action lawsuits, styled </w:t>
      </w:r>
      <w:r>
        <w:rPr>
          <w:rFonts w:ascii="times" w:hAnsi="times"/>
          <w:i/>
          <w:sz w:val="14"/>
        </w:rPr>
        <w:t>Jerome Stone v. Agnico-Eagle Mines Ltd.</w:t>
      </w:r>
      <w:r>
        <w:rPr>
          <w:rFonts w:ascii="times" w:hAnsi="times"/>
          <w:sz w:val="14"/>
        </w:rPr>
        <w:t xml:space="preserve">, et al., and </w:t>
      </w:r>
      <w:r>
        <w:rPr>
          <w:rFonts w:ascii="times" w:hAnsi="times"/>
          <w:i/>
          <w:sz w:val="14"/>
        </w:rPr>
        <w:t>Chris Hastings v. Agnico-Eagle Mines Limited, et al.</w:t>
      </w:r>
      <w:r>
        <w:rPr>
          <w:rFonts w:ascii="times" w:hAnsi="times"/>
          <w:sz w:val="14"/>
        </w:rPr>
        <w:t xml:space="preserve">, respectively, which were filed in the United States District Court for the Southern District of New York. On February 6, 2012, the Court ordered that the two complaints be consolidated under the caption </w:t>
      </w:r>
      <w:r>
        <w:rPr>
          <w:rFonts w:ascii="times" w:hAnsi="times"/>
          <w:i/>
          <w:sz w:val="14"/>
        </w:rPr>
        <w:t>In re Agnico-Eagle Mines Ltd. Securities Litigation</w:t>
      </w:r>
      <w:r>
        <w:rPr>
          <w:rFonts w:ascii="times" w:hAnsi="times"/>
          <w:sz w:val="14"/>
        </w:rPr>
        <w:t xml:space="preserve">, and lead counsel was appointed. On April 6, 2012, a Consolidated Complaint was issued against the Company and certain of its current and former senior officers and directors. The Consolidated Complaint alleges that the Company had violated federal securities law in connection with its disclosure related to the Goldex mine. The Consolidated Complaint seeks, among other things, damages on behalf of persons who purchased or acquired securities of the Company during the period July 28, 2010 to October 19, 2011. The Consolidated Complaint has not been certified as a class action, and the Company intends to vigorously defend it. On January 14, 2013, Judge Oetken granted the Company's motion to dismiss the Consolidated Complaint and all claims therein and denied the plaintiffs' request for leave to amend the Consolidated Complaint. On February 12, 2013, the plaintiffs filed a Notice of Appeal to the United States Court for Appeals for the Second Circuit. No date has been set for the appeal. </w:t>
      </w:r>
    </w:p>
    <w:p>
      <w:pPr>
        <w:pStyle w:val="TextBody"/>
        <w:numPr>
          <w:ilvl w:val="0"/>
          <w:numId w:val="0"/>
        </w:numPr>
        <w:ind w:left="707" w:hanging="0"/>
        <w:rPr>
          <w:rFonts w:ascii="times" w:hAnsi="times"/>
        </w:rPr>
      </w:pPr>
      <w:r>
        <w:rPr>
          <w:rFonts w:ascii="times" w:hAnsi="times"/>
          <w:sz w:val="14"/>
        </w:rPr>
        <w:t xml:space="preserve">On March 8, 2012 and April 10, 2012, a Notice of Action and Statement of Claim (collectively, the "Ontario Claim") were issued by William Leslie, AFA Livforsakringsaktiebolag and certain other entities against the Company and certain of its current and former officers, some of whom also are or were directors of the Company. On September 27, 2012, the plaintiffs issued a Fresh as Amended Statement of Claim. The Fresh as Amended Statement of Claim alleges that the Company's public disclosure concerning water flow issues at its Goldex mine was misleading. The Ontario Claim was issued by the plaintiffs on behalf of all persons and entities who acquired securities of the Company during the period March 26, 2010 to October 19, 2011, excluding persons resident or domiciled in the Province of Quebec at the time they purchased or acquired such securities. The plaintiffs seek, among other things, damages of C$250.0 million and to certify the Ontario Claim as a class action. On April 17, 2013 an Order was granted on consent certifying a class action proceeding and granting leave for the claims under Section 138 of the </w:t>
      </w:r>
      <w:r>
        <w:rPr>
          <w:rFonts w:ascii="times" w:hAnsi="times"/>
          <w:i/>
          <w:sz w:val="14"/>
        </w:rPr>
        <w:t>Securities Act</w:t>
      </w:r>
      <w:r>
        <w:rPr>
          <w:rFonts w:ascii="times" w:hAnsi="times"/>
        </w:rPr>
        <w:t xml:space="preserve"> </w:t>
      </w:r>
      <w:r>
        <w:rPr>
          <w:rFonts w:ascii="times" w:hAnsi="times"/>
          <w:sz w:val="14"/>
        </w:rPr>
        <w:t xml:space="preserve">(Ontario) to proceed. The Company intends to vigorously defend the action on the merits. </w:t>
      </w:r>
    </w:p>
    <w:p>
      <w:pPr>
        <w:pStyle w:val="TextBody"/>
        <w:numPr>
          <w:ilvl w:val="0"/>
          <w:numId w:val="0"/>
        </w:numPr>
        <w:ind w:left="707" w:hanging="0"/>
        <w:rPr>
          <w:rFonts w:ascii="times" w:hAnsi="times"/>
        </w:rPr>
      </w:pPr>
      <w:r>
        <w:rPr>
          <w:rFonts w:ascii="times" w:hAnsi="times"/>
          <w:sz w:val="14"/>
        </w:rPr>
        <w:t xml:space="preserve">On March 28, 2012, the Company and certain of its current and former senior officers, some of whom also are or were directors of the Company, were named as respondents in a Motion for Leave to Institute a Class Action and for the Appointment of a Representative Plaintiff (the "Quebec Motion"). The action is on behalf of all persons and entities with fewer than 50 employees resident in Quebec who acquired securities of the Company between March 26, 2010 and October 19, 2011. The proposed class action is for damages of C$100.0 million arising as a result of allegedly misleading disclosure by the Company concerning its operations at the Goldex mine. On October 15, 2012, the plaintiffs served an amended Quebec Motion seeking leave to commence an action under the </w:t>
      </w:r>
      <w:r>
        <w:rPr>
          <w:rFonts w:ascii="times" w:hAnsi="times"/>
          <w:i/>
          <w:sz w:val="14"/>
        </w:rPr>
        <w:t>Securities Act</w:t>
      </w:r>
      <w:r>
        <w:rPr>
          <w:rFonts w:ascii="times" w:hAnsi="times"/>
        </w:rPr>
        <w:t xml:space="preserve"> </w:t>
      </w:r>
      <w:r>
        <w:rPr>
          <w:rFonts w:ascii="times" w:hAnsi="times"/>
          <w:sz w:val="14"/>
        </w:rPr>
        <w:t xml:space="preserve">(Quebec) in addition to seeking authorization to institute a class action. No date has been set for the hearing to argue the Quebec Motion. The Company intends to vigorously contest the Quebec Motion and defend the claim. </w:t>
      </w:r>
    </w:p>
    <w:p>
      <w:pPr>
        <w:pStyle w:val="TextBody"/>
        <w:rPr>
          <w:rFonts w:ascii="times" w:hAnsi="times"/>
          <w:b/>
          <w:sz w:val="14"/>
        </w:rPr>
      </w:pPr>
      <w:r>
        <w:rPr>
          <w:rFonts w:ascii="times" w:hAnsi="times"/>
          <w:b/>
          <w:sz w:val="14"/>
        </w:rPr>
        <w:t xml:space="preserve">18.   COMPARATIVE FIGURES </w:t>
      </w:r>
    </w:p>
    <w:p>
      <w:pPr>
        <w:pStyle w:val="TextBody"/>
        <w:numPr>
          <w:ilvl w:val="0"/>
          <w:numId w:val="0"/>
        </w:numPr>
        <w:ind w:left="707" w:hanging="0"/>
        <w:rPr>
          <w:rFonts w:ascii="times" w:hAnsi="times"/>
          <w:sz w:val="14"/>
        </w:rPr>
      </w:pPr>
      <w:r>
        <w:rPr>
          <w:rFonts w:ascii="times" w:hAnsi="times"/>
          <w:sz w:val="14"/>
        </w:rPr>
        <w:t xml:space="preserve">Certain figures in the comparative interim unaudited consolidated financial statements have been reclassified from statements previously presented to conform to the presentation of the 2013 interim unaudited consolidated financial statements. </w:t>
      </w:r>
    </w:p>
    <w:p>
      <w:pPr>
        <w:pStyle w:val="TextBody"/>
        <w:jc w:val="center"/>
        <w:rPr>
          <w:rFonts w:ascii="times" w:hAnsi="times"/>
          <w:sz w:val="20"/>
        </w:rPr>
      </w:pPr>
      <w:r>
        <w:rPr>
          <w:rFonts w:ascii="times" w:hAnsi="times"/>
          <w:sz w:val="20"/>
        </w:rPr>
        <w:t>36</w:t>
      </w:r>
    </w:p>
    <w:p>
      <w:pPr>
        <w:pStyle w:val="HorizontalLine"/>
        <w:pBdr>
          <w:bottom w:val="single" w:sz="20" w:space="0" w:color="808080"/>
        </w:pBdr>
        <w:rPr/>
      </w:pPr>
      <w:r>
        <w:rPr/>
      </w:r>
      <w:r>
        <w:br w:type="page"/>
      </w:r>
    </w:p>
    <w:p>
      <w:pPr>
        <w:pStyle w:val="TextBody"/>
        <w:jc w:val="center"/>
        <w:rPr/>
      </w:pPr>
      <w:r>
        <w:rPr/>
        <w:drawing>
          <wp:inline distT="0" distB="0" distL="0" distR="0">
            <wp:extent cx="2581275" cy="12382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581275" cy="1238250"/>
                    </a:xfrm>
                    <a:prstGeom prst="rect">
                      <a:avLst/>
                    </a:prstGeom>
                  </pic:spPr>
                </pic:pic>
              </a:graphicData>
            </a:graphic>
          </wp:inline>
        </w:drawing>
      </w:r>
      <w:r>
        <w:rPr/>
        <w:t xml:space="preserve"> </w:t>
      </w:r>
    </w:p>
    <w:p>
      <w:pPr>
        <w:pStyle w:val="HorizontalLine"/>
        <w:pBdr>
          <w:bottom w:val="single" w:sz="20" w:space="0" w:color="808080"/>
        </w:pBdr>
        <w:rPr/>
      </w:pPr>
      <w:r>
        <w:rPr/>
      </w:r>
      <w:r>
        <w:br w:type="page"/>
      </w:r>
    </w:p>
    <w:p>
      <w:pPr>
        <w:pStyle w:val="TextBody"/>
        <w:rPr/>
      </w:pPr>
      <w:r>
        <w:rPr/>
      </w:r>
    </w:p>
    <w:p>
      <w:pPr>
        <w:pStyle w:val="TextBody"/>
        <w:rPr/>
      </w:pPr>
      <w:r>
        <w:rPr/>
        <w:br/>
      </w:r>
      <w:bookmarkStart w:id="63" w:name="13ZBT72202_2"/>
      <w:bookmarkEnd w:id="63"/>
      <w:r>
        <w:rPr/>
        <w:t>QuickLinks</w:t>
      </w:r>
    </w:p>
    <w:p>
      <w:pPr>
        <w:pStyle w:val="TextBody"/>
        <w:spacing w:before="0" w:after="283"/>
        <w:rPr/>
      </w:pPr>
      <w:hyperlink w:anchor="toc_be72201_1">
        <w:r>
          <w:rPr>
            <w:rStyle w:val="InternetLink"/>
            <w:rFonts w:ascii="times" w:hAnsi="times"/>
            <w:sz w:val="20"/>
          </w:rPr>
          <w:t>Second Quarter Report 2013</w:t>
        </w:r>
      </w:hyperlink>
      <w:r>
        <w:rPr/>
        <w:br/>
      </w:r>
      <w:hyperlink w:anchor="toc_de72201_1">
        <w:r>
          <w:rPr>
            <w:rStyle w:val="InternetLink"/>
            <w:rFonts w:ascii="times" w:hAnsi="times"/>
            <w:sz w:val="20"/>
          </w:rPr>
          <w:t>AGNICO EAGLE MINES LIMITED MANAGEMENT'S DISCUSSION AND ANALYSIS (Prepared in accordance with United States GAAP) for the three and six months ended June 30, 2013</w:t>
        </w:r>
      </w:hyperlink>
      <w:r>
        <w:rPr/>
        <w:br/>
      </w:r>
      <w:hyperlink w:anchor="toc_fc72201_1">
        <w:r>
          <w:rPr>
            <w:rStyle w:val="InternetLink"/>
            <w:rFonts w:ascii="times" w:hAnsi="times"/>
            <w:sz w:val="20"/>
          </w:rPr>
          <w:t>AGNICO EAGLE MINES LIMITED SUMMARY OF OPERATIONS KEY PERFORMANCE INDICATORS (thousands of United States dollars, except where noted)</w:t>
        </w:r>
      </w:hyperlink>
      <w:r>
        <w:rPr/>
        <w:br/>
      </w:r>
      <w:hyperlink w:anchor="toc_fc72201_2">
        <w:r>
          <w:rPr>
            <w:rStyle w:val="InternetLink"/>
            <w:rFonts w:ascii="times" w:hAnsi="times"/>
            <w:sz w:val="20"/>
          </w:rPr>
          <w:t>AGNICO EAGLE MINES LIMITED SUMMARIZED QUARTERLY DATA (thousands of United States dollars, except where noted)</w:t>
        </w:r>
      </w:hyperlink>
      <w:r>
        <w:rPr/>
        <w:br/>
      </w:r>
      <w:hyperlink w:anchor="toc_fe72201_1">
        <w:r>
          <w:rPr>
            <w:rStyle w:val="InternetLink"/>
            <w:rFonts w:ascii="times" w:hAnsi="times"/>
            <w:sz w:val="20"/>
          </w:rPr>
          <w:t>AGNICO EAGLE MINES LIMITED CONSOLIDATED BALANCE SHEETS (thousands of United States dollars, US GAAP basis) (Unaudited)</w:t>
        </w:r>
      </w:hyperlink>
      <w:r>
        <w:rPr/>
        <w:br/>
      </w:r>
      <w:hyperlink w:anchor="toc_fe72201_2">
        <w:r>
          <w:rPr>
            <w:rStyle w:val="InternetLink"/>
            <w:rFonts w:ascii="times" w:hAnsi="times"/>
            <w:sz w:val="20"/>
          </w:rPr>
          <w:t xml:space="preserve">AGNICO EAGLE MINES LIMITED CONSOLIDATED STATEMENTS OF INCOME (LOSS) AND COMPREHENSIVE INCOME (LOSS) (thousands of United States dollars, except share and per share amounts, US GAAP basis) (Unaudited) </w:t>
        </w:r>
      </w:hyperlink>
      <w:r>
        <w:rPr/>
        <w:br/>
      </w:r>
      <w:hyperlink w:anchor="toc_fg72201_1">
        <w:r>
          <w:rPr>
            <w:rStyle w:val="InternetLink"/>
            <w:rFonts w:ascii="times" w:hAnsi="times"/>
            <w:sz w:val="20"/>
          </w:rPr>
          <w:t>AGNICO EAGLE MINES LIMITED CONSOLIDATED STATEMENTS OF SHAREHOLDERS' EQUITY (thousands of United States dollars, US GAAP basis) (Unaudited)</w:t>
        </w:r>
      </w:hyperlink>
      <w:r>
        <w:rPr/>
        <w:br/>
      </w:r>
      <w:hyperlink w:anchor="toc_fg72201_2">
        <w:r>
          <w:rPr>
            <w:rStyle w:val="InternetLink"/>
            <w:rFonts w:ascii="times" w:hAnsi="times"/>
            <w:sz w:val="20"/>
          </w:rPr>
          <w:t>AGNICO EAGLE MINES LIMITED CONSOLIDATED STATEMENTS OF CASH FLOWS (thousands of United States dollars, US GAAP basis) (Unaudited)</w:t>
        </w:r>
      </w:hyperlink>
      <w:r>
        <w:rPr/>
        <w:br/>
      </w:r>
      <w:hyperlink w:anchor="toc_fi72201_1">
        <w:r>
          <w:rPr>
            <w:rStyle w:val="InternetLink"/>
            <w:rFonts w:ascii="times" w:hAnsi="times"/>
            <w:sz w:val="20"/>
          </w:rPr>
          <w:t>AGNICO EAGLE MINES LIMITED NOTES TO CONSOLIDATED FINANCIAL STATEMENTS (thousands of United States dollars, except share and per share amounts, unless otherwise indicated) (Unaudited) June 30, 2013</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43</Pages>
  <Words>19739</Words>
  <CharactersWithSpaces>126091</CharactersWithSpaces>
  <Paragraphs>9960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