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May, 2014</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Form 20-F o 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14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960" w:type="dxa"/>
            <w:vAlign w:val="bottom"/>
          </w:tcPr>
          <w:p>
            <w:pPr>
              <w:jc w:val="center"/>
              <w:ind w:right="137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00" w:type="dxa"/>
            <w:vAlign w:val="bottom"/>
          </w:tcPr>
          <w:p>
            <w:pPr>
              <w:spacing w:after="0"/>
              <w:rPr>
                <w:sz w:val="24"/>
                <w:szCs w:val="24"/>
                <w:color w:val="auto"/>
              </w:rPr>
            </w:pPr>
          </w:p>
        </w:tc>
        <w:tc>
          <w:tcPr>
            <w:tcW w:w="9960" w:type="dxa"/>
            <w:vAlign w:val="bottom"/>
          </w:tcPr>
          <w:p>
            <w:pPr>
              <w:ind w:left="438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99.1</w:t>
            </w:r>
          </w:p>
        </w:tc>
        <w:tc>
          <w:tcPr>
            <w:tcW w:w="300" w:type="dxa"/>
            <w:vAlign w:val="bottom"/>
          </w:tcPr>
          <w:p>
            <w:pPr>
              <w:spacing w:after="0"/>
              <w:rPr>
                <w:sz w:val="19"/>
                <w:szCs w:val="19"/>
                <w:color w:val="auto"/>
              </w:rPr>
            </w:pPr>
          </w:p>
        </w:tc>
        <w:tc>
          <w:tcPr>
            <w:tcW w:w="99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Press Release dated May 2, 2014 announcing the Corporation’s Election of Directors.</w:t>
            </w:r>
          </w:p>
        </w:tc>
      </w:tr>
      <w:tr>
        <w:trPr>
          <w:trHeight w:val="418"/>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960" w:type="dxa"/>
            <w:vAlign w:val="bottom"/>
          </w:tcPr>
          <w:p>
            <w:pPr>
              <w:jc w:val="center"/>
              <w:ind w:right="135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52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52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2240" w:type="dxa"/>
            <w:vAlign w:val="bottom"/>
            <w:tcBorders>
              <w:top w:val="single" w:sz="8" w:color="auto"/>
            </w:tcBorders>
          </w:tcPr>
          <w:p>
            <w:pPr>
              <w:ind w:left="10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520" w:type="dxa"/>
            <w:vAlign w:val="bottom"/>
          </w:tcPr>
          <w:p>
            <w:pPr>
              <w:spacing w:after="0"/>
              <w:rPr>
                <w:sz w:val="20"/>
                <w:szCs w:val="20"/>
                <w:color w:val="auto"/>
              </w:rPr>
            </w:pPr>
            <w:r>
              <w:rPr>
                <w:rFonts w:ascii="Arial" w:cs="Arial" w:eastAsia="Arial" w:hAnsi="Arial"/>
                <w:sz w:val="18"/>
                <w:szCs w:val="18"/>
                <w:color w:val="auto"/>
              </w:rPr>
              <w:t>Date: May 5, 2014</w:t>
            </w:r>
          </w:p>
        </w:tc>
        <w:tc>
          <w:tcPr>
            <w:tcW w:w="220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52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22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52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General Counsel, Sr. Vice President, Legal</w:t>
            </w:r>
          </w:p>
        </w:tc>
        <w:tc>
          <w:tcPr>
            <w:tcW w:w="4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520" w:type="dxa"/>
            <w:vAlign w:val="bottom"/>
          </w:tcPr>
          <w:p>
            <w:pPr>
              <w:spacing w:after="0"/>
              <w:rPr>
                <w:sz w:val="24"/>
                <w:szCs w:val="24"/>
                <w:color w:val="auto"/>
              </w:rPr>
            </w:pPr>
          </w:p>
        </w:tc>
        <w:tc>
          <w:tcPr>
            <w:tcW w:w="2680" w:type="dxa"/>
            <w:vAlign w:val="bottom"/>
            <w:gridSpan w:val="2"/>
          </w:tcPr>
          <w:p>
            <w:pPr>
              <w:jc w:val="right"/>
              <w:ind w:right="350"/>
              <w:spacing w:after="0"/>
              <w:rPr>
                <w:sz w:val="20"/>
                <w:szCs w:val="20"/>
                <w:color w:val="auto"/>
              </w:rPr>
            </w:pPr>
            <w:r>
              <w:rPr>
                <w:rFonts w:ascii="Arial" w:cs="Arial" w:eastAsia="Arial" w:hAnsi="Arial"/>
                <w:sz w:val="18"/>
                <w:szCs w:val="18"/>
                <w:color w:val="auto"/>
              </w:rPr>
              <w:t>2</w:t>
            </w:r>
          </w:p>
        </w:tc>
        <w:tc>
          <w:tcPr>
            <w:tcW w:w="22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20" w:type="dxa"/>
            <w:vAlign w:val="bottom"/>
            <w:tcBorders>
              <w:bottom w:val="single" w:sz="8" w:color="010101"/>
            </w:tcBorders>
          </w:tcPr>
          <w:p>
            <w:pPr>
              <w:spacing w:after="0"/>
              <w:rPr>
                <w:sz w:val="11"/>
                <w:szCs w:val="11"/>
                <w:color w:val="auto"/>
              </w:rPr>
            </w:pPr>
          </w:p>
        </w:tc>
        <w:tc>
          <w:tcPr>
            <w:tcW w:w="2200" w:type="dxa"/>
            <w:vAlign w:val="bottom"/>
            <w:tcBorders>
              <w:bottom w:val="single" w:sz="8" w:color="010101"/>
            </w:tcBorders>
          </w:tcPr>
          <w:p>
            <w:pPr>
              <w:spacing w:after="0"/>
              <w:rPr>
                <w:sz w:val="11"/>
                <w:szCs w:val="11"/>
                <w:color w:val="auto"/>
              </w:rPr>
            </w:pPr>
          </w:p>
        </w:tc>
        <w:tc>
          <w:tcPr>
            <w:tcW w:w="480" w:type="dxa"/>
            <w:vAlign w:val="bottom"/>
            <w:tcBorders>
              <w:bottom w:val="single" w:sz="8" w:color="010101"/>
            </w:tcBorders>
          </w:tcPr>
          <w:p>
            <w:pPr>
              <w:spacing w:after="0"/>
              <w:rPr>
                <w:sz w:val="11"/>
                <w:szCs w:val="11"/>
                <w:color w:val="auto"/>
              </w:rPr>
            </w:pPr>
          </w:p>
        </w:tc>
        <w:tc>
          <w:tcPr>
            <w:tcW w:w="2240" w:type="dxa"/>
            <w:vAlign w:val="bottom"/>
            <w:tcBorders>
              <w:bottom w:val="single" w:sz="8" w:color="010101"/>
            </w:tcBorders>
          </w:tcPr>
          <w:p>
            <w:pPr>
              <w:spacing w:after="0"/>
              <w:rPr>
                <w:sz w:val="11"/>
                <w:szCs w:val="11"/>
                <w:color w:val="auto"/>
              </w:rPr>
            </w:pPr>
          </w:p>
        </w:tc>
        <w:tc>
          <w:tcPr>
            <w:tcW w:w="29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910" w:gutter="0" w:footer="0" w:header="0"/>
        </w:sectPr>
      </w:pPr>
    </w:p>
    <w:bookmarkStart w:id="1" w:name="page2"/>
    <w:bookmarkEnd w:id="1"/>
    <w:p>
      <w:pPr>
        <w:jc w:val="right"/>
        <w:ind w:right="40"/>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179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179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AGNICO EAGLE ANNOUNCES ELECTION OF DIRECTORS</w:t>
      </w:r>
    </w:p>
    <w:p>
      <w:pPr>
        <w:spacing w:after="0" w:line="225"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b w:val="1"/>
          <w:bCs w:val="1"/>
          <w:color w:val="auto"/>
        </w:rPr>
        <w:t xml:space="preserve">Toronto (May 2, 2014) — Agnico Eagle Mines Limited (NYSE:AEM, TSX:AEM) </w:t>
      </w:r>
      <w:r>
        <w:rPr>
          <w:rFonts w:ascii="Arial" w:cs="Arial" w:eastAsia="Arial" w:hAnsi="Arial"/>
          <w:sz w:val="18"/>
          <w:szCs w:val="18"/>
          <w:color w:val="auto"/>
        </w:rPr>
        <w:t>(“Agnico Eagle”) today announced that the thirteen nominees listed in</w:t>
      </w:r>
      <w:r>
        <w:rPr>
          <w:rFonts w:ascii="Arial" w:cs="Arial" w:eastAsia="Arial" w:hAnsi="Arial"/>
          <w:sz w:val="18"/>
          <w:szCs w:val="18"/>
          <w:b w:val="1"/>
          <w:bCs w:val="1"/>
          <w:color w:val="auto"/>
        </w:rPr>
        <w:t xml:space="preserve"> </w:t>
      </w:r>
      <w:r>
        <w:rPr>
          <w:rFonts w:ascii="Arial" w:cs="Arial" w:eastAsia="Arial" w:hAnsi="Arial"/>
          <w:sz w:val="18"/>
          <w:szCs w:val="18"/>
          <w:color w:val="auto"/>
        </w:rPr>
        <w:t>the management information circular, dated March 11, 2014, were elected as directors of Agnico Eagle.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Detailed results of the vote, held earlier today at the Annual and Special Meeting of Shareholders in Toronto, Ontario, are set out below:</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20" w:type="dxa"/>
            <w:vAlign w:val="bottom"/>
            <w:gridSpan w:val="2"/>
            <w:vMerge w:val="restart"/>
          </w:tcPr>
          <w:p>
            <w:pPr>
              <w:jc w:val="right"/>
              <w:ind w:right="680"/>
              <w:spacing w:after="0"/>
              <w:rPr>
                <w:sz w:val="20"/>
                <w:szCs w:val="20"/>
                <w:color w:val="auto"/>
              </w:rPr>
            </w:pPr>
            <w:r>
              <w:rPr>
                <w:rFonts w:ascii="Arial" w:cs="Arial" w:eastAsia="Arial" w:hAnsi="Arial"/>
                <w:sz w:val="14"/>
                <w:szCs w:val="14"/>
                <w:b w:val="1"/>
                <w:bCs w:val="1"/>
                <w:color w:val="auto"/>
              </w:rPr>
              <w:t>Votes</w:t>
            </w:r>
          </w:p>
        </w:tc>
        <w:tc>
          <w:tcPr>
            <w:tcW w:w="142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Total Votes</w:t>
            </w:r>
          </w:p>
        </w:tc>
        <w:tc>
          <w:tcPr>
            <w:tcW w:w="14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Percentage</w:t>
            </w:r>
          </w:p>
        </w:tc>
        <w:tc>
          <w:tcPr>
            <w:tcW w:w="13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7"/>
              </w:rPr>
              <w:t>Percentage</w:t>
            </w:r>
          </w:p>
        </w:tc>
        <w:tc>
          <w:tcPr>
            <w:tcW w:w="0" w:type="dxa"/>
            <w:vAlign w:val="bottom"/>
          </w:tcPr>
          <w:p>
            <w:pPr>
              <w:spacing w:after="0"/>
              <w:rPr>
                <w:sz w:val="1"/>
                <w:szCs w:val="1"/>
                <w:color w:val="auto"/>
              </w:rPr>
            </w:pPr>
          </w:p>
        </w:tc>
      </w:tr>
      <w:tr>
        <w:trPr>
          <w:trHeight w:val="149"/>
        </w:trPr>
        <w:tc>
          <w:tcPr>
            <w:tcW w:w="4160" w:type="dxa"/>
            <w:vAlign w:val="bottom"/>
            <w:vMerge w:val="restart"/>
          </w:tcPr>
          <w:p>
            <w:pPr>
              <w:spacing w:after="0"/>
              <w:rPr>
                <w:sz w:val="20"/>
                <w:szCs w:val="20"/>
                <w:color w:val="auto"/>
              </w:rPr>
            </w:pPr>
            <w:r>
              <w:rPr>
                <w:rFonts w:ascii="Arial" w:cs="Arial" w:eastAsia="Arial" w:hAnsi="Arial"/>
                <w:sz w:val="14"/>
                <w:szCs w:val="14"/>
                <w:b w:val="1"/>
                <w:bCs w:val="1"/>
                <w:color w:val="auto"/>
              </w:rPr>
              <w:t>Nominee</w:t>
            </w:r>
          </w:p>
        </w:tc>
        <w:tc>
          <w:tcPr>
            <w:tcW w:w="300" w:type="dxa"/>
            <w:vAlign w:val="bottom"/>
            <w:vMerge w:val="restart"/>
          </w:tcPr>
          <w:p>
            <w:pPr>
              <w:spacing w:after="0"/>
              <w:rPr>
                <w:sz w:val="12"/>
                <w:szCs w:val="12"/>
                <w:color w:val="auto"/>
              </w:rPr>
            </w:pPr>
          </w:p>
        </w:tc>
        <w:tc>
          <w:tcPr>
            <w:tcW w:w="1120" w:type="dxa"/>
            <w:vAlign w:val="bottom"/>
            <w:vMerge w:val="restart"/>
          </w:tcPr>
          <w:p>
            <w:pPr>
              <w:jc w:val="right"/>
              <w:ind w:right="171"/>
              <w:spacing w:after="0"/>
              <w:rPr>
                <w:sz w:val="20"/>
                <w:szCs w:val="20"/>
                <w:color w:val="auto"/>
              </w:rPr>
            </w:pPr>
            <w:r>
              <w:rPr>
                <w:rFonts w:ascii="Arial" w:cs="Arial" w:eastAsia="Arial" w:hAnsi="Arial"/>
                <w:sz w:val="14"/>
                <w:szCs w:val="14"/>
                <w:b w:val="1"/>
                <w:bCs w:val="1"/>
                <w:color w:val="auto"/>
              </w:rPr>
              <w:t>Votes For</w:t>
            </w:r>
          </w:p>
        </w:tc>
        <w:tc>
          <w:tcPr>
            <w:tcW w:w="280" w:type="dxa"/>
            <w:vAlign w:val="bottom"/>
            <w:vMerge w:val="restart"/>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of Votes</w:t>
            </w:r>
          </w:p>
        </w:tc>
        <w:tc>
          <w:tcPr>
            <w:tcW w:w="13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of Votes</w:t>
            </w:r>
          </w:p>
        </w:tc>
        <w:tc>
          <w:tcPr>
            <w:tcW w:w="0" w:type="dxa"/>
            <w:vAlign w:val="bottom"/>
          </w:tcPr>
          <w:p>
            <w:pPr>
              <w:spacing w:after="0"/>
              <w:rPr>
                <w:sz w:val="1"/>
                <w:szCs w:val="1"/>
                <w:color w:val="auto"/>
              </w:rPr>
            </w:pPr>
          </w:p>
        </w:tc>
      </w:tr>
      <w:tr>
        <w:trPr>
          <w:trHeight w:val="171"/>
        </w:trPr>
        <w:tc>
          <w:tcPr>
            <w:tcW w:w="4160" w:type="dxa"/>
            <w:vAlign w:val="bottom"/>
            <w:tcBorders>
              <w:bottom w:val="single" w:sz="8" w:color="auto"/>
            </w:tcBorders>
            <w:vMerge w:val="continue"/>
          </w:tcPr>
          <w:p>
            <w:pPr>
              <w:spacing w:after="0"/>
              <w:rPr>
                <w:sz w:val="14"/>
                <w:szCs w:val="14"/>
                <w:color w:val="auto"/>
              </w:rPr>
            </w:pPr>
          </w:p>
        </w:tc>
        <w:tc>
          <w:tcPr>
            <w:tcW w:w="300" w:type="dxa"/>
            <w:vAlign w:val="bottom"/>
            <w:tcBorders>
              <w:bottom w:val="single" w:sz="8" w:color="CCEEFF"/>
            </w:tcBorders>
            <w:vMerge w:val="continue"/>
          </w:tcPr>
          <w:p>
            <w:pPr>
              <w:spacing w:after="0"/>
              <w:rPr>
                <w:sz w:val="14"/>
                <w:szCs w:val="14"/>
                <w:color w:val="auto"/>
              </w:rPr>
            </w:pPr>
          </w:p>
        </w:tc>
        <w:tc>
          <w:tcPr>
            <w:tcW w:w="1120" w:type="dxa"/>
            <w:vAlign w:val="bottom"/>
            <w:tcBorders>
              <w:bottom w:val="single" w:sz="8" w:color="auto"/>
            </w:tcBorders>
            <w:vMerge w:val="continue"/>
          </w:tcPr>
          <w:p>
            <w:pPr>
              <w:spacing w:after="0"/>
              <w:rPr>
                <w:sz w:val="14"/>
                <w:szCs w:val="14"/>
                <w:color w:val="auto"/>
              </w:rPr>
            </w:pPr>
          </w:p>
        </w:tc>
        <w:tc>
          <w:tcPr>
            <w:tcW w:w="280" w:type="dxa"/>
            <w:vAlign w:val="bottom"/>
            <w:tcBorders>
              <w:bottom w:val="single" w:sz="8" w:color="CCEEFF"/>
            </w:tcBorders>
            <w:vMerge w:val="continue"/>
          </w:tcPr>
          <w:p>
            <w:pPr>
              <w:spacing w:after="0"/>
              <w:rPr>
                <w:sz w:val="14"/>
                <w:szCs w:val="14"/>
                <w:color w:val="auto"/>
              </w:rPr>
            </w:pPr>
          </w:p>
        </w:tc>
        <w:tc>
          <w:tcPr>
            <w:tcW w:w="114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Withheld</w:t>
            </w:r>
          </w:p>
        </w:tc>
        <w:tc>
          <w:tcPr>
            <w:tcW w:w="280" w:type="dxa"/>
            <w:vAlign w:val="bottom"/>
            <w:tcBorders>
              <w:bottom w:val="single" w:sz="8" w:color="CCEEFF"/>
            </w:tcBorders>
          </w:tcPr>
          <w:p>
            <w:pPr>
              <w:spacing w:after="0"/>
              <w:rPr>
                <w:sz w:val="14"/>
                <w:szCs w:val="14"/>
                <w:color w:val="auto"/>
              </w:rPr>
            </w:pPr>
          </w:p>
        </w:tc>
        <w:tc>
          <w:tcPr>
            <w:tcW w:w="1140" w:type="dxa"/>
            <w:vAlign w:val="bottom"/>
            <w:tcBorders>
              <w:bottom w:val="single" w:sz="8" w:color="auto"/>
            </w:tcBorders>
          </w:tcPr>
          <w:p>
            <w:pPr>
              <w:ind w:left="440"/>
              <w:spacing w:after="0"/>
              <w:rPr>
                <w:sz w:val="20"/>
                <w:szCs w:val="20"/>
                <w:color w:val="auto"/>
              </w:rPr>
            </w:pPr>
            <w:r>
              <w:rPr>
                <w:rFonts w:ascii="Arial" w:cs="Arial" w:eastAsia="Arial" w:hAnsi="Arial"/>
                <w:sz w:val="14"/>
                <w:szCs w:val="14"/>
                <w:b w:val="1"/>
                <w:bCs w:val="1"/>
                <w:color w:val="auto"/>
              </w:rPr>
              <w:t>Cast</w:t>
            </w:r>
          </w:p>
        </w:tc>
        <w:tc>
          <w:tcPr>
            <w:tcW w:w="280" w:type="dxa"/>
            <w:vAlign w:val="bottom"/>
            <w:tcBorders>
              <w:bottom w:val="single" w:sz="8" w:color="CCEEFF"/>
            </w:tcBorders>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For</w:t>
            </w:r>
          </w:p>
        </w:tc>
        <w:tc>
          <w:tcPr>
            <w:tcW w:w="280" w:type="dxa"/>
            <w:vAlign w:val="bottom"/>
            <w:tcBorders>
              <w:bottom w:val="single" w:sz="8" w:color="CCEEFF"/>
            </w:tcBorders>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Withheld</w:t>
            </w:r>
          </w:p>
        </w:tc>
        <w:tc>
          <w:tcPr>
            <w:tcW w:w="1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Dr. Leanne M. Baker</w:t>
            </w:r>
          </w:p>
        </w:tc>
        <w:tc>
          <w:tcPr>
            <w:tcW w:w="3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110,398,490</w:t>
            </w: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289,302</w:t>
            </w:r>
          </w:p>
        </w:tc>
        <w:tc>
          <w:tcPr>
            <w:tcW w:w="280" w:type="dxa"/>
            <w:vAlign w:val="bottom"/>
            <w:shd w:val="clear" w:color="auto" w:fill="CCEEFF"/>
          </w:tcPr>
          <w:p>
            <w:pPr>
              <w:spacing w:after="0"/>
              <w:rPr>
                <w:sz w:val="18"/>
                <w:szCs w:val="18"/>
                <w:color w:val="auto"/>
              </w:rPr>
            </w:pPr>
          </w:p>
        </w:tc>
        <w:tc>
          <w:tcPr>
            <w:tcW w:w="1140" w:type="dxa"/>
            <w:vAlign w:val="bottom"/>
            <w:shd w:val="clear" w:color="auto" w:fill="CCEEFF"/>
          </w:tcPr>
          <w:p>
            <w:pPr>
              <w:ind w:left="240"/>
              <w:spacing w:after="0"/>
              <w:rPr>
                <w:sz w:val="20"/>
                <w:szCs w:val="20"/>
                <w:color w:val="auto"/>
              </w:rPr>
            </w:pPr>
            <w:r>
              <w:rPr>
                <w:rFonts w:ascii="Arial" w:cs="Arial" w:eastAsia="Arial" w:hAnsi="Arial"/>
                <w:sz w:val="18"/>
                <w:szCs w:val="18"/>
                <w:color w:val="auto"/>
                <w:w w:val="87"/>
              </w:rPr>
              <w:t>110,687,792</w:t>
            </w:r>
          </w:p>
        </w:tc>
        <w:tc>
          <w:tcPr>
            <w:tcW w:w="2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99.74%</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0.26%</w:t>
            </w: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Sean Boyd</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110,299,437</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388,355</w:t>
            </w:r>
          </w:p>
        </w:tc>
        <w:tc>
          <w:tcPr>
            <w:tcW w:w="1420" w:type="dxa"/>
            <w:vAlign w:val="bottom"/>
            <w:gridSpan w:val="2"/>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99.65%</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0.35%</w:t>
            </w: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Martine A. Celej</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109,914,141</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773,651</w:t>
            </w:r>
          </w:p>
        </w:tc>
        <w:tc>
          <w:tcPr>
            <w:tcW w:w="1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99.30%</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0.70%</w:t>
            </w: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Clifford J. Davis</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110,289,342</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398,450</w:t>
            </w:r>
          </w:p>
        </w:tc>
        <w:tc>
          <w:tcPr>
            <w:tcW w:w="1420" w:type="dxa"/>
            <w:vAlign w:val="bottom"/>
            <w:gridSpan w:val="2"/>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99.64%</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Robert J. Gemmell</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92,962,726</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17,725,066</w:t>
            </w:r>
          </w:p>
        </w:tc>
        <w:tc>
          <w:tcPr>
            <w:tcW w:w="1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83.99%</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16.01%</w:t>
            </w: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Bernard Kraft</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109,809,850</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877,942</w:t>
            </w:r>
          </w:p>
        </w:tc>
        <w:tc>
          <w:tcPr>
            <w:tcW w:w="1420" w:type="dxa"/>
            <w:vAlign w:val="bottom"/>
            <w:gridSpan w:val="2"/>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99.21%</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0.79%</w:t>
            </w: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Mel Leiderman</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110,366,181</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321,611</w:t>
            </w:r>
          </w:p>
        </w:tc>
        <w:tc>
          <w:tcPr>
            <w:tcW w:w="1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99.71%</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0.29%</w:t>
            </w: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Deborah McCombe</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110,305,328</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382,464</w:t>
            </w:r>
          </w:p>
        </w:tc>
        <w:tc>
          <w:tcPr>
            <w:tcW w:w="1420" w:type="dxa"/>
            <w:vAlign w:val="bottom"/>
            <w:gridSpan w:val="2"/>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99.65%</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0.35%</w:t>
            </w: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D. Nasso</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108,696,647</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1,991,145</w:t>
            </w:r>
          </w:p>
        </w:tc>
        <w:tc>
          <w:tcPr>
            <w:tcW w:w="1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98.20%</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Dr. Sean Riley</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110,355,918</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331,874</w:t>
            </w:r>
          </w:p>
        </w:tc>
        <w:tc>
          <w:tcPr>
            <w:tcW w:w="1420" w:type="dxa"/>
            <w:vAlign w:val="bottom"/>
            <w:gridSpan w:val="2"/>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99.70%</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 Merfyn Roberts</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109,867,737</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820,055</w:t>
            </w:r>
          </w:p>
        </w:tc>
        <w:tc>
          <w:tcPr>
            <w:tcW w:w="1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99.26%</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0.74%</w:t>
            </w:r>
          </w:p>
        </w:tc>
        <w:tc>
          <w:tcPr>
            <w:tcW w:w="0" w:type="dxa"/>
            <w:vAlign w:val="bottom"/>
          </w:tcPr>
          <w:p>
            <w:pPr>
              <w:spacing w:after="0"/>
              <w:rPr>
                <w:sz w:val="1"/>
                <w:szCs w:val="1"/>
                <w:color w:val="auto"/>
              </w:rPr>
            </w:pP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Howard R. Stockford</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109,941,530</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746,262</w:t>
            </w:r>
          </w:p>
        </w:tc>
        <w:tc>
          <w:tcPr>
            <w:tcW w:w="1420" w:type="dxa"/>
            <w:vAlign w:val="bottom"/>
            <w:gridSpan w:val="2"/>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99.33%</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0.67%</w:t>
            </w:r>
          </w:p>
        </w:tc>
        <w:tc>
          <w:tcPr>
            <w:tcW w:w="0" w:type="dxa"/>
            <w:vAlign w:val="bottom"/>
          </w:tcPr>
          <w:p>
            <w:pPr>
              <w:spacing w:after="0"/>
              <w:rPr>
                <w:sz w:val="1"/>
                <w:szCs w:val="1"/>
                <w:color w:val="auto"/>
              </w:rPr>
            </w:pP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Pertti Voutilainen</w:t>
            </w:r>
          </w:p>
        </w:tc>
        <w:tc>
          <w:tcPr>
            <w:tcW w:w="14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110,391,061</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296,731</w:t>
            </w:r>
          </w:p>
        </w:tc>
        <w:tc>
          <w:tcPr>
            <w:tcW w:w="142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110,687,792</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99.73%</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Biographical information on all directors is available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30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seven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2280" w:type="dxa"/>
            <w:vAlign w:val="bottom"/>
          </w:tcPr>
          <w:p>
            <w:pPr>
              <w:spacing w:after="0"/>
              <w:rPr>
                <w:sz w:val="20"/>
                <w:szCs w:val="20"/>
                <w:color w:val="auto"/>
              </w:rPr>
            </w:pPr>
            <w:r>
              <w:rPr>
                <w:rFonts w:ascii="Arial" w:cs="Arial" w:eastAsia="Arial" w:hAnsi="Arial"/>
                <w:sz w:val="18"/>
                <w:szCs w:val="18"/>
                <w:b w:val="1"/>
                <w:bCs w:val="1"/>
                <w:color w:val="auto"/>
              </w:rPr>
              <w:t>For further information:</w:t>
            </w:r>
          </w:p>
        </w:tc>
        <w:tc>
          <w:tcPr>
            <w:tcW w:w="9180" w:type="dxa"/>
            <w:vAlign w:val="bottom"/>
          </w:tcPr>
          <w:p>
            <w:pPr>
              <w:ind w:left="340"/>
              <w:spacing w:after="0"/>
              <w:rPr>
                <w:sz w:val="20"/>
                <w:szCs w:val="20"/>
                <w:color w:val="auto"/>
              </w:rPr>
            </w:pPr>
            <w:r>
              <w:rPr>
                <w:rFonts w:ascii="Arial" w:cs="Arial" w:eastAsia="Arial" w:hAnsi="Arial"/>
                <w:sz w:val="18"/>
                <w:szCs w:val="18"/>
                <w:color w:val="auto"/>
              </w:rPr>
              <w:t>Investor Relations</w:t>
            </w:r>
          </w:p>
        </w:tc>
      </w:tr>
      <w:tr>
        <w:trPr>
          <w:trHeight w:val="230"/>
        </w:trPr>
        <w:tc>
          <w:tcPr>
            <w:tcW w:w="2280" w:type="dxa"/>
            <w:vAlign w:val="bottom"/>
          </w:tcPr>
          <w:p>
            <w:pPr>
              <w:spacing w:after="0"/>
              <w:rPr>
                <w:sz w:val="20"/>
                <w:szCs w:val="20"/>
                <w:color w:val="auto"/>
              </w:rPr>
            </w:pPr>
          </w:p>
        </w:tc>
        <w:tc>
          <w:tcPr>
            <w:tcW w:w="9180" w:type="dxa"/>
            <w:vAlign w:val="bottom"/>
          </w:tcPr>
          <w:p>
            <w:pPr>
              <w:ind w:left="340"/>
              <w:spacing w:after="0"/>
              <w:rPr>
                <w:sz w:val="20"/>
                <w:szCs w:val="20"/>
                <w:color w:val="auto"/>
              </w:rPr>
            </w:pPr>
            <w:r>
              <w:rPr>
                <w:rFonts w:ascii="Arial" w:cs="Arial" w:eastAsia="Arial" w:hAnsi="Arial"/>
                <w:sz w:val="18"/>
                <w:szCs w:val="18"/>
                <w:color w:val="auto"/>
              </w:rPr>
              <w:t>(416) 947-1212</w:t>
            </w:r>
          </w:p>
        </w:tc>
      </w:tr>
      <w:tr>
        <w:trPr>
          <w:trHeight w:val="348"/>
        </w:trPr>
        <w:tc>
          <w:tcPr>
            <w:tcW w:w="2280" w:type="dxa"/>
            <w:vAlign w:val="bottom"/>
            <w:tcBorders>
              <w:bottom w:val="single" w:sz="8" w:color="010101"/>
            </w:tcBorders>
          </w:tcPr>
          <w:p>
            <w:pPr>
              <w:spacing w:after="0"/>
              <w:rPr>
                <w:sz w:val="24"/>
                <w:szCs w:val="24"/>
                <w:color w:val="auto"/>
              </w:rPr>
            </w:pPr>
          </w:p>
        </w:tc>
        <w:tc>
          <w:tcPr>
            <w:tcW w:w="918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1"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2020-01-27T08:19:44Z</dcterms:created>
  <dcterms:modified xsi:type="dcterms:W3CDTF">2020-01-27T08:19:44Z</dcterms:modified>
</cp:coreProperties>
</file>